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231140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57"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184785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203835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ind w:left="460" w:right="400" w:hanging="452"/>
        <w:spacing w:after="0" w:line="256" w:lineRule="auto"/>
        <w:tabs>
          <w:tab w:leader="none" w:pos="46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122" w:lineRule="exact"/>
        <w:rPr>
          <w:sz w:val="24"/>
          <w:szCs w:val="24"/>
          <w:color w:val="auto"/>
        </w:rPr>
      </w:pPr>
    </w:p>
    <w:p>
      <w:pPr>
        <w:ind w:left="460"/>
        <w:spacing w:after="0"/>
        <w:rPr>
          <w:sz w:val="20"/>
          <w:szCs w:val="20"/>
          <w:color w:val="auto"/>
        </w:rPr>
      </w:pPr>
      <w:r>
        <w:rPr>
          <w:rFonts w:ascii="Arial" w:cs="Arial" w:eastAsia="Arial" w:hAnsi="Arial"/>
          <w:sz w:val="18"/>
          <w:szCs w:val="18"/>
          <w:b w:val="1"/>
          <w:bCs w:val="1"/>
          <w:color w:val="auto"/>
        </w:rPr>
        <w:t>For the quarterly period ended June 30, 2010</w:t>
      </w:r>
    </w:p>
    <w:p>
      <w:pPr>
        <w:spacing w:after="0" w:line="171"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OR</w:t>
      </w:r>
    </w:p>
    <w:p>
      <w:pPr>
        <w:spacing w:after="0" w:line="199" w:lineRule="exact"/>
        <w:rPr>
          <w:sz w:val="24"/>
          <w:szCs w:val="24"/>
          <w:color w:val="auto"/>
        </w:rPr>
      </w:pPr>
    </w:p>
    <w:p>
      <w:pPr>
        <w:ind w:left="460" w:right="400" w:hanging="452"/>
        <w:spacing w:after="0" w:line="256" w:lineRule="auto"/>
        <w:tabs>
          <w:tab w:leader="none" w:pos="46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122" w:lineRule="exact"/>
        <w:rPr>
          <w:sz w:val="24"/>
          <w:szCs w:val="24"/>
          <w:color w:val="auto"/>
        </w:rPr>
      </w:pPr>
    </w:p>
    <w:p>
      <w:pPr>
        <w:ind w:left="460"/>
        <w:spacing w:after="0"/>
        <w:tabs>
          <w:tab w:leader="none" w:pos="36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171"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Commission file number 001-32195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194945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3049270</wp:posOffset>
            </wp:positionH>
            <wp:positionV relativeFrom="paragraph">
              <wp:posOffset>306705</wp:posOffset>
            </wp:positionV>
            <wp:extent cx="1157605" cy="7029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157605" cy="7029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9" w:lineRule="exact"/>
        <w:rPr>
          <w:sz w:val="24"/>
          <w:szCs w:val="24"/>
          <w:color w:val="auto"/>
        </w:rPr>
      </w:pPr>
    </w:p>
    <w:p>
      <w:pPr>
        <w:jc w:val="center"/>
        <w:ind w:right="-79"/>
        <w:spacing w:after="0"/>
        <w:rPr>
          <w:sz w:val="20"/>
          <w:szCs w:val="20"/>
          <w:color w:val="auto"/>
        </w:rPr>
      </w:pPr>
      <w:r>
        <w:rPr>
          <w:rFonts w:ascii="Arial" w:cs="Arial" w:eastAsia="Arial" w:hAnsi="Arial"/>
          <w:sz w:val="43"/>
          <w:szCs w:val="43"/>
          <w:b w:val="1"/>
          <w:bCs w:val="1"/>
          <w:color w:val="auto"/>
        </w:rPr>
        <w:t>GENWORTH FINANCIAL, INC.</w:t>
      </w:r>
    </w:p>
    <w:p>
      <w:pPr>
        <w:spacing w:after="0" w:line="49"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180340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93" w:lineRule="exact"/>
        <w:rPr>
          <w:sz w:val="24"/>
          <w:szCs w:val="24"/>
          <w:color w:val="auto"/>
        </w:rPr>
      </w:pPr>
    </w:p>
    <w:tbl>
      <w:tblPr>
        <w:tblLayout w:type="fixed"/>
        <w:tblInd w:w="1660" w:type="dxa"/>
        <w:tblCellMar>
          <w:top w:w="0" w:type="dxa"/>
          <w:left w:w="0" w:type="dxa"/>
          <w:bottom w:w="0" w:type="dxa"/>
          <w:right w:w="0" w:type="dxa"/>
        </w:tblCellMar>
      </w:tblPr>
      <w:tr>
        <w:trPr>
          <w:trHeight w:val="218"/>
        </w:trPr>
        <w:tc>
          <w:tcPr>
            <w:tcW w:w="2380" w:type="dxa"/>
            <w:vAlign w:val="bottom"/>
          </w:tcPr>
          <w:p>
            <w:pPr>
              <w:jc w:val="center"/>
              <w:ind w:right="2"/>
              <w:spacing w:after="0"/>
              <w:rPr>
                <w:sz w:val="20"/>
                <w:szCs w:val="20"/>
                <w:color w:val="auto"/>
              </w:rPr>
            </w:pPr>
            <w:r>
              <w:rPr>
                <w:rFonts w:ascii="Arial" w:cs="Arial" w:eastAsia="Arial" w:hAnsi="Arial"/>
                <w:sz w:val="18"/>
                <w:szCs w:val="18"/>
                <w:b w:val="1"/>
                <w:bCs w:val="1"/>
                <w:color w:val="auto"/>
                <w:w w:val="88"/>
              </w:rPr>
              <w:t>Delaware</w:t>
            </w:r>
          </w:p>
        </w:tc>
        <w:tc>
          <w:tcPr>
            <w:tcW w:w="5360" w:type="dxa"/>
            <w:vAlign w:val="bottom"/>
          </w:tcPr>
          <w:p>
            <w:pPr>
              <w:jc w:val="right"/>
              <w:ind w:right="164"/>
              <w:spacing w:after="0"/>
              <w:rPr>
                <w:sz w:val="20"/>
                <w:szCs w:val="20"/>
                <w:color w:val="auto"/>
              </w:rPr>
            </w:pPr>
            <w:r>
              <w:rPr>
                <w:rFonts w:ascii="Arial" w:cs="Arial" w:eastAsia="Arial" w:hAnsi="Arial"/>
                <w:sz w:val="18"/>
                <w:szCs w:val="18"/>
                <w:b w:val="1"/>
                <w:bCs w:val="1"/>
                <w:color w:val="auto"/>
              </w:rPr>
              <w:t>33-1073076</w:t>
            </w:r>
          </w:p>
        </w:tc>
      </w:tr>
      <w:tr>
        <w:trPr>
          <w:trHeight w:val="149"/>
        </w:trPr>
        <w:tc>
          <w:tcPr>
            <w:tcW w:w="2380" w:type="dxa"/>
            <w:vAlign w:val="bottom"/>
          </w:tcPr>
          <w:p>
            <w:pPr>
              <w:jc w:val="center"/>
              <w:ind w:right="2"/>
              <w:spacing w:after="0" w:line="149" w:lineRule="exact"/>
              <w:rPr>
                <w:sz w:val="20"/>
                <w:szCs w:val="20"/>
                <w:color w:val="auto"/>
              </w:rPr>
            </w:pPr>
            <w:r>
              <w:rPr>
                <w:rFonts w:ascii="Arial" w:cs="Arial" w:eastAsia="Arial" w:hAnsi="Arial"/>
                <w:sz w:val="14"/>
                <w:szCs w:val="14"/>
                <w:b w:val="1"/>
                <w:bCs w:val="1"/>
                <w:color w:val="auto"/>
                <w:w w:val="87"/>
              </w:rPr>
              <w:t>(State or Other Jurisdiction of</w:t>
            </w:r>
          </w:p>
        </w:tc>
        <w:tc>
          <w:tcPr>
            <w:tcW w:w="5360" w:type="dxa"/>
            <w:vAlign w:val="bottom"/>
          </w:tcPr>
          <w:p>
            <w:pPr>
              <w:jc w:val="center"/>
              <w:ind w:left="3964"/>
              <w:spacing w:after="0" w:line="149" w:lineRule="exact"/>
              <w:rPr>
                <w:sz w:val="20"/>
                <w:szCs w:val="20"/>
                <w:color w:val="auto"/>
              </w:rPr>
            </w:pPr>
            <w:r>
              <w:rPr>
                <w:rFonts w:ascii="Arial" w:cs="Arial" w:eastAsia="Arial" w:hAnsi="Arial"/>
                <w:sz w:val="14"/>
                <w:szCs w:val="14"/>
                <w:b w:val="1"/>
                <w:bCs w:val="1"/>
                <w:color w:val="auto"/>
                <w:w w:val="89"/>
              </w:rPr>
              <w:t>(I.R.S. Employer</w:t>
            </w:r>
          </w:p>
        </w:tc>
      </w:tr>
      <w:tr>
        <w:trPr>
          <w:trHeight w:val="174"/>
        </w:trPr>
        <w:tc>
          <w:tcPr>
            <w:tcW w:w="2380" w:type="dxa"/>
            <w:vAlign w:val="bottom"/>
          </w:tcPr>
          <w:p>
            <w:pPr>
              <w:jc w:val="center"/>
              <w:ind w:right="2"/>
              <w:spacing w:after="0"/>
              <w:rPr>
                <w:sz w:val="20"/>
                <w:szCs w:val="20"/>
                <w:color w:val="auto"/>
              </w:rPr>
            </w:pPr>
            <w:r>
              <w:rPr>
                <w:rFonts w:ascii="Arial" w:cs="Arial" w:eastAsia="Arial" w:hAnsi="Arial"/>
                <w:sz w:val="14"/>
                <w:szCs w:val="14"/>
                <w:b w:val="1"/>
                <w:bCs w:val="1"/>
                <w:color w:val="auto"/>
                <w:w w:val="89"/>
              </w:rPr>
              <w:t>Incorporation or Organization)</w:t>
            </w:r>
          </w:p>
        </w:tc>
        <w:tc>
          <w:tcPr>
            <w:tcW w:w="5360" w:type="dxa"/>
            <w:vAlign w:val="bottom"/>
          </w:tcPr>
          <w:p>
            <w:pPr>
              <w:jc w:val="center"/>
              <w:ind w:left="3944"/>
              <w:spacing w:after="0"/>
              <w:rPr>
                <w:sz w:val="20"/>
                <w:szCs w:val="20"/>
                <w:color w:val="auto"/>
              </w:rPr>
            </w:pPr>
            <w:r>
              <w:rPr>
                <w:rFonts w:ascii="Arial" w:cs="Arial" w:eastAsia="Arial" w:hAnsi="Arial"/>
                <w:sz w:val="14"/>
                <w:szCs w:val="14"/>
                <w:b w:val="1"/>
                <w:bCs w:val="1"/>
                <w:color w:val="auto"/>
                <w:w w:val="90"/>
              </w:rPr>
              <w:t>Identification Number)</w:t>
            </w:r>
          </w:p>
        </w:tc>
      </w:tr>
      <w:tr>
        <w:trPr>
          <w:trHeight w:val="310"/>
        </w:trPr>
        <w:tc>
          <w:tcPr>
            <w:tcW w:w="2380" w:type="dxa"/>
            <w:vAlign w:val="bottom"/>
          </w:tcPr>
          <w:p>
            <w:pPr>
              <w:jc w:val="center"/>
              <w:ind w:right="2"/>
              <w:spacing w:after="0"/>
              <w:rPr>
                <w:sz w:val="20"/>
                <w:szCs w:val="20"/>
                <w:color w:val="auto"/>
              </w:rPr>
            </w:pPr>
            <w:r>
              <w:rPr>
                <w:rFonts w:ascii="Arial" w:cs="Arial" w:eastAsia="Arial" w:hAnsi="Arial"/>
                <w:sz w:val="18"/>
                <w:szCs w:val="18"/>
                <w:b w:val="1"/>
                <w:bCs w:val="1"/>
                <w:color w:val="auto"/>
                <w:w w:val="88"/>
              </w:rPr>
              <w:t>6620 West Broad Street</w:t>
            </w:r>
          </w:p>
        </w:tc>
        <w:tc>
          <w:tcPr>
            <w:tcW w:w="5360" w:type="dxa"/>
            <w:vAlign w:val="bottom"/>
          </w:tcPr>
          <w:p>
            <w:pPr>
              <w:spacing w:after="0"/>
              <w:rPr>
                <w:sz w:val="24"/>
                <w:szCs w:val="24"/>
                <w:color w:val="auto"/>
              </w:rPr>
            </w:pPr>
          </w:p>
        </w:tc>
      </w:tr>
      <w:tr>
        <w:trPr>
          <w:trHeight w:val="231"/>
        </w:trPr>
        <w:tc>
          <w:tcPr>
            <w:tcW w:w="2380" w:type="dxa"/>
            <w:vAlign w:val="bottom"/>
          </w:tcPr>
          <w:p>
            <w:pPr>
              <w:jc w:val="center"/>
              <w:ind w:right="2"/>
              <w:spacing w:after="0"/>
              <w:rPr>
                <w:sz w:val="20"/>
                <w:szCs w:val="20"/>
                <w:color w:val="auto"/>
              </w:rPr>
            </w:pPr>
            <w:r>
              <w:rPr>
                <w:rFonts w:ascii="Arial" w:cs="Arial" w:eastAsia="Arial" w:hAnsi="Arial"/>
                <w:sz w:val="18"/>
                <w:szCs w:val="18"/>
                <w:b w:val="1"/>
                <w:bCs w:val="1"/>
                <w:color w:val="auto"/>
                <w:w w:val="91"/>
              </w:rPr>
              <w:t>Richmond, Virginia</w:t>
            </w:r>
          </w:p>
        </w:tc>
        <w:tc>
          <w:tcPr>
            <w:tcW w:w="5360" w:type="dxa"/>
            <w:vAlign w:val="bottom"/>
          </w:tcPr>
          <w:p>
            <w:pPr>
              <w:jc w:val="right"/>
              <w:ind w:right="364"/>
              <w:spacing w:after="0"/>
              <w:rPr>
                <w:sz w:val="20"/>
                <w:szCs w:val="20"/>
                <w:color w:val="auto"/>
              </w:rPr>
            </w:pPr>
            <w:r>
              <w:rPr>
                <w:rFonts w:ascii="Arial" w:cs="Arial" w:eastAsia="Arial" w:hAnsi="Arial"/>
                <w:sz w:val="18"/>
                <w:szCs w:val="18"/>
                <w:b w:val="1"/>
                <w:bCs w:val="1"/>
                <w:color w:val="auto"/>
              </w:rPr>
              <w:t>23230</w:t>
            </w:r>
          </w:p>
        </w:tc>
      </w:tr>
      <w:tr>
        <w:trPr>
          <w:trHeight w:val="174"/>
        </w:trPr>
        <w:tc>
          <w:tcPr>
            <w:tcW w:w="2380" w:type="dxa"/>
            <w:vAlign w:val="bottom"/>
          </w:tcPr>
          <w:p>
            <w:pPr>
              <w:jc w:val="center"/>
              <w:ind w:right="2"/>
              <w:spacing w:after="0"/>
              <w:rPr>
                <w:sz w:val="20"/>
                <w:szCs w:val="20"/>
                <w:color w:val="auto"/>
              </w:rPr>
            </w:pPr>
            <w:r>
              <w:rPr>
                <w:rFonts w:ascii="Arial" w:cs="Arial" w:eastAsia="Arial" w:hAnsi="Arial"/>
                <w:sz w:val="14"/>
                <w:szCs w:val="14"/>
                <w:b w:val="1"/>
                <w:bCs w:val="1"/>
                <w:color w:val="auto"/>
                <w:w w:val="86"/>
              </w:rPr>
              <w:t>(Address of Principal Executive Offices)</w:t>
            </w:r>
          </w:p>
        </w:tc>
        <w:tc>
          <w:tcPr>
            <w:tcW w:w="5360" w:type="dxa"/>
            <w:vAlign w:val="bottom"/>
          </w:tcPr>
          <w:p>
            <w:pPr>
              <w:jc w:val="center"/>
              <w:ind w:left="3964"/>
              <w:spacing w:after="0"/>
              <w:rPr>
                <w:sz w:val="20"/>
                <w:szCs w:val="20"/>
                <w:color w:val="auto"/>
              </w:rPr>
            </w:pPr>
            <w:r>
              <w:rPr>
                <w:rFonts w:ascii="Arial" w:cs="Arial" w:eastAsia="Arial" w:hAnsi="Arial"/>
                <w:sz w:val="14"/>
                <w:szCs w:val="14"/>
                <w:b w:val="1"/>
                <w:bCs w:val="1"/>
                <w:color w:val="auto"/>
                <w:w w:val="92"/>
              </w:rPr>
              <w:t>(Zip Code)</w:t>
            </w:r>
          </w:p>
        </w:tc>
      </w:tr>
      <w:tr>
        <w:trPr>
          <w:trHeight w:val="352"/>
        </w:trPr>
        <w:tc>
          <w:tcPr>
            <w:tcW w:w="2380" w:type="dxa"/>
            <w:vAlign w:val="bottom"/>
          </w:tcPr>
          <w:p>
            <w:pPr>
              <w:spacing w:after="0"/>
              <w:rPr>
                <w:sz w:val="24"/>
                <w:szCs w:val="24"/>
                <w:color w:val="auto"/>
              </w:rPr>
            </w:pPr>
          </w:p>
        </w:tc>
        <w:tc>
          <w:tcPr>
            <w:tcW w:w="5360" w:type="dxa"/>
            <w:vAlign w:val="bottom"/>
          </w:tcPr>
          <w:p>
            <w:pPr>
              <w:jc w:val="right"/>
              <w:ind w:right="3064"/>
              <w:spacing w:after="0"/>
              <w:rPr>
                <w:sz w:val="20"/>
                <w:szCs w:val="20"/>
                <w:color w:val="auto"/>
              </w:rPr>
            </w:pPr>
            <w:r>
              <w:rPr>
                <w:rFonts w:ascii="Arial" w:cs="Arial" w:eastAsia="Arial" w:hAnsi="Arial"/>
                <w:sz w:val="18"/>
                <w:szCs w:val="18"/>
                <w:b w:val="1"/>
                <w:bCs w:val="1"/>
                <w:color w:val="auto"/>
              </w:rPr>
              <w:t>(804) 281-6000</w:t>
            </w:r>
          </w:p>
        </w:tc>
      </w:tr>
      <w:tr>
        <w:trPr>
          <w:trHeight w:val="174"/>
        </w:trPr>
        <w:tc>
          <w:tcPr>
            <w:tcW w:w="2380" w:type="dxa"/>
            <w:vAlign w:val="bottom"/>
          </w:tcPr>
          <w:p>
            <w:pPr>
              <w:spacing w:after="0"/>
              <w:rPr>
                <w:sz w:val="15"/>
                <w:szCs w:val="15"/>
                <w:color w:val="auto"/>
              </w:rPr>
            </w:pPr>
          </w:p>
        </w:tc>
        <w:tc>
          <w:tcPr>
            <w:tcW w:w="5360" w:type="dxa"/>
            <w:vAlign w:val="bottom"/>
          </w:tcPr>
          <w:p>
            <w:pPr>
              <w:jc w:val="center"/>
              <w:ind w:right="1944"/>
              <w:spacing w:after="0"/>
              <w:rPr>
                <w:sz w:val="20"/>
                <w:szCs w:val="20"/>
                <w:color w:val="auto"/>
              </w:rPr>
            </w:pPr>
            <w:r>
              <w:rPr>
                <w:rFonts w:ascii="Arial" w:cs="Arial" w:eastAsia="Arial" w:hAnsi="Arial"/>
                <w:sz w:val="14"/>
                <w:szCs w:val="14"/>
                <w:b w:val="1"/>
                <w:bCs w:val="1"/>
                <w:color w:val="auto"/>
                <w:w w:val="87"/>
              </w:rPr>
              <w:t>(Registrant’s Telephone Number, Including Area Code)</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172085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18" w:lineRule="exact"/>
        <w:rPr>
          <w:sz w:val="24"/>
          <w:szCs w:val="24"/>
          <w:color w:val="auto"/>
        </w:rPr>
      </w:pPr>
    </w:p>
    <w:p>
      <w:pPr>
        <w:ind w:right="18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38" w:lineRule="exact"/>
        <w:rPr>
          <w:sz w:val="24"/>
          <w:szCs w:val="24"/>
          <w:color w:val="auto"/>
        </w:rPr>
      </w:pPr>
    </w:p>
    <w:p>
      <w:pPr>
        <w:jc w:val="both"/>
        <w:ind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38" w:lineRule="exact"/>
        <w:rPr>
          <w:sz w:val="24"/>
          <w:szCs w:val="24"/>
          <w:color w:val="auto"/>
        </w:rPr>
      </w:pPr>
    </w:p>
    <w:p>
      <w:pPr>
        <w:ind w:right="160" w:firstLine="456"/>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ectPr>
          <w:pgSz w:w="11900" w:h="16838" w:orient="portrait"/>
          <w:cols w:equalWidth="0" w:num="1">
            <w:col w:w="11360"/>
          </w:cols>
          <w:pgMar w:left="240" w:top="230" w:right="299" w:bottom="1440" w:gutter="0" w:footer="0" w:header="0"/>
        </w:sectPr>
      </w:pPr>
    </w:p>
    <w:p>
      <w:pPr>
        <w:spacing w:after="0" w:line="93"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Large Accelerated Filer </w:t>
      </w:r>
      <w:r>
        <w:rPr>
          <w:rFonts w:ascii="MS PGothic" w:cs="MS PGothic" w:eastAsia="MS PGothic" w:hAnsi="MS PGothic"/>
          <w:sz w:val="16"/>
          <w:szCs w:val="16"/>
          <w:color w:val="auto"/>
        </w:rPr>
        <w:t>☒</w:t>
      </w:r>
    </w:p>
    <w:p>
      <w:pPr>
        <w:spacing w:after="0" w:line="7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73"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56"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289"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18" w:lineRule="exact"/>
        <w:rPr>
          <w:sz w:val="24"/>
          <w:szCs w:val="24"/>
          <w:color w:val="auto"/>
        </w:rPr>
      </w:pPr>
    </w:p>
    <w:p>
      <w:pPr>
        <w:sectPr>
          <w:pgSz w:w="11900" w:h="16838" w:orient="portrait"/>
          <w:cols w:equalWidth="0" w:num="3">
            <w:col w:w="5340" w:space="720"/>
            <w:col w:w="1920" w:space="80"/>
            <w:col w:w="3300"/>
          </w:cols>
          <w:pgMar w:left="240" w:top="230" w:right="299" w:bottom="1440" w:gutter="0" w:footer="0" w:header="0"/>
          <w:type w:val="continuous"/>
        </w:sectPr>
      </w:pPr>
    </w:p>
    <w:p>
      <w:pPr>
        <w:ind w:left="460" w:right="1620"/>
        <w:spacing w:after="0" w:line="316"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At July 26, 2010, 489,335,077 shares of Class A Common Stock, par value $0.001 per share, were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79375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230" w:right="29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060" w:type="dxa"/>
            <w:vAlign w:val="bottom"/>
            <w:gridSpan w:val="18"/>
            <w:vMerge w:val="restart"/>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I—FINANCIAL INFORMATION</w:t>
              </w:r>
            </w:hyperlink>
          </w:p>
        </w:tc>
        <w:tc>
          <w:tcPr>
            <w:tcW w:w="3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w w:val="89"/>
              </w:rPr>
              <w:t>Page</w:t>
            </w:r>
          </w:p>
        </w:tc>
        <w:tc>
          <w:tcPr>
            <w:tcW w:w="0" w:type="dxa"/>
            <w:vAlign w:val="bottom"/>
          </w:tcPr>
          <w:p>
            <w:pPr>
              <w:spacing w:after="0"/>
              <w:rPr>
                <w:sz w:val="1"/>
                <w:szCs w:val="1"/>
                <w:color w:val="auto"/>
              </w:rPr>
            </w:pPr>
          </w:p>
        </w:tc>
      </w:tr>
      <w:tr>
        <w:trPr>
          <w:trHeight w:val="169"/>
        </w:trPr>
        <w:tc>
          <w:tcPr>
            <w:tcW w:w="11060" w:type="dxa"/>
            <w:vAlign w:val="bottom"/>
            <w:gridSpan w:val="18"/>
            <w:vMerge w:val="continue"/>
          </w:tcPr>
          <w:p>
            <w:pPr>
              <w:spacing w:after="0"/>
              <w:rPr>
                <w:sz w:val="14"/>
                <w:szCs w:val="14"/>
                <w:color w:val="auto"/>
              </w:rPr>
            </w:pPr>
          </w:p>
        </w:tc>
        <w:tc>
          <w:tcPr>
            <w:tcW w:w="360" w:type="dxa"/>
            <w:vAlign w:val="bottom"/>
            <w:tcBorders>
              <w:top w:val="single" w:sz="8" w:color="auto"/>
            </w:tcBorders>
          </w:tcPr>
          <w:p>
            <w:pPr>
              <w:jc w:val="right"/>
              <w:spacing w:after="0" w:line="170" w:lineRule="exact"/>
              <w:rPr>
                <w:sz w:val="20"/>
                <w:szCs w:val="20"/>
                <w:color w:val="auto"/>
              </w:rPr>
            </w:pPr>
            <w:r>
              <w:rPr>
                <w:rFonts w:ascii="Arial" w:cs="Arial" w:eastAsia="Arial" w:hAnsi="Arial"/>
                <w:sz w:val="18"/>
                <w:szCs w:val="18"/>
                <w:color w:val="auto"/>
              </w:rPr>
              <w:t>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2020" w:type="dxa"/>
            <w:vAlign w:val="bottom"/>
            <w:tcBorders>
              <w:top w:val="single" w:sz="8" w:color="0000EE"/>
              <w:bottom w:val="single" w:sz="8" w:color="0000EE"/>
            </w:tcBorders>
            <w:gridSpan w:val="7"/>
          </w:tcPr>
          <w:p>
            <w:pPr>
              <w:spacing w:after="0"/>
              <w:rPr>
                <w:rFonts w:ascii="Arial" w:cs="Arial" w:eastAsia="Arial" w:hAnsi="Arial"/>
                <w:sz w:val="18"/>
                <w:szCs w:val="18"/>
                <w:color w:val="0000EE"/>
                <w:w w:val="87"/>
              </w:rPr>
            </w:pPr>
            <w:hyperlink w:anchor="page3">
              <w:r>
                <w:rPr>
                  <w:rFonts w:ascii="Arial" w:cs="Arial" w:eastAsia="Arial" w:hAnsi="Arial"/>
                  <w:sz w:val="18"/>
                  <w:szCs w:val="18"/>
                  <w:color w:val="0000EE"/>
                  <w:w w:val="87"/>
                </w:rPr>
                <w:t>Item 1. Financial Statements</w:t>
              </w:r>
            </w:hyperlink>
          </w:p>
        </w:tc>
        <w:tc>
          <w:tcPr>
            <w:tcW w:w="1060" w:type="dxa"/>
            <w:vAlign w:val="bottom"/>
            <w:tcBorders>
              <w:top w:val="single" w:sz="8" w:color="0000EE"/>
            </w:tcBorders>
            <w:gridSpan w:val="3"/>
          </w:tcPr>
          <w:p>
            <w:pPr>
              <w:spacing w:after="0"/>
              <w:rPr>
                <w:sz w:val="24"/>
                <w:szCs w:val="24"/>
                <w:color w:val="auto"/>
              </w:rPr>
            </w:pPr>
          </w:p>
        </w:tc>
        <w:tc>
          <w:tcPr>
            <w:tcW w:w="7980" w:type="dxa"/>
            <w:vAlign w:val="bottom"/>
            <w:gridSpan w:val="8"/>
          </w:tcPr>
          <w:p>
            <w:pPr>
              <w:spacing w:after="0"/>
              <w:rPr>
                <w:sz w:val="24"/>
                <w:szCs w:val="24"/>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440" w:type="dxa"/>
            <w:vAlign w:val="bottom"/>
          </w:tcPr>
          <w:p>
            <w:pPr>
              <w:spacing w:after="0"/>
              <w:rPr>
                <w:sz w:val="17"/>
                <w:szCs w:val="17"/>
                <w:color w:val="auto"/>
              </w:rPr>
            </w:pPr>
          </w:p>
        </w:tc>
        <w:tc>
          <w:tcPr>
            <w:tcW w:w="8460" w:type="dxa"/>
            <w:vAlign w:val="bottom"/>
            <w:tcBorders>
              <w:bottom w:val="single" w:sz="8" w:color="0000EE"/>
            </w:tcBorders>
            <w:gridSpan w:val="15"/>
          </w:tcPr>
          <w:p>
            <w:pPr>
              <w:spacing w:after="0" w:line="196" w:lineRule="exact"/>
              <w:rPr>
                <w:rFonts w:ascii="Arial" w:cs="Arial" w:eastAsia="Arial" w:hAnsi="Arial"/>
                <w:sz w:val="18"/>
                <w:szCs w:val="18"/>
                <w:color w:val="0000EE"/>
                <w:w w:val="87"/>
              </w:rPr>
            </w:pPr>
            <w:hyperlink w:anchor="page3">
              <w:r>
                <w:rPr>
                  <w:rFonts w:ascii="Arial" w:cs="Arial" w:eastAsia="Arial" w:hAnsi="Arial"/>
                  <w:sz w:val="18"/>
                  <w:szCs w:val="18"/>
                  <w:color w:val="0000EE"/>
                  <w:w w:val="87"/>
                </w:rPr>
                <w:t>Condensed Consolidated Statements of Income for the three and six months ended June 30, 2010 and 2009 (Unaudited)</w:t>
              </w:r>
            </w:hyperlink>
          </w:p>
        </w:tc>
        <w:tc>
          <w:tcPr>
            <w:tcW w:w="2160" w:type="dxa"/>
            <w:vAlign w:val="bottom"/>
            <w:gridSpan w:val="2"/>
          </w:tcPr>
          <w:p>
            <w:pPr>
              <w:spacing w:after="0"/>
              <w:rPr>
                <w:sz w:val="17"/>
                <w:szCs w:val="17"/>
                <w:color w:val="auto"/>
              </w:rPr>
            </w:pPr>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440" w:type="dxa"/>
            <w:vAlign w:val="bottom"/>
          </w:tcPr>
          <w:p>
            <w:pPr>
              <w:spacing w:after="0"/>
              <w:rPr>
                <w:sz w:val="17"/>
                <w:szCs w:val="17"/>
                <w:color w:val="auto"/>
              </w:rPr>
            </w:pPr>
          </w:p>
        </w:tc>
        <w:tc>
          <w:tcPr>
            <w:tcW w:w="10620" w:type="dxa"/>
            <w:vAlign w:val="bottom"/>
            <w:gridSpan w:val="17"/>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Condensed Consolidated Balance Sheets as of June 30, 2010 (Unaudited) and December 31, 2009</w:t>
              </w:r>
            </w:hyperlink>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2000" w:type="dxa"/>
            <w:vAlign w:val="bottom"/>
            <w:gridSpan w:val="2"/>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6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40" w:type="dxa"/>
            <w:vAlign w:val="bottom"/>
          </w:tcPr>
          <w:p>
            <w:pPr>
              <w:spacing w:after="0"/>
              <w:rPr>
                <w:sz w:val="17"/>
                <w:szCs w:val="17"/>
                <w:color w:val="auto"/>
              </w:rPr>
            </w:pPr>
          </w:p>
        </w:tc>
        <w:tc>
          <w:tcPr>
            <w:tcW w:w="10620" w:type="dxa"/>
            <w:vAlign w:val="bottom"/>
            <w:gridSpan w:val="17"/>
          </w:tcPr>
          <w:p>
            <w:pPr>
              <w:spacing w:after="0" w:line="196" w:lineRule="exact"/>
              <w:rPr>
                <w:rFonts w:ascii="Arial" w:cs="Arial" w:eastAsia="Arial" w:hAnsi="Arial"/>
                <w:sz w:val="18"/>
                <w:szCs w:val="18"/>
                <w:color w:val="0000EE"/>
                <w:w w:val="97"/>
              </w:rPr>
            </w:pPr>
            <w:hyperlink w:anchor="page5">
              <w:r>
                <w:rPr>
                  <w:rFonts w:ascii="Arial" w:cs="Arial" w:eastAsia="Arial" w:hAnsi="Arial"/>
                  <w:sz w:val="18"/>
                  <w:szCs w:val="18"/>
                  <w:color w:val="0000EE"/>
                  <w:w w:val="97"/>
                </w:rPr>
                <w:t>Condensed Consolidated Statements of Changes in Stockholders’ Equity for the six months ended June 30, 2010 and 2009 (Unaudited)</w:t>
              </w:r>
            </w:hyperlink>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440" w:type="dxa"/>
            <w:vAlign w:val="bottom"/>
          </w:tcPr>
          <w:p>
            <w:pPr>
              <w:spacing w:after="0"/>
              <w:rPr>
                <w:sz w:val="17"/>
                <w:szCs w:val="17"/>
                <w:color w:val="auto"/>
              </w:rPr>
            </w:pPr>
          </w:p>
        </w:tc>
        <w:tc>
          <w:tcPr>
            <w:tcW w:w="8060" w:type="dxa"/>
            <w:vAlign w:val="bottom"/>
            <w:tcBorders>
              <w:top w:val="single" w:sz="8" w:color="0000EE"/>
              <w:bottom w:val="single" w:sz="8" w:color="0000EE"/>
            </w:tcBorders>
            <w:gridSpan w:val="14"/>
          </w:tcPr>
          <w:p>
            <w:pPr>
              <w:spacing w:after="0" w:line="196" w:lineRule="exact"/>
              <w:rPr>
                <w:rFonts w:ascii="Arial" w:cs="Arial" w:eastAsia="Arial" w:hAnsi="Arial"/>
                <w:sz w:val="18"/>
                <w:szCs w:val="18"/>
                <w:color w:val="0000EE"/>
                <w:w w:val="87"/>
              </w:rPr>
            </w:pPr>
            <w:hyperlink w:anchor="page7">
              <w:r>
                <w:rPr>
                  <w:rFonts w:ascii="Arial" w:cs="Arial" w:eastAsia="Arial" w:hAnsi="Arial"/>
                  <w:sz w:val="18"/>
                  <w:szCs w:val="18"/>
                  <w:color w:val="0000EE"/>
                  <w:w w:val="87"/>
                </w:rPr>
                <w:t>Condensed Consolidated Statements of Cash Flows for the six months ended June 30, 2010 and 2009 (Unaudited)</w:t>
              </w:r>
            </w:hyperlink>
          </w:p>
        </w:tc>
        <w:tc>
          <w:tcPr>
            <w:tcW w:w="1480" w:type="dxa"/>
            <w:vAlign w:val="bottom"/>
            <w:tcBorders>
              <w:top w:val="single" w:sz="8" w:color="0000EE"/>
            </w:tcBorders>
            <w:gridSpan w:val="2"/>
          </w:tcPr>
          <w:p>
            <w:pPr>
              <w:spacing w:after="0"/>
              <w:rPr>
                <w:sz w:val="17"/>
                <w:szCs w:val="17"/>
                <w:color w:val="auto"/>
              </w:rPr>
            </w:pPr>
          </w:p>
        </w:tc>
        <w:tc>
          <w:tcPr>
            <w:tcW w:w="1080" w:type="dxa"/>
            <w:vAlign w:val="bottom"/>
          </w:tcPr>
          <w:p>
            <w:pPr>
              <w:spacing w:after="0"/>
              <w:rPr>
                <w:sz w:val="17"/>
                <w:szCs w:val="17"/>
                <w:color w:val="auto"/>
              </w:rPr>
            </w:pPr>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196"/>
        </w:trPr>
        <w:tc>
          <w:tcPr>
            <w:tcW w:w="440" w:type="dxa"/>
            <w:vAlign w:val="bottom"/>
          </w:tcPr>
          <w:p>
            <w:pPr>
              <w:spacing w:after="0"/>
              <w:rPr>
                <w:sz w:val="17"/>
                <w:szCs w:val="17"/>
                <w:color w:val="auto"/>
              </w:rPr>
            </w:pPr>
          </w:p>
        </w:tc>
        <w:tc>
          <w:tcPr>
            <w:tcW w:w="10620" w:type="dxa"/>
            <w:vAlign w:val="bottom"/>
            <w:gridSpan w:val="17"/>
          </w:tcPr>
          <w:p>
            <w:pPr>
              <w:spacing w:after="0" w:line="196" w:lineRule="exact"/>
              <w:rPr>
                <w:rFonts w:ascii="Arial" w:cs="Arial" w:eastAsia="Arial" w:hAnsi="Arial"/>
                <w:sz w:val="18"/>
                <w:szCs w:val="18"/>
                <w:color w:val="0000EE"/>
              </w:rPr>
            </w:pPr>
            <w:hyperlink w:anchor="page8">
              <w:r>
                <w:rPr>
                  <w:rFonts w:ascii="Arial" w:cs="Arial" w:eastAsia="Arial" w:hAnsi="Arial"/>
                  <w:sz w:val="18"/>
                  <w:szCs w:val="18"/>
                  <w:color w:val="0000EE"/>
                </w:rPr>
                <w:t>Notes to Condensed Consolidated Financial Statements (Unaudited)</w:t>
              </w:r>
            </w:hyperlink>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2000" w:type="dxa"/>
            <w:vAlign w:val="bottom"/>
            <w:gridSpan w:val="2"/>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4220" w:type="dxa"/>
            <w:vAlign w:val="bottom"/>
            <w:gridSpan w:val="5"/>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1060" w:type="dxa"/>
            <w:vAlign w:val="bottom"/>
            <w:gridSpan w:val="18"/>
          </w:tcPr>
          <w:p>
            <w:pPr>
              <w:spacing w:after="0"/>
              <w:rPr>
                <w:rFonts w:ascii="Arial" w:cs="Arial" w:eastAsia="Arial" w:hAnsi="Arial"/>
                <w:sz w:val="18"/>
                <w:szCs w:val="18"/>
                <w:color w:val="0000EE"/>
              </w:rPr>
            </w:pPr>
            <w:hyperlink w:anchor="page62">
              <w:r>
                <w:rPr>
                  <w:rFonts w:ascii="Arial" w:cs="Arial" w:eastAsia="Arial" w:hAnsi="Arial"/>
                  <w:sz w:val="18"/>
                  <w:szCs w:val="18"/>
                  <w:color w:val="0000EE"/>
                </w:rPr>
                <w:t>Item 2. Management’s Discussion and Analysis of Financial Condition and Results of Operations</w:t>
              </w:r>
            </w:hyperlink>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304"/>
        </w:trPr>
        <w:tc>
          <w:tcPr>
            <w:tcW w:w="520" w:type="dxa"/>
            <w:vAlign w:val="bottom"/>
            <w:tcBorders>
              <w:top w:val="single" w:sz="8" w:color="0000EE"/>
            </w:tcBorders>
            <w:gridSpan w:val="2"/>
          </w:tcPr>
          <w:p>
            <w:pPr>
              <w:spacing w:after="0"/>
              <w:rPr>
                <w:rFonts w:ascii="Arial" w:cs="Arial" w:eastAsia="Arial" w:hAnsi="Arial"/>
                <w:sz w:val="18"/>
                <w:szCs w:val="18"/>
                <w:color w:val="0000EE"/>
                <w:w w:val="90"/>
              </w:rPr>
            </w:pPr>
            <w:hyperlink w:anchor="page131">
              <w:r>
                <w:rPr>
                  <w:rFonts w:ascii="Arial" w:cs="Arial" w:eastAsia="Arial" w:hAnsi="Arial"/>
                  <w:sz w:val="18"/>
                  <w:szCs w:val="18"/>
                  <w:color w:val="0000EE"/>
                  <w:w w:val="90"/>
                </w:rPr>
                <w:t>Item 3.</w:t>
              </w:r>
            </w:hyperlink>
          </w:p>
        </w:tc>
        <w:tc>
          <w:tcPr>
            <w:tcW w:w="6320" w:type="dxa"/>
            <w:vAlign w:val="bottom"/>
            <w:tcBorders>
              <w:top w:val="single" w:sz="8" w:color="0000EE"/>
            </w:tcBorders>
            <w:gridSpan w:val="11"/>
          </w:tcPr>
          <w:p>
            <w:pPr>
              <w:ind w:left="20"/>
              <w:spacing w:after="0"/>
              <w:rPr>
                <w:rFonts w:ascii="Arial" w:cs="Arial" w:eastAsia="Arial" w:hAnsi="Arial"/>
                <w:sz w:val="18"/>
                <w:szCs w:val="18"/>
                <w:color w:val="0000EE"/>
              </w:rPr>
            </w:pPr>
            <w:hyperlink w:anchor="page131">
              <w:r>
                <w:rPr>
                  <w:rFonts w:ascii="Arial" w:cs="Arial" w:eastAsia="Arial" w:hAnsi="Arial"/>
                  <w:sz w:val="18"/>
                  <w:szCs w:val="18"/>
                  <w:color w:val="0000EE"/>
                </w:rPr>
                <w:t>Quantitative and Qualitative Disclosures About Market Risk</w:t>
              </w:r>
            </w:hyperlink>
          </w:p>
        </w:tc>
        <w:tc>
          <w:tcPr>
            <w:tcW w:w="4220" w:type="dxa"/>
            <w:vAlign w:val="bottom"/>
            <w:gridSpan w:val="5"/>
          </w:tcPr>
          <w:p>
            <w:pPr>
              <w:spacing w:after="0"/>
              <w:rPr>
                <w:sz w:val="24"/>
                <w:szCs w:val="24"/>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304"/>
        </w:trPr>
        <w:tc>
          <w:tcPr>
            <w:tcW w:w="520" w:type="dxa"/>
            <w:vAlign w:val="bottom"/>
            <w:tcBorders>
              <w:top w:val="single" w:sz="8" w:color="0000EE"/>
              <w:bottom w:val="single" w:sz="8" w:color="0000EE"/>
            </w:tcBorders>
            <w:gridSpan w:val="2"/>
          </w:tcPr>
          <w:p>
            <w:pPr>
              <w:spacing w:after="0"/>
              <w:rPr>
                <w:rFonts w:ascii="Arial" w:cs="Arial" w:eastAsia="Arial" w:hAnsi="Arial"/>
                <w:sz w:val="18"/>
                <w:szCs w:val="18"/>
                <w:color w:val="0000EE"/>
                <w:w w:val="90"/>
              </w:rPr>
            </w:pPr>
            <w:hyperlink w:anchor="page131">
              <w:r>
                <w:rPr>
                  <w:rFonts w:ascii="Arial" w:cs="Arial" w:eastAsia="Arial" w:hAnsi="Arial"/>
                  <w:sz w:val="18"/>
                  <w:szCs w:val="18"/>
                  <w:color w:val="0000EE"/>
                  <w:w w:val="90"/>
                </w:rPr>
                <w:t>Item 4.</w:t>
              </w:r>
            </w:hyperlink>
          </w:p>
        </w:tc>
        <w:tc>
          <w:tcPr>
            <w:tcW w:w="1760" w:type="dxa"/>
            <w:vAlign w:val="bottom"/>
            <w:tcBorders>
              <w:top w:val="single" w:sz="8" w:color="0000EE"/>
              <w:bottom w:val="single" w:sz="8" w:color="0000EE"/>
            </w:tcBorders>
            <w:gridSpan w:val="6"/>
          </w:tcPr>
          <w:p>
            <w:pPr>
              <w:ind w:left="20"/>
              <w:spacing w:after="0"/>
              <w:rPr>
                <w:rFonts w:ascii="Arial" w:cs="Arial" w:eastAsia="Arial" w:hAnsi="Arial"/>
                <w:sz w:val="18"/>
                <w:szCs w:val="18"/>
                <w:color w:val="0000EE"/>
                <w:w w:val="86"/>
              </w:rPr>
            </w:pPr>
            <w:hyperlink w:anchor="page131">
              <w:r>
                <w:rPr>
                  <w:rFonts w:ascii="Arial" w:cs="Arial" w:eastAsia="Arial" w:hAnsi="Arial"/>
                  <w:sz w:val="18"/>
                  <w:szCs w:val="18"/>
                  <w:color w:val="0000EE"/>
                  <w:w w:val="86"/>
                </w:rPr>
                <w:t>Controls and Procedures</w:t>
              </w:r>
            </w:hyperlink>
          </w:p>
        </w:tc>
        <w:tc>
          <w:tcPr>
            <w:tcW w:w="2520" w:type="dxa"/>
            <w:vAlign w:val="bottom"/>
            <w:tcBorders>
              <w:top w:val="single" w:sz="8" w:color="0000EE"/>
            </w:tcBorders>
            <w:gridSpan w:val="3"/>
          </w:tcPr>
          <w:p>
            <w:pPr>
              <w:spacing w:after="0"/>
              <w:rPr>
                <w:sz w:val="24"/>
                <w:szCs w:val="24"/>
                <w:color w:val="auto"/>
              </w:rPr>
            </w:pPr>
          </w:p>
        </w:tc>
        <w:tc>
          <w:tcPr>
            <w:tcW w:w="6260" w:type="dxa"/>
            <w:vAlign w:val="bottom"/>
            <w:gridSpan w:val="7"/>
          </w:tcPr>
          <w:p>
            <w:pPr>
              <w:spacing w:after="0"/>
              <w:rPr>
                <w:sz w:val="24"/>
                <w:szCs w:val="24"/>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304"/>
        </w:trPr>
        <w:tc>
          <w:tcPr>
            <w:tcW w:w="2800" w:type="dxa"/>
            <w:vAlign w:val="bottom"/>
            <w:tcBorders>
              <w:bottom w:val="single" w:sz="8" w:color="0000EE"/>
            </w:tcBorders>
            <w:gridSpan w:val="9"/>
          </w:tcPr>
          <w:p>
            <w:pPr>
              <w:spacing w:after="0"/>
              <w:rPr>
                <w:rFonts w:ascii="Arial" w:cs="Arial" w:eastAsia="Arial" w:hAnsi="Arial"/>
                <w:sz w:val="18"/>
                <w:szCs w:val="18"/>
                <w:b w:val="1"/>
                <w:bCs w:val="1"/>
                <w:color w:val="0000EE"/>
              </w:rPr>
            </w:pPr>
            <w:hyperlink w:anchor="page132">
              <w:r>
                <w:rPr>
                  <w:rFonts w:ascii="Arial" w:cs="Arial" w:eastAsia="Arial" w:hAnsi="Arial"/>
                  <w:sz w:val="18"/>
                  <w:szCs w:val="18"/>
                  <w:b w:val="1"/>
                  <w:bCs w:val="1"/>
                  <w:color w:val="0000EE"/>
                </w:rPr>
                <w:t>PART II—OTHER INFORMATION</w:t>
              </w:r>
            </w:hyperlink>
          </w:p>
        </w:tc>
        <w:tc>
          <w:tcPr>
            <w:tcW w:w="8260" w:type="dxa"/>
            <w:vAlign w:val="bottom"/>
            <w:gridSpan w:val="9"/>
          </w:tcPr>
          <w:p>
            <w:pPr>
              <w:spacing w:after="0"/>
              <w:rPr>
                <w:sz w:val="24"/>
                <w:szCs w:val="24"/>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132</w:t>
            </w:r>
          </w:p>
        </w:tc>
        <w:tc>
          <w:tcPr>
            <w:tcW w:w="0" w:type="dxa"/>
            <w:vAlign w:val="bottom"/>
          </w:tcPr>
          <w:p>
            <w:pPr>
              <w:spacing w:after="0"/>
              <w:rPr>
                <w:sz w:val="1"/>
                <w:szCs w:val="1"/>
                <w:color w:val="auto"/>
              </w:rPr>
            </w:pPr>
          </w:p>
        </w:tc>
      </w:tr>
      <w:tr>
        <w:trPr>
          <w:trHeight w:val="304"/>
        </w:trPr>
        <w:tc>
          <w:tcPr>
            <w:tcW w:w="520" w:type="dxa"/>
            <w:vAlign w:val="bottom"/>
            <w:tcBorders>
              <w:bottom w:val="single" w:sz="8" w:color="0000EE"/>
            </w:tcBorders>
            <w:gridSpan w:val="2"/>
          </w:tcPr>
          <w:p>
            <w:pPr>
              <w:spacing w:after="0"/>
              <w:rPr>
                <w:rFonts w:ascii="Arial" w:cs="Arial" w:eastAsia="Arial" w:hAnsi="Arial"/>
                <w:sz w:val="18"/>
                <w:szCs w:val="18"/>
                <w:color w:val="0000EE"/>
                <w:w w:val="90"/>
              </w:rPr>
            </w:pPr>
            <w:hyperlink w:anchor="page132">
              <w:r>
                <w:rPr>
                  <w:rFonts w:ascii="Arial" w:cs="Arial" w:eastAsia="Arial" w:hAnsi="Arial"/>
                  <w:sz w:val="18"/>
                  <w:szCs w:val="18"/>
                  <w:color w:val="0000EE"/>
                  <w:w w:val="90"/>
                </w:rPr>
                <w:t>Item 1.</w:t>
              </w:r>
            </w:hyperlink>
          </w:p>
        </w:tc>
        <w:tc>
          <w:tcPr>
            <w:tcW w:w="1340" w:type="dxa"/>
            <w:vAlign w:val="bottom"/>
            <w:tcBorders>
              <w:bottom w:val="single" w:sz="8" w:color="0000EE"/>
            </w:tcBorders>
            <w:gridSpan w:val="4"/>
          </w:tcPr>
          <w:p>
            <w:pPr>
              <w:ind w:left="20"/>
              <w:spacing w:after="0"/>
              <w:rPr>
                <w:rFonts w:ascii="Arial" w:cs="Arial" w:eastAsia="Arial" w:hAnsi="Arial"/>
                <w:sz w:val="18"/>
                <w:szCs w:val="18"/>
                <w:color w:val="0000EE"/>
                <w:w w:val="87"/>
              </w:rPr>
            </w:pPr>
            <w:hyperlink w:anchor="page132">
              <w:r>
                <w:rPr>
                  <w:rFonts w:ascii="Arial" w:cs="Arial" w:eastAsia="Arial" w:hAnsi="Arial"/>
                  <w:sz w:val="18"/>
                  <w:szCs w:val="18"/>
                  <w:color w:val="0000EE"/>
                  <w:w w:val="87"/>
                </w:rPr>
                <w:t>Legal Proceedings</w:t>
              </w:r>
            </w:hyperlink>
          </w:p>
        </w:tc>
        <w:tc>
          <w:tcPr>
            <w:tcW w:w="9200" w:type="dxa"/>
            <w:vAlign w:val="bottom"/>
            <w:gridSpan w:val="12"/>
          </w:tcPr>
          <w:p>
            <w:pPr>
              <w:spacing w:after="0"/>
              <w:rPr>
                <w:sz w:val="24"/>
                <w:szCs w:val="24"/>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132</w:t>
            </w:r>
          </w:p>
        </w:tc>
        <w:tc>
          <w:tcPr>
            <w:tcW w:w="0" w:type="dxa"/>
            <w:vAlign w:val="bottom"/>
          </w:tcPr>
          <w:p>
            <w:pPr>
              <w:spacing w:after="0"/>
              <w:rPr>
                <w:sz w:val="1"/>
                <w:szCs w:val="1"/>
                <w:color w:val="auto"/>
              </w:rPr>
            </w:pPr>
          </w:p>
        </w:tc>
      </w:tr>
      <w:tr>
        <w:trPr>
          <w:trHeight w:val="304"/>
        </w:trPr>
        <w:tc>
          <w:tcPr>
            <w:tcW w:w="1560" w:type="dxa"/>
            <w:vAlign w:val="bottom"/>
            <w:tcBorders>
              <w:bottom w:val="single" w:sz="8" w:color="0000EE"/>
            </w:tcBorders>
            <w:gridSpan w:val="5"/>
          </w:tcPr>
          <w:p>
            <w:pPr>
              <w:spacing w:after="0"/>
              <w:rPr>
                <w:rFonts w:ascii="Arial" w:cs="Arial" w:eastAsia="Arial" w:hAnsi="Arial"/>
                <w:sz w:val="18"/>
                <w:szCs w:val="18"/>
                <w:color w:val="0000EE"/>
                <w:w w:val="89"/>
              </w:rPr>
            </w:pPr>
            <w:hyperlink w:anchor="page132">
              <w:r>
                <w:rPr>
                  <w:rFonts w:ascii="Arial" w:cs="Arial" w:eastAsia="Arial" w:hAnsi="Arial"/>
                  <w:sz w:val="18"/>
                  <w:szCs w:val="18"/>
                  <w:color w:val="0000EE"/>
                  <w:w w:val="89"/>
                </w:rPr>
                <w:t>Item 1A. Risk Factors</w:t>
              </w:r>
            </w:hyperlink>
          </w:p>
        </w:tc>
        <w:tc>
          <w:tcPr>
            <w:tcW w:w="9500" w:type="dxa"/>
            <w:vAlign w:val="bottom"/>
            <w:gridSpan w:val="13"/>
          </w:tcPr>
          <w:p>
            <w:pPr>
              <w:spacing w:after="0"/>
              <w:rPr>
                <w:sz w:val="24"/>
                <w:szCs w:val="24"/>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132</w:t>
            </w:r>
          </w:p>
        </w:tc>
        <w:tc>
          <w:tcPr>
            <w:tcW w:w="0" w:type="dxa"/>
            <w:vAlign w:val="bottom"/>
          </w:tcPr>
          <w:p>
            <w:pPr>
              <w:spacing w:after="0"/>
              <w:rPr>
                <w:sz w:val="1"/>
                <w:szCs w:val="1"/>
                <w:color w:val="auto"/>
              </w:rPr>
            </w:pPr>
          </w:p>
        </w:tc>
      </w:tr>
      <w:tr>
        <w:trPr>
          <w:trHeight w:val="304"/>
        </w:trPr>
        <w:tc>
          <w:tcPr>
            <w:tcW w:w="520" w:type="dxa"/>
            <w:vAlign w:val="bottom"/>
            <w:tcBorders>
              <w:bottom w:val="single" w:sz="8" w:color="0000EE"/>
            </w:tcBorders>
            <w:gridSpan w:val="2"/>
          </w:tcPr>
          <w:p>
            <w:pPr>
              <w:spacing w:after="0"/>
              <w:rPr>
                <w:rFonts w:ascii="Arial" w:cs="Arial" w:eastAsia="Arial" w:hAnsi="Arial"/>
                <w:sz w:val="18"/>
                <w:szCs w:val="18"/>
                <w:color w:val="0000EE"/>
                <w:w w:val="90"/>
              </w:rPr>
            </w:pPr>
            <w:hyperlink w:anchor="page133">
              <w:r>
                <w:rPr>
                  <w:rFonts w:ascii="Arial" w:cs="Arial" w:eastAsia="Arial" w:hAnsi="Arial"/>
                  <w:sz w:val="18"/>
                  <w:szCs w:val="18"/>
                  <w:color w:val="0000EE"/>
                  <w:w w:val="90"/>
                </w:rPr>
                <w:t>Item 6.</w:t>
              </w:r>
            </w:hyperlink>
          </w:p>
        </w:tc>
        <w:tc>
          <w:tcPr>
            <w:tcW w:w="620" w:type="dxa"/>
            <w:vAlign w:val="bottom"/>
            <w:tcBorders>
              <w:bottom w:val="single" w:sz="8" w:color="0000EE"/>
            </w:tcBorders>
            <w:gridSpan w:val="2"/>
          </w:tcPr>
          <w:p>
            <w:pPr>
              <w:ind w:left="20"/>
              <w:spacing w:after="0"/>
              <w:rPr>
                <w:rFonts w:ascii="Arial" w:cs="Arial" w:eastAsia="Arial" w:hAnsi="Arial"/>
                <w:sz w:val="18"/>
                <w:szCs w:val="18"/>
                <w:color w:val="0000EE"/>
                <w:w w:val="91"/>
              </w:rPr>
            </w:pPr>
            <w:hyperlink w:anchor="page133">
              <w:r>
                <w:rPr>
                  <w:rFonts w:ascii="Arial" w:cs="Arial" w:eastAsia="Arial" w:hAnsi="Arial"/>
                  <w:sz w:val="18"/>
                  <w:szCs w:val="18"/>
                  <w:color w:val="0000EE"/>
                  <w:w w:val="91"/>
                </w:rPr>
                <w:t>Exhibits</w:t>
              </w:r>
            </w:hyperlink>
          </w:p>
        </w:tc>
        <w:tc>
          <w:tcPr>
            <w:tcW w:w="9920" w:type="dxa"/>
            <w:vAlign w:val="bottom"/>
            <w:gridSpan w:val="14"/>
          </w:tcPr>
          <w:p>
            <w:pPr>
              <w:spacing w:after="0"/>
              <w:rPr>
                <w:sz w:val="24"/>
                <w:szCs w:val="24"/>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304"/>
        </w:trPr>
        <w:tc>
          <w:tcPr>
            <w:tcW w:w="11060" w:type="dxa"/>
            <w:vAlign w:val="bottom"/>
            <w:gridSpan w:val="18"/>
          </w:tcPr>
          <w:p>
            <w:pPr>
              <w:spacing w:after="0"/>
              <w:rPr>
                <w:rFonts w:ascii="Arial" w:cs="Arial" w:eastAsia="Arial" w:hAnsi="Arial"/>
                <w:sz w:val="18"/>
                <w:szCs w:val="18"/>
                <w:color w:val="0000EE"/>
              </w:rPr>
            </w:pPr>
            <w:hyperlink w:anchor="page134">
              <w:r>
                <w:rPr>
                  <w:rFonts w:ascii="Arial" w:cs="Arial" w:eastAsia="Arial" w:hAnsi="Arial"/>
                  <w:sz w:val="18"/>
                  <w:szCs w:val="18"/>
                  <w:color w:val="0000EE"/>
                </w:rPr>
                <w:t>Signatures</w:t>
              </w:r>
            </w:hyperlink>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134</w:t>
            </w:r>
          </w:p>
        </w:tc>
        <w:tc>
          <w:tcPr>
            <w:tcW w:w="0" w:type="dxa"/>
            <w:vAlign w:val="bottom"/>
          </w:tcPr>
          <w:p>
            <w:pPr>
              <w:spacing w:after="0"/>
              <w:rPr>
                <w:sz w:val="1"/>
                <w:szCs w:val="1"/>
                <w:color w:val="auto"/>
              </w:rPr>
            </w:pPr>
          </w:p>
        </w:tc>
      </w:tr>
      <w:tr>
        <w:trPr>
          <w:trHeight w:val="383"/>
        </w:trPr>
        <w:tc>
          <w:tcPr>
            <w:tcW w:w="4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6100" w:type="dxa"/>
            <w:vAlign w:val="bottom"/>
            <w:gridSpan w:val="10"/>
          </w:tcPr>
          <w:p>
            <w:pPr>
              <w:jc w:val="right"/>
              <w:ind w:right="1080"/>
              <w:spacing w:after="0"/>
              <w:rPr>
                <w:sz w:val="20"/>
                <w:szCs w:val="20"/>
                <w:color w:val="auto"/>
              </w:rPr>
            </w:pPr>
            <w:r>
              <w:rPr>
                <w:rFonts w:ascii="Arial" w:cs="Arial" w:eastAsia="Arial" w:hAnsi="Arial"/>
                <w:sz w:val="18"/>
                <w:szCs w:val="18"/>
                <w:color w:val="auto"/>
              </w:rPr>
              <w:t>2</w:t>
            </w:r>
          </w:p>
        </w:tc>
        <w:tc>
          <w:tcPr>
            <w:tcW w:w="4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I—FINANCIAL INFORMATION</w:t>
      </w:r>
    </w:p>
    <w:p>
      <w:pPr>
        <w:spacing w:after="0" w:line="90"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Financial Statements</w:t>
      </w:r>
    </w:p>
    <w:p>
      <w:pPr>
        <w:spacing w:after="0" w:line="171"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CONDENSED CONSOLIDATED STATEMENTS OF INCOME</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 except per share amounts)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20" w:type="dxa"/>
            <w:vAlign w:val="bottom"/>
            <w:gridSpan w:val="5"/>
          </w:tcPr>
          <w:p>
            <w:pPr>
              <w:jc w:val="right"/>
              <w:ind w:right="600"/>
              <w:spacing w:after="0"/>
              <w:rPr>
                <w:sz w:val="20"/>
                <w:szCs w:val="20"/>
                <w:color w:val="auto"/>
              </w:rPr>
            </w:pPr>
            <w:r>
              <w:rPr>
                <w:rFonts w:ascii="Arial" w:cs="Arial" w:eastAsia="Arial" w:hAnsi="Arial"/>
                <w:sz w:val="14"/>
                <w:szCs w:val="14"/>
                <w:b w:val="1"/>
                <w:bCs w:val="1"/>
                <w:color w:val="auto"/>
                <w:w w:val="87"/>
              </w:rPr>
              <w:t>Three months ended</w:t>
            </w:r>
          </w:p>
        </w:tc>
        <w:tc>
          <w:tcPr>
            <w:tcW w:w="100" w:type="dxa"/>
            <w:vAlign w:val="bottom"/>
          </w:tcPr>
          <w:p>
            <w:pPr>
              <w:spacing w:after="0"/>
              <w:rPr>
                <w:sz w:val="14"/>
                <w:szCs w:val="14"/>
                <w:color w:val="auto"/>
              </w:rPr>
            </w:pPr>
          </w:p>
        </w:tc>
        <w:tc>
          <w:tcPr>
            <w:tcW w:w="1500" w:type="dxa"/>
            <w:vAlign w:val="bottom"/>
            <w:gridSpan w:val="6"/>
          </w:tcPr>
          <w:p>
            <w:pPr>
              <w:jc w:val="right"/>
              <w:ind w:right="340"/>
              <w:spacing w:after="0"/>
              <w:rPr>
                <w:sz w:val="20"/>
                <w:szCs w:val="20"/>
                <w:color w:val="auto"/>
              </w:rPr>
            </w:pPr>
            <w:r>
              <w:rPr>
                <w:rFonts w:ascii="Arial" w:cs="Arial" w:eastAsia="Arial" w:hAnsi="Arial"/>
                <w:sz w:val="14"/>
                <w:szCs w:val="14"/>
                <w:b w:val="1"/>
                <w:bCs w:val="1"/>
                <w:color w:val="auto"/>
                <w:w w:val="94"/>
              </w:rPr>
              <w:t>Six months ended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78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gridSpan w:val="3"/>
          </w:tcPr>
          <w:p>
            <w:pPr>
              <w:jc w:val="right"/>
              <w:ind w:right="3"/>
              <w:spacing w:after="0"/>
              <w:rPr>
                <w:sz w:val="20"/>
                <w:szCs w:val="20"/>
                <w:color w:val="auto"/>
              </w:rPr>
            </w:pPr>
            <w:r>
              <w:rPr>
                <w:rFonts w:ascii="Arial" w:cs="Arial" w:eastAsia="Arial" w:hAnsi="Arial"/>
                <w:sz w:val="14"/>
                <w:szCs w:val="14"/>
                <w:b w:val="1"/>
                <w:bCs w:val="1"/>
                <w:color w:val="auto"/>
              </w:rPr>
              <w:t>June 30,</w:t>
            </w:r>
          </w:p>
        </w:tc>
        <w:tc>
          <w:tcPr>
            <w:tcW w:w="440" w:type="dxa"/>
            <w:vAlign w:val="bottom"/>
            <w:tcBorders>
              <w:bottom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w w:val="82"/>
              </w:rPr>
              <w:t>June 30,</w:t>
            </w:r>
          </w:p>
        </w:tc>
        <w:tc>
          <w:tcPr>
            <w:tcW w:w="4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w w:val="83"/>
              </w:rPr>
              <w:t>2010</w:t>
            </w:r>
          </w:p>
        </w:tc>
        <w:tc>
          <w:tcPr>
            <w:tcW w:w="4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ind w:right="53"/>
              <w:spacing w:after="0" w:line="142" w:lineRule="exact"/>
              <w:rPr>
                <w:sz w:val="20"/>
                <w:szCs w:val="20"/>
                <w:color w:val="auto"/>
              </w:rPr>
            </w:pPr>
            <w:r>
              <w:rPr>
                <w:rFonts w:ascii="Arial" w:cs="Arial" w:eastAsia="Arial" w:hAnsi="Arial"/>
                <w:sz w:val="14"/>
                <w:szCs w:val="14"/>
                <w:b w:val="1"/>
                <w:bCs w:val="1"/>
                <w:color w:val="auto"/>
                <w:w w:val="89"/>
              </w:rPr>
              <w:t>2009</w:t>
            </w:r>
          </w:p>
        </w:tc>
        <w:tc>
          <w:tcPr>
            <w:tcW w:w="4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ind w:right="14"/>
              <w:spacing w:after="0" w:line="142" w:lineRule="exact"/>
              <w:rPr>
                <w:sz w:val="20"/>
                <w:szCs w:val="20"/>
                <w:color w:val="auto"/>
              </w:rPr>
            </w:pPr>
            <w:r>
              <w:rPr>
                <w:rFonts w:ascii="Arial" w:cs="Arial" w:eastAsia="Arial" w:hAnsi="Arial"/>
                <w:sz w:val="14"/>
                <w:szCs w:val="14"/>
                <w:b w:val="1"/>
                <w:bCs w:val="1"/>
                <w:color w:val="auto"/>
                <w:w w:val="89"/>
              </w:rPr>
              <w:t>2010</w:t>
            </w: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53"/>
              <w:spacing w:after="0" w:line="142" w:lineRule="exact"/>
              <w:rPr>
                <w:sz w:val="20"/>
                <w:szCs w:val="20"/>
                <w:color w:val="auto"/>
              </w:rPr>
            </w:pPr>
            <w:r>
              <w:rPr>
                <w:rFonts w:ascii="Arial" w:cs="Arial" w:eastAsia="Arial" w:hAnsi="Arial"/>
                <w:sz w:val="14"/>
                <w:szCs w:val="14"/>
                <w:b w:val="1"/>
                <w:bCs w:val="1"/>
                <w:color w:val="auto"/>
                <w:w w:val="96"/>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tcPr>
          <w:p>
            <w:pPr>
              <w:spacing w:after="0"/>
              <w:rPr>
                <w:sz w:val="20"/>
                <w:szCs w:val="20"/>
                <w:color w:val="auto"/>
              </w:rPr>
            </w:pPr>
            <w:r>
              <w:rPr>
                <w:rFonts w:ascii="Arial" w:cs="Arial" w:eastAsia="Arial" w:hAnsi="Arial"/>
                <w:sz w:val="18"/>
                <w:szCs w:val="18"/>
                <w:color w:val="auto"/>
              </w:rPr>
              <w:t>Premiums</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Pr>
          <w:p>
            <w:pPr>
              <w:jc w:val="right"/>
              <w:spacing w:after="0"/>
              <w:rPr>
                <w:sz w:val="20"/>
                <w:szCs w:val="20"/>
                <w:color w:val="auto"/>
              </w:rPr>
            </w:pPr>
            <w:r>
              <w:rPr>
                <w:rFonts w:ascii="Arial" w:cs="Arial" w:eastAsia="Arial" w:hAnsi="Arial"/>
                <w:sz w:val="18"/>
                <w:szCs w:val="18"/>
                <w:color w:val="auto"/>
                <w:w w:val="88"/>
              </w:rPr>
              <w:t>1,470</w:t>
            </w:r>
          </w:p>
        </w:tc>
        <w:tc>
          <w:tcPr>
            <w:tcW w:w="4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420"/>
              <w:spacing w:after="0"/>
              <w:rPr>
                <w:sz w:val="20"/>
                <w:szCs w:val="20"/>
                <w:color w:val="auto"/>
              </w:rPr>
            </w:pPr>
            <w:r>
              <w:rPr>
                <w:rFonts w:ascii="Arial" w:cs="Arial" w:eastAsia="Arial" w:hAnsi="Arial"/>
                <w:sz w:val="18"/>
                <w:szCs w:val="18"/>
                <w:color w:val="auto"/>
                <w:w w:val="93"/>
              </w:rPr>
              <w:t>1,502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w w:val="84"/>
              </w:rPr>
              <w:t>2,940</w:t>
            </w:r>
          </w:p>
        </w:tc>
        <w:tc>
          <w:tcPr>
            <w:tcW w:w="260" w:type="dxa"/>
            <w:vAlign w:val="bottom"/>
          </w:tcPr>
          <w:p>
            <w:pPr>
              <w:spacing w:after="0"/>
              <w:rPr>
                <w:sz w:val="18"/>
                <w:szCs w:val="18"/>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3,004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823</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781</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1,588</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1,492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tcPr>
          <w:p>
            <w:pPr>
              <w:spacing w:after="0"/>
              <w:rPr>
                <w:sz w:val="20"/>
                <w:szCs w:val="20"/>
                <w:color w:val="auto"/>
              </w:rPr>
            </w:pPr>
            <w:r>
              <w:rPr>
                <w:rFonts w:ascii="Arial" w:cs="Arial" w:eastAsia="Arial" w:hAnsi="Arial"/>
                <w:sz w:val="18"/>
                <w:szCs w:val="18"/>
                <w:color w:val="auto"/>
              </w:rPr>
              <w:t>Net investment gains (losses)</w:t>
            </w:r>
          </w:p>
        </w:tc>
        <w:tc>
          <w:tcPr>
            <w:tcW w:w="120" w:type="dxa"/>
            <w:vAlign w:val="bottom"/>
          </w:tcPr>
          <w:p>
            <w:pPr>
              <w:spacing w:after="0"/>
              <w:rPr>
                <w:sz w:val="18"/>
                <w:szCs w:val="18"/>
                <w:color w:val="auto"/>
              </w:rPr>
            </w:pPr>
          </w:p>
        </w:tc>
        <w:tc>
          <w:tcPr>
            <w:tcW w:w="860" w:type="dxa"/>
            <w:vAlign w:val="bottom"/>
            <w:gridSpan w:val="2"/>
          </w:tcPr>
          <w:p>
            <w:pPr>
              <w:jc w:val="right"/>
              <w:ind w:right="380"/>
              <w:spacing w:after="0"/>
              <w:rPr>
                <w:sz w:val="20"/>
                <w:szCs w:val="20"/>
                <w:color w:val="auto"/>
              </w:rPr>
            </w:pPr>
            <w:r>
              <w:rPr>
                <w:rFonts w:ascii="Arial" w:cs="Arial" w:eastAsia="Arial" w:hAnsi="Arial"/>
                <w:sz w:val="18"/>
                <w:szCs w:val="18"/>
                <w:color w:val="auto"/>
              </w:rPr>
              <w:t>(139)</w:t>
            </w:r>
          </w:p>
        </w:tc>
        <w:tc>
          <w:tcPr>
            <w:tcW w:w="100" w:type="dxa"/>
            <w:vAlign w:val="bottom"/>
          </w:tcPr>
          <w:p>
            <w:pPr>
              <w:spacing w:after="0"/>
              <w:rPr>
                <w:sz w:val="18"/>
                <w:szCs w:val="18"/>
                <w:color w:val="auto"/>
              </w:rPr>
            </w:pPr>
          </w:p>
        </w:tc>
        <w:tc>
          <w:tcPr>
            <w:tcW w:w="860" w:type="dxa"/>
            <w:vAlign w:val="bottom"/>
            <w:gridSpan w:val="2"/>
          </w:tcPr>
          <w:p>
            <w:pPr>
              <w:jc w:val="right"/>
              <w:ind w:right="360"/>
              <w:spacing w:after="0"/>
              <w:rPr>
                <w:sz w:val="20"/>
                <w:szCs w:val="20"/>
                <w:color w:val="auto"/>
              </w:rPr>
            </w:pPr>
            <w:r>
              <w:rPr>
                <w:rFonts w:ascii="Arial" w:cs="Arial" w:eastAsia="Arial" w:hAnsi="Arial"/>
                <w:sz w:val="18"/>
                <w:szCs w:val="18"/>
                <w:color w:val="auto"/>
              </w:rPr>
              <w:t>(53)</w:t>
            </w:r>
          </w:p>
        </w:tc>
        <w:tc>
          <w:tcPr>
            <w:tcW w:w="100" w:type="dxa"/>
            <w:vAlign w:val="bottom"/>
          </w:tcPr>
          <w:p>
            <w:pPr>
              <w:spacing w:after="0"/>
              <w:rPr>
                <w:sz w:val="18"/>
                <w:szCs w:val="18"/>
                <w:color w:val="auto"/>
              </w:rPr>
            </w:pPr>
          </w:p>
        </w:tc>
        <w:tc>
          <w:tcPr>
            <w:tcW w:w="660" w:type="dxa"/>
            <w:vAlign w:val="bottom"/>
            <w:gridSpan w:val="2"/>
          </w:tcPr>
          <w:p>
            <w:pPr>
              <w:jc w:val="right"/>
              <w:ind w:right="132"/>
              <w:spacing w:after="0"/>
              <w:rPr>
                <w:sz w:val="20"/>
                <w:szCs w:val="20"/>
                <w:color w:val="auto"/>
              </w:rPr>
            </w:pPr>
            <w:r>
              <w:rPr>
                <w:rFonts w:ascii="Arial" w:cs="Arial" w:eastAsia="Arial" w:hAnsi="Arial"/>
                <w:sz w:val="18"/>
                <w:szCs w:val="18"/>
                <w:color w:val="auto"/>
              </w:rPr>
              <w:t>(209)</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(823)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256</w:t>
            </w:r>
          </w:p>
        </w:tc>
        <w:tc>
          <w:tcPr>
            <w:tcW w:w="4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253</w:t>
            </w:r>
          </w:p>
        </w:tc>
        <w:tc>
          <w:tcPr>
            <w:tcW w:w="4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512</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860" w:type="dxa"/>
            <w:vAlign w:val="bottom"/>
          </w:tcPr>
          <w:p>
            <w:pPr>
              <w:ind w:left="420"/>
              <w:spacing w:after="0"/>
              <w:rPr>
                <w:sz w:val="20"/>
                <w:szCs w:val="20"/>
                <w:color w:val="auto"/>
              </w:rPr>
            </w:pPr>
            <w:r>
              <w:rPr>
                <w:rFonts w:ascii="Arial" w:cs="Arial" w:eastAsia="Arial" w:hAnsi="Arial"/>
                <w:sz w:val="18"/>
                <w:szCs w:val="18"/>
                <w:color w:val="auto"/>
              </w:rPr>
              <w:t>Total revenues</w:t>
            </w:r>
          </w:p>
        </w:tc>
        <w:tc>
          <w:tcPr>
            <w:tcW w:w="12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2,410</w:t>
            </w: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gridSpan w:val="2"/>
          </w:tcPr>
          <w:p>
            <w:pPr>
              <w:jc w:val="right"/>
              <w:ind w:right="420"/>
              <w:spacing w:after="0"/>
              <w:rPr>
                <w:sz w:val="20"/>
                <w:szCs w:val="20"/>
                <w:color w:val="auto"/>
              </w:rPr>
            </w:pPr>
            <w:r>
              <w:rPr>
                <w:rFonts w:ascii="Arial" w:cs="Arial" w:eastAsia="Arial" w:hAnsi="Arial"/>
                <w:sz w:val="18"/>
                <w:szCs w:val="18"/>
                <w:color w:val="auto"/>
                <w:w w:val="93"/>
              </w:rPr>
              <w:t>2,483</w:t>
            </w: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4,831</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4,217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tcPr>
          <w:p>
            <w:pPr>
              <w:spacing w:after="0"/>
              <w:rPr>
                <w:sz w:val="20"/>
                <w:szCs w:val="20"/>
                <w:color w:val="auto"/>
              </w:rPr>
            </w:pPr>
            <w:r>
              <w:rPr>
                <w:rFonts w:ascii="Arial" w:cs="Arial" w:eastAsia="Arial" w:hAnsi="Arial"/>
                <w:sz w:val="18"/>
                <w:szCs w:val="18"/>
                <w:color w:val="auto"/>
              </w:rPr>
              <w:t>Benefits and other changes in policy reserves</w:t>
            </w: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1,340</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420"/>
              <w:spacing w:after="0"/>
              <w:rPr>
                <w:sz w:val="20"/>
                <w:szCs w:val="20"/>
                <w:color w:val="auto"/>
              </w:rPr>
            </w:pPr>
            <w:r>
              <w:rPr>
                <w:rFonts w:ascii="Arial" w:cs="Arial" w:eastAsia="Arial" w:hAnsi="Arial"/>
                <w:sz w:val="18"/>
                <w:szCs w:val="18"/>
                <w:color w:val="auto"/>
                <w:w w:val="93"/>
              </w:rPr>
              <w:t>1,492</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2,655</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3,000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Interest credited</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263</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424</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tcPr>
          <w:p>
            <w:pPr>
              <w:spacing w:after="0"/>
              <w:rPr>
                <w:sz w:val="20"/>
                <w:szCs w:val="20"/>
                <w:color w:val="auto"/>
              </w:rPr>
            </w:pPr>
            <w:r>
              <w:rPr>
                <w:rFonts w:ascii="Arial" w:cs="Arial" w:eastAsia="Arial" w:hAnsi="Arial"/>
                <w:sz w:val="18"/>
                <w:szCs w:val="18"/>
                <w:color w:val="auto"/>
              </w:rPr>
              <w:t>Acquisition and operating expenses, net of deferrals</w:t>
            </w: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499</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420"/>
              <w:spacing w:after="0"/>
              <w:rPr>
                <w:sz w:val="20"/>
                <w:szCs w:val="20"/>
                <w:color w:val="auto"/>
              </w:rPr>
            </w:pPr>
            <w:r>
              <w:rPr>
                <w:rFonts w:ascii="Arial" w:cs="Arial" w:eastAsia="Arial" w:hAnsi="Arial"/>
                <w:sz w:val="18"/>
                <w:szCs w:val="18"/>
                <w:color w:val="auto"/>
              </w:rPr>
              <w:t>456</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974</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897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212</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363</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860" w:type="dxa"/>
            <w:vAlign w:val="bottom"/>
          </w:tcPr>
          <w:p>
            <w:pPr>
              <w:spacing w:after="0"/>
              <w:rPr>
                <w:sz w:val="20"/>
                <w:szCs w:val="20"/>
                <w:color w:val="auto"/>
              </w:rPr>
            </w:pPr>
            <w:r>
              <w:rPr>
                <w:rFonts w:ascii="Arial" w:cs="Arial" w:eastAsia="Arial" w:hAnsi="Arial"/>
                <w:sz w:val="18"/>
                <w:szCs w:val="18"/>
                <w:color w:val="auto"/>
              </w:rPr>
              <w:t>Interest expense</w:t>
            </w:r>
          </w:p>
        </w:tc>
        <w:tc>
          <w:tcPr>
            <w:tcW w:w="1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w:t>
            </w:r>
          </w:p>
        </w:tc>
        <w:tc>
          <w:tcPr>
            <w:tcW w:w="4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w:t>
            </w:r>
          </w:p>
        </w:tc>
        <w:tc>
          <w:tcPr>
            <w:tcW w:w="4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224</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benefits and expenses</w:t>
            </w: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2,338</w:t>
            </w:r>
          </w:p>
        </w:tc>
        <w:tc>
          <w:tcPr>
            <w:tcW w:w="4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2,537</w:t>
            </w:r>
          </w:p>
        </w:tc>
        <w:tc>
          <w:tcPr>
            <w:tcW w:w="4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4,640</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5,104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7880" w:type="dxa"/>
            <w:vAlign w:val="bottom"/>
            <w:gridSpan w:val="2"/>
          </w:tcPr>
          <w:p>
            <w:pPr>
              <w:spacing w:after="0"/>
              <w:rPr>
                <w:sz w:val="20"/>
                <w:szCs w:val="20"/>
                <w:color w:val="auto"/>
              </w:rPr>
            </w:pPr>
            <w:r>
              <w:rPr>
                <w:rFonts w:ascii="Arial" w:cs="Arial" w:eastAsia="Arial" w:hAnsi="Arial"/>
                <w:sz w:val="18"/>
                <w:szCs w:val="18"/>
                <w:color w:val="auto"/>
              </w:rPr>
              <w:t>Income (loss) before income taxes</w:t>
            </w: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72</w:t>
            </w: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360"/>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191</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(887)</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Benefit for income taxes</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32"/>
              <w:spacing w:after="0"/>
              <w:rPr>
                <w:sz w:val="20"/>
                <w:szCs w:val="20"/>
                <w:color w:val="auto"/>
              </w:rPr>
            </w:pPr>
            <w:r>
              <w:rPr>
                <w:rFonts w:ascii="Arial" w:cs="Arial" w:eastAsia="Arial" w:hAnsi="Arial"/>
                <w:sz w:val="18"/>
                <w:szCs w:val="18"/>
                <w:color w:val="auto"/>
              </w:rPr>
              <w:t>(98)</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0"/>
        </w:trPr>
        <w:tc>
          <w:tcPr>
            <w:tcW w:w="7880" w:type="dxa"/>
            <w:vAlign w:val="bottom"/>
            <w:gridSpan w:val="2"/>
            <w:vMerge w:val="restart"/>
          </w:tcPr>
          <w:p>
            <w:pPr>
              <w:spacing w:after="0"/>
              <w:rPr>
                <w:sz w:val="20"/>
                <w:szCs w:val="20"/>
                <w:color w:val="auto"/>
              </w:rPr>
            </w:pPr>
            <w:r>
              <w:rPr>
                <w:rFonts w:ascii="Arial" w:cs="Arial" w:eastAsia="Arial" w:hAnsi="Arial"/>
                <w:sz w:val="18"/>
                <w:szCs w:val="18"/>
                <w:color w:val="auto"/>
              </w:rPr>
              <w:t>Net income (loss)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88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77</w:t>
            </w: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360"/>
              <w:spacing w:after="0"/>
              <w:rPr>
                <w:sz w:val="20"/>
                <w:szCs w:val="20"/>
                <w:color w:val="auto"/>
              </w:rPr>
            </w:pPr>
            <w:r>
              <w:rPr>
                <w:rFonts w:ascii="Arial" w:cs="Arial" w:eastAsia="Arial" w:hAnsi="Arial"/>
                <w:sz w:val="18"/>
                <w:szCs w:val="18"/>
                <w:color w:val="auto"/>
              </w:rPr>
              <w:t>(50)</w:t>
            </w: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289</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(519)</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4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7880" w:type="dxa"/>
            <w:vAlign w:val="bottom"/>
            <w:gridSpan w:val="2"/>
          </w:tcPr>
          <w:p>
            <w:pPr>
              <w:spacing w:after="0"/>
              <w:rPr>
                <w:sz w:val="20"/>
                <w:szCs w:val="20"/>
                <w:color w:val="auto"/>
              </w:rPr>
            </w:pPr>
            <w:r>
              <w:rPr>
                <w:rFonts w:ascii="Arial" w:cs="Arial" w:eastAsia="Arial" w:hAnsi="Arial"/>
                <w:sz w:val="18"/>
                <w:szCs w:val="18"/>
                <w:color w:val="auto"/>
              </w:rPr>
              <w:t>Net income (loss) available to Genworth Financial, Inc.’s common stockholders</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42</w:t>
            </w:r>
          </w:p>
        </w:tc>
        <w:tc>
          <w:tcPr>
            <w:tcW w:w="4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360"/>
              <w:spacing w:after="0"/>
              <w:rPr>
                <w:sz w:val="20"/>
                <w:szCs w:val="20"/>
                <w:color w:val="auto"/>
              </w:rPr>
            </w:pPr>
            <w:r>
              <w:rPr>
                <w:rFonts w:ascii="Arial" w:cs="Arial" w:eastAsia="Arial" w:hAnsi="Arial"/>
                <w:sz w:val="18"/>
                <w:szCs w:val="18"/>
                <w:color w:val="auto"/>
              </w:rPr>
              <w:t>(50)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220</w:t>
            </w:r>
          </w:p>
        </w:tc>
        <w:tc>
          <w:tcPr>
            <w:tcW w:w="26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(519)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w w:val="99"/>
              </w:rPr>
              <w:t>Net income (loss) available to Genworth Financial, Inc.’s common stockholders per common share:</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tcPr>
          <w:p>
            <w:pPr>
              <w:ind w:left="420"/>
              <w:spacing w:after="0"/>
              <w:rPr>
                <w:sz w:val="20"/>
                <w:szCs w:val="20"/>
                <w:color w:val="auto"/>
              </w:rPr>
            </w:pPr>
            <w:r>
              <w:rPr>
                <w:rFonts w:ascii="Arial" w:cs="Arial" w:eastAsia="Arial" w:hAnsi="Arial"/>
                <w:sz w:val="18"/>
                <w:szCs w:val="18"/>
                <w:color w:val="auto"/>
              </w:rPr>
              <w:t>Basic</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0.09</w:t>
            </w:r>
          </w:p>
        </w:tc>
        <w:tc>
          <w:tcPr>
            <w:tcW w:w="4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360"/>
              <w:spacing w:after="0"/>
              <w:rPr>
                <w:sz w:val="20"/>
                <w:szCs w:val="20"/>
                <w:color w:val="auto"/>
              </w:rPr>
            </w:pPr>
            <w:r>
              <w:rPr>
                <w:rFonts w:ascii="Arial" w:cs="Arial" w:eastAsia="Arial" w:hAnsi="Arial"/>
                <w:sz w:val="18"/>
                <w:szCs w:val="18"/>
                <w:color w:val="auto"/>
              </w:rPr>
              <w:t>(0.11)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0.45</w:t>
            </w:r>
          </w:p>
        </w:tc>
        <w:tc>
          <w:tcPr>
            <w:tcW w:w="260" w:type="dxa"/>
            <w:vAlign w:val="bottom"/>
          </w:tcPr>
          <w:p>
            <w:pPr>
              <w:spacing w:after="0"/>
              <w:rPr>
                <w:sz w:val="18"/>
                <w:szCs w:val="18"/>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8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Diluted</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0.08</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(0.11)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0.45</w:t>
            </w:r>
          </w:p>
        </w:tc>
        <w:tc>
          <w:tcPr>
            <w:tcW w:w="2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r>
        <w:trPr>
          <w:trHeight w:val="20"/>
        </w:trPr>
        <w:tc>
          <w:tcPr>
            <w:tcW w:w="7880" w:type="dxa"/>
            <w:vAlign w:val="bottom"/>
            <w:gridSpan w:val="2"/>
            <w:vMerge w:val="restart"/>
          </w:tcPr>
          <w:p>
            <w:pPr>
              <w:spacing w:after="0"/>
              <w:rPr>
                <w:sz w:val="20"/>
                <w:szCs w:val="20"/>
                <w:color w:val="auto"/>
              </w:rPr>
            </w:pPr>
            <w:r>
              <w:rPr>
                <w:rFonts w:ascii="Arial" w:cs="Arial" w:eastAsia="Arial" w:hAnsi="Arial"/>
                <w:sz w:val="18"/>
                <w:szCs w:val="18"/>
                <w:color w:val="auto"/>
              </w:rPr>
              <w:t>Weighted-average common shares outstanding:</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88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8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Basic</w:t>
            </w: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489.1</w:t>
            </w:r>
          </w:p>
        </w:tc>
        <w:tc>
          <w:tcPr>
            <w:tcW w:w="4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433.2</w:t>
            </w:r>
          </w:p>
        </w:tc>
        <w:tc>
          <w:tcPr>
            <w:tcW w:w="4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489.0</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433.2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60" w:type="dxa"/>
            <w:vAlign w:val="bottom"/>
            <w:vMerge w:val="restart"/>
          </w:tcPr>
          <w:p>
            <w:pPr>
              <w:ind w:left="420"/>
              <w:spacing w:after="0"/>
              <w:rPr>
                <w:sz w:val="20"/>
                <w:szCs w:val="20"/>
                <w:color w:val="auto"/>
              </w:rPr>
            </w:pPr>
            <w:r>
              <w:rPr>
                <w:rFonts w:ascii="Arial" w:cs="Arial" w:eastAsia="Arial" w:hAnsi="Arial"/>
                <w:sz w:val="18"/>
                <w:szCs w:val="18"/>
                <w:color w:val="auto"/>
              </w:rPr>
              <w:t>Diluted</w:t>
            </w:r>
          </w:p>
        </w:tc>
        <w:tc>
          <w:tcPr>
            <w:tcW w:w="1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78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494.2</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420"/>
              <w:spacing w:after="0"/>
              <w:rPr>
                <w:sz w:val="20"/>
                <w:szCs w:val="20"/>
                <w:color w:val="auto"/>
              </w:rPr>
            </w:pPr>
            <w:r>
              <w:rPr>
                <w:rFonts w:ascii="Arial" w:cs="Arial" w:eastAsia="Arial" w:hAnsi="Arial"/>
                <w:sz w:val="18"/>
                <w:szCs w:val="18"/>
                <w:color w:val="auto"/>
                <w:w w:val="93"/>
              </w:rPr>
              <w:t>433.2</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493.9</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433.2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Supplemental disclosures:</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tcPr>
          <w:p>
            <w:pPr>
              <w:spacing w:after="0"/>
              <w:rPr>
                <w:sz w:val="20"/>
                <w:szCs w:val="20"/>
                <w:color w:val="auto"/>
              </w:rPr>
            </w:pPr>
            <w:r>
              <w:rPr>
                <w:rFonts w:ascii="Arial" w:cs="Arial" w:eastAsia="Arial" w:hAnsi="Arial"/>
                <w:sz w:val="18"/>
                <w:szCs w:val="18"/>
                <w:color w:val="auto"/>
              </w:rPr>
              <w:t>Total other-than-temporary impairments</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380"/>
              <w:spacing w:after="0"/>
              <w:rPr>
                <w:sz w:val="20"/>
                <w:szCs w:val="20"/>
                <w:color w:val="auto"/>
              </w:rPr>
            </w:pPr>
            <w:r>
              <w:rPr>
                <w:rFonts w:ascii="Arial" w:cs="Arial" w:eastAsia="Arial" w:hAnsi="Arial"/>
                <w:sz w:val="18"/>
                <w:szCs w:val="18"/>
                <w:color w:val="auto"/>
              </w:rPr>
              <w:t>(24)</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360"/>
              <w:spacing w:after="0"/>
              <w:rPr>
                <w:sz w:val="20"/>
                <w:szCs w:val="20"/>
                <w:color w:val="auto"/>
              </w:rPr>
            </w:pPr>
            <w:r>
              <w:rPr>
                <w:rFonts w:ascii="Arial" w:cs="Arial" w:eastAsia="Arial" w:hAnsi="Arial"/>
                <w:sz w:val="18"/>
                <w:szCs w:val="18"/>
                <w:color w:val="auto"/>
              </w:rPr>
              <w:t>(476)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jc w:val="right"/>
              <w:ind w:right="132"/>
              <w:spacing w:after="0"/>
              <w:rPr>
                <w:sz w:val="20"/>
                <w:szCs w:val="20"/>
                <w:color w:val="auto"/>
              </w:rPr>
            </w:pPr>
            <w:r>
              <w:rPr>
                <w:rFonts w:ascii="Arial" w:cs="Arial" w:eastAsia="Arial" w:hAnsi="Arial"/>
                <w:sz w:val="18"/>
                <w:szCs w:val="18"/>
                <w:color w:val="auto"/>
              </w:rPr>
              <w:t>(101)</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w w:val="87"/>
              </w:rPr>
              <w:t>(1,073)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Portion of other-than-temporary impairments included in other comprehensive income (loss)</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(27)</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324</w:t>
            </w: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32"/>
              <w:spacing w:after="0"/>
              <w:rPr>
                <w:sz w:val="20"/>
                <w:szCs w:val="20"/>
                <w:color w:val="auto"/>
              </w:rPr>
            </w:pPr>
            <w:r>
              <w:rPr>
                <w:rFonts w:ascii="Arial" w:cs="Arial" w:eastAsia="Arial" w:hAnsi="Arial"/>
                <w:sz w:val="18"/>
                <w:szCs w:val="18"/>
                <w:color w:val="auto"/>
              </w:rPr>
              <w:t>(30)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324</w:t>
            </w:r>
          </w:p>
        </w:tc>
        <w:tc>
          <w:tcPr>
            <w:tcW w:w="0" w:type="dxa"/>
            <w:vAlign w:val="bottom"/>
          </w:tcPr>
          <w:p>
            <w:pPr>
              <w:spacing w:after="0"/>
              <w:rPr>
                <w:sz w:val="1"/>
                <w:szCs w:val="1"/>
                <w:color w:val="auto"/>
              </w:rPr>
            </w:pPr>
          </w:p>
        </w:tc>
      </w:tr>
      <w:tr>
        <w:trPr>
          <w:trHeight w:val="20"/>
        </w:trPr>
        <w:tc>
          <w:tcPr>
            <w:tcW w:w="7880" w:type="dxa"/>
            <w:vAlign w:val="bottom"/>
            <w:gridSpan w:val="2"/>
            <w:vMerge w:val="restart"/>
          </w:tcPr>
          <w:p>
            <w:pPr>
              <w:spacing w:after="0"/>
              <w:rPr>
                <w:sz w:val="20"/>
                <w:szCs w:val="20"/>
                <w:color w:val="auto"/>
              </w:rPr>
            </w:pPr>
            <w:r>
              <w:rPr>
                <w:rFonts w:ascii="Arial" w:cs="Arial" w:eastAsia="Arial" w:hAnsi="Arial"/>
                <w:sz w:val="18"/>
                <w:szCs w:val="18"/>
                <w:color w:val="auto"/>
              </w:rPr>
              <w:t>Net other-than-temporary impairments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88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380"/>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19"/>
                <w:szCs w:val="19"/>
                <w:color w:val="auto"/>
              </w:rPr>
            </w:pPr>
          </w:p>
        </w:tc>
        <w:tc>
          <w:tcPr>
            <w:tcW w:w="860" w:type="dxa"/>
            <w:vAlign w:val="bottom"/>
            <w:gridSpan w:val="2"/>
          </w:tcPr>
          <w:p>
            <w:pPr>
              <w:jc w:val="right"/>
              <w:ind w:right="360"/>
              <w:spacing w:after="0"/>
              <w:rPr>
                <w:sz w:val="20"/>
                <w:szCs w:val="20"/>
                <w:color w:val="auto"/>
              </w:rPr>
            </w:pPr>
            <w:r>
              <w:rPr>
                <w:rFonts w:ascii="Arial" w:cs="Arial" w:eastAsia="Arial" w:hAnsi="Arial"/>
                <w:sz w:val="18"/>
                <w:szCs w:val="18"/>
                <w:color w:val="auto"/>
              </w:rPr>
              <w:t>(152)</w:t>
            </w:r>
          </w:p>
        </w:tc>
        <w:tc>
          <w:tcPr>
            <w:tcW w:w="100" w:type="dxa"/>
            <w:vAlign w:val="bottom"/>
          </w:tcPr>
          <w:p>
            <w:pPr>
              <w:spacing w:after="0"/>
              <w:rPr>
                <w:sz w:val="19"/>
                <w:szCs w:val="19"/>
                <w:color w:val="auto"/>
              </w:rPr>
            </w:pPr>
          </w:p>
        </w:tc>
        <w:tc>
          <w:tcPr>
            <w:tcW w:w="660" w:type="dxa"/>
            <w:vAlign w:val="bottom"/>
            <w:gridSpan w:val="2"/>
          </w:tcPr>
          <w:p>
            <w:pPr>
              <w:jc w:val="right"/>
              <w:ind w:right="132"/>
              <w:spacing w:after="0"/>
              <w:rPr>
                <w:sz w:val="20"/>
                <w:szCs w:val="20"/>
                <w:color w:val="auto"/>
              </w:rPr>
            </w:pPr>
            <w:r>
              <w:rPr>
                <w:rFonts w:ascii="Arial" w:cs="Arial" w:eastAsia="Arial" w:hAnsi="Arial"/>
                <w:sz w:val="18"/>
                <w:szCs w:val="18"/>
                <w:color w:val="auto"/>
              </w:rPr>
              <w:t>(131)</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(749)</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Other investment gains (losses)</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(88)</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99</w:t>
            </w: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32"/>
              <w:spacing w:after="0"/>
              <w:rPr>
                <w:sz w:val="20"/>
                <w:szCs w:val="20"/>
                <w:color w:val="auto"/>
              </w:rPr>
            </w:pPr>
            <w:r>
              <w:rPr>
                <w:rFonts w:ascii="Arial" w:cs="Arial" w:eastAsia="Arial" w:hAnsi="Arial"/>
                <w:sz w:val="18"/>
                <w:szCs w:val="18"/>
                <w:color w:val="auto"/>
              </w:rPr>
              <w:t>(78)</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0"/>
        </w:trPr>
        <w:tc>
          <w:tcPr>
            <w:tcW w:w="7880" w:type="dxa"/>
            <w:vAlign w:val="bottom"/>
            <w:gridSpan w:val="2"/>
            <w:vMerge w:val="restart"/>
          </w:tcPr>
          <w:p>
            <w:pPr>
              <w:spacing w:after="0"/>
              <w:rPr>
                <w:sz w:val="20"/>
                <w:szCs w:val="20"/>
                <w:color w:val="auto"/>
              </w:rPr>
            </w:pPr>
            <w:r>
              <w:rPr>
                <w:rFonts w:ascii="Arial" w:cs="Arial" w:eastAsia="Arial" w:hAnsi="Arial"/>
                <w:sz w:val="18"/>
                <w:szCs w:val="18"/>
                <w:color w:val="auto"/>
              </w:rPr>
              <w:t>Total net investment gains (losses)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880" w:type="dxa"/>
            <w:vAlign w:val="bottom"/>
            <w:gridSpan w:val="2"/>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380"/>
              <w:spacing w:after="0"/>
              <w:rPr>
                <w:sz w:val="20"/>
                <w:szCs w:val="20"/>
                <w:color w:val="auto"/>
              </w:rPr>
            </w:pPr>
            <w:r>
              <w:rPr>
                <w:rFonts w:ascii="Arial" w:cs="Arial" w:eastAsia="Arial" w:hAnsi="Arial"/>
                <w:sz w:val="18"/>
                <w:szCs w:val="18"/>
                <w:color w:val="auto"/>
              </w:rPr>
              <w:t>(139)</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360"/>
              <w:spacing w:after="0"/>
              <w:rPr>
                <w:sz w:val="20"/>
                <w:szCs w:val="20"/>
                <w:color w:val="auto"/>
              </w:rPr>
            </w:pPr>
            <w:r>
              <w:rPr>
                <w:rFonts w:ascii="Arial" w:cs="Arial" w:eastAsia="Arial" w:hAnsi="Arial"/>
                <w:sz w:val="18"/>
                <w:szCs w:val="18"/>
                <w:color w:val="auto"/>
              </w:rPr>
              <w:t>(53)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jc w:val="right"/>
              <w:ind w:right="132"/>
              <w:spacing w:after="0"/>
              <w:rPr>
                <w:sz w:val="20"/>
                <w:szCs w:val="20"/>
                <w:color w:val="auto"/>
              </w:rPr>
            </w:pPr>
            <w:r>
              <w:rPr>
                <w:rFonts w:ascii="Arial" w:cs="Arial" w:eastAsia="Arial" w:hAnsi="Arial"/>
                <w:sz w:val="18"/>
                <w:szCs w:val="18"/>
                <w:color w:val="auto"/>
              </w:rPr>
              <w:t>(209)</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(823)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362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 except per share amounts)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3"/>
          </w:tcPr>
          <w:p>
            <w:pPr>
              <w:jc w:val="right"/>
              <w:ind w:right="740"/>
              <w:spacing w:after="0"/>
              <w:rPr>
                <w:sz w:val="20"/>
                <w:szCs w:val="20"/>
                <w:color w:val="auto"/>
              </w:rPr>
            </w:pPr>
            <w:r>
              <w:rPr>
                <w:rFonts w:ascii="Arial" w:cs="Arial" w:eastAsia="Arial" w:hAnsi="Arial"/>
                <w:sz w:val="14"/>
                <w:szCs w:val="14"/>
                <w:b w:val="1"/>
                <w:bCs w:val="1"/>
                <w:color w:val="auto"/>
                <w:w w:val="85"/>
              </w:rPr>
              <w:t>June 30,</w:t>
            </w:r>
          </w:p>
        </w:tc>
        <w:tc>
          <w:tcPr>
            <w:tcW w:w="880" w:type="dxa"/>
            <w:vAlign w:val="bottom"/>
            <w:gridSpan w:val="3"/>
          </w:tcPr>
          <w:p>
            <w:pPr>
              <w:spacing w:after="0"/>
              <w:rPr>
                <w:sz w:val="20"/>
                <w:szCs w:val="20"/>
                <w:color w:val="auto"/>
              </w:rPr>
            </w:pPr>
            <w:r>
              <w:rPr>
                <w:rFonts w:ascii="Arial" w:cs="Arial" w:eastAsia="Arial" w:hAnsi="Arial"/>
                <w:sz w:val="14"/>
                <w:szCs w:val="14"/>
                <w:b w:val="1"/>
                <w:bCs w:val="1"/>
                <w:color w:val="auto"/>
                <w:w w:val="94"/>
              </w:rPr>
              <w:t>December 31,</w:t>
            </w:r>
          </w:p>
        </w:tc>
      </w:tr>
      <w:tr>
        <w:trPr>
          <w:trHeight w:val="161"/>
        </w:trPr>
        <w:tc>
          <w:tcPr>
            <w:tcW w:w="92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2010</w:t>
            </w:r>
          </w:p>
        </w:tc>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2009</w:t>
            </w:r>
          </w:p>
        </w:tc>
        <w:tc>
          <w:tcPr>
            <w:tcW w:w="80" w:type="dxa"/>
            <w:vAlign w:val="bottom"/>
          </w:tcPr>
          <w:p>
            <w:pPr>
              <w:spacing w:after="0"/>
              <w:rPr>
                <w:sz w:val="14"/>
                <w:szCs w:val="14"/>
                <w:color w:val="auto"/>
              </w:rPr>
            </w:pPr>
          </w:p>
        </w:tc>
      </w:tr>
      <w:tr>
        <w:trPr>
          <w:trHeight w:val="142"/>
        </w:trPr>
        <w:tc>
          <w:tcPr>
            <w:tcW w:w="9200" w:type="dxa"/>
            <w:vAlign w:val="bottom"/>
          </w:tcPr>
          <w:p>
            <w:pPr>
              <w:spacing w:after="0"/>
              <w:rPr>
                <w:sz w:val="12"/>
                <w:szCs w:val="12"/>
                <w:color w:val="auto"/>
              </w:rPr>
            </w:pPr>
          </w:p>
        </w:tc>
        <w:tc>
          <w:tcPr>
            <w:tcW w:w="70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87"/>
              </w:rPr>
              <w:t>(Unaudited)</w:t>
            </w:r>
          </w:p>
        </w:tc>
        <w:tc>
          <w:tcPr>
            <w:tcW w:w="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r>
      <w:tr>
        <w:trPr>
          <w:trHeight w:val="149"/>
        </w:trPr>
        <w:tc>
          <w:tcPr>
            <w:tcW w:w="9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Assets</w:t>
            </w: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r>
      <w:tr>
        <w:trPr>
          <w:trHeight w:val="149"/>
        </w:trPr>
        <w:tc>
          <w:tcPr>
            <w:tcW w:w="9200" w:type="dxa"/>
            <w:vAlign w:val="bottom"/>
          </w:tcPr>
          <w:p>
            <w:pPr>
              <w:ind w:left="440"/>
              <w:spacing w:after="0" w:line="149" w:lineRule="exact"/>
              <w:rPr>
                <w:sz w:val="20"/>
                <w:szCs w:val="20"/>
                <w:color w:val="auto"/>
              </w:rPr>
            </w:pPr>
            <w:r>
              <w:rPr>
                <w:rFonts w:ascii="Arial" w:cs="Arial" w:eastAsia="Arial" w:hAnsi="Arial"/>
                <w:sz w:val="14"/>
                <w:szCs w:val="14"/>
                <w:color w:val="auto"/>
              </w:rPr>
              <w:t>Investments:</w:t>
            </w: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Fixed maturity securities available-for-sale, at fair value</w:t>
            </w:r>
          </w:p>
        </w:tc>
        <w:tc>
          <w:tcPr>
            <w:tcW w:w="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53,386</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49,752</w:t>
            </w:r>
          </w:p>
        </w:tc>
      </w:tr>
      <w:tr>
        <w:trPr>
          <w:trHeight w:val="149"/>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Equity securities available-for-sale, at fair value</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199</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159</w:t>
            </w: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Commercial mortgage loans</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7,208</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7,499</w:t>
            </w:r>
          </w:p>
        </w:tc>
      </w:tr>
      <w:tr>
        <w:trPr>
          <w:trHeight w:val="149"/>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Restricted commercial mortgage loans related to securitization entities</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535</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Policy loans</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1,467</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1,403</w:t>
            </w:r>
          </w:p>
        </w:tc>
      </w:tr>
      <w:tr>
        <w:trPr>
          <w:trHeight w:val="149"/>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Other invested assets</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4,042</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4,702</w:t>
            </w: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Restricted other invested assets related to securitization entities ($373 at fair value)</w:t>
            </w:r>
          </w:p>
        </w:tc>
        <w:tc>
          <w:tcPr>
            <w:tcW w:w="10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374</w:t>
            </w: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r>
      <w:tr>
        <w:trPr>
          <w:trHeight w:val="156"/>
        </w:trPr>
        <w:tc>
          <w:tcPr>
            <w:tcW w:w="9200" w:type="dxa"/>
            <w:vAlign w:val="bottom"/>
          </w:tcPr>
          <w:p>
            <w:pPr>
              <w:ind w:left="1300"/>
              <w:spacing w:after="0" w:line="155" w:lineRule="exact"/>
              <w:rPr>
                <w:sz w:val="20"/>
                <w:szCs w:val="20"/>
                <w:color w:val="auto"/>
              </w:rPr>
            </w:pPr>
            <w:r>
              <w:rPr>
                <w:rFonts w:ascii="Arial" w:cs="Arial" w:eastAsia="Arial" w:hAnsi="Arial"/>
                <w:sz w:val="14"/>
                <w:szCs w:val="14"/>
                <w:color w:val="auto"/>
              </w:rPr>
              <w:t>Total investments</w:t>
            </w:r>
          </w:p>
        </w:tc>
        <w:tc>
          <w:tcPr>
            <w:tcW w:w="100" w:type="dxa"/>
            <w:vAlign w:val="bottom"/>
          </w:tcPr>
          <w:p>
            <w:pPr>
              <w:spacing w:after="0"/>
              <w:rPr>
                <w:sz w:val="13"/>
                <w:szCs w:val="13"/>
                <w:color w:val="auto"/>
              </w:rPr>
            </w:pPr>
          </w:p>
        </w:tc>
        <w:tc>
          <w:tcPr>
            <w:tcW w:w="620" w:type="dxa"/>
            <w:vAlign w:val="bottom"/>
            <w:gridSpan w:val="2"/>
          </w:tcPr>
          <w:p>
            <w:pPr>
              <w:jc w:val="right"/>
              <w:ind w:right="20"/>
              <w:spacing w:after="0" w:line="155" w:lineRule="exact"/>
              <w:rPr>
                <w:sz w:val="20"/>
                <w:szCs w:val="20"/>
                <w:color w:val="auto"/>
              </w:rPr>
            </w:pPr>
            <w:r>
              <w:rPr>
                <w:rFonts w:ascii="Arial" w:cs="Arial" w:eastAsia="Arial" w:hAnsi="Arial"/>
                <w:sz w:val="14"/>
                <w:szCs w:val="14"/>
                <w:color w:val="auto"/>
              </w:rPr>
              <w:t>67,211</w:t>
            </w: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gridSpan w:val="2"/>
          </w:tcPr>
          <w:p>
            <w:pPr>
              <w:jc w:val="right"/>
              <w:ind w:right="80"/>
              <w:spacing w:after="0" w:line="155" w:lineRule="exact"/>
              <w:rPr>
                <w:sz w:val="20"/>
                <w:szCs w:val="20"/>
                <w:color w:val="auto"/>
              </w:rPr>
            </w:pPr>
            <w:r>
              <w:rPr>
                <w:rFonts w:ascii="Arial" w:cs="Arial" w:eastAsia="Arial" w:hAnsi="Arial"/>
                <w:sz w:val="14"/>
                <w:szCs w:val="14"/>
                <w:color w:val="auto"/>
              </w:rPr>
              <w:t>63,515</w:t>
            </w:r>
          </w:p>
        </w:tc>
      </w:tr>
      <w:tr>
        <w:trPr>
          <w:trHeight w:val="149"/>
        </w:trPr>
        <w:tc>
          <w:tcPr>
            <w:tcW w:w="9200" w:type="dxa"/>
            <w:vAlign w:val="bottom"/>
            <w:shd w:val="clear" w:color="auto" w:fill="CCEEFF"/>
          </w:tcPr>
          <w:p>
            <w:pPr>
              <w:ind w:left="440"/>
              <w:spacing w:after="0" w:line="149" w:lineRule="exact"/>
              <w:rPr>
                <w:sz w:val="20"/>
                <w:szCs w:val="20"/>
                <w:color w:val="auto"/>
              </w:rPr>
            </w:pPr>
            <w:r>
              <w:rPr>
                <w:rFonts w:ascii="Arial" w:cs="Arial" w:eastAsia="Arial" w:hAnsi="Arial"/>
                <w:sz w:val="14"/>
                <w:szCs w:val="14"/>
                <w:color w:val="auto"/>
              </w:rPr>
              <w:t>Cash and cash equivalents</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4,586</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5,002</w:t>
            </w:r>
          </w:p>
        </w:tc>
      </w:tr>
      <w:tr>
        <w:trPr>
          <w:trHeight w:val="149"/>
        </w:trPr>
        <w:tc>
          <w:tcPr>
            <w:tcW w:w="9200" w:type="dxa"/>
            <w:vAlign w:val="bottom"/>
          </w:tcPr>
          <w:p>
            <w:pPr>
              <w:ind w:left="440"/>
              <w:spacing w:after="0" w:line="149" w:lineRule="exact"/>
              <w:rPr>
                <w:sz w:val="20"/>
                <w:szCs w:val="20"/>
                <w:color w:val="auto"/>
              </w:rPr>
            </w:pPr>
            <w:r>
              <w:rPr>
                <w:rFonts w:ascii="Arial" w:cs="Arial" w:eastAsia="Arial" w:hAnsi="Arial"/>
                <w:sz w:val="14"/>
                <w:szCs w:val="14"/>
                <w:color w:val="auto"/>
              </w:rPr>
              <w:t>Accrued investment income</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696</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691</w:t>
            </w:r>
          </w:p>
        </w:tc>
      </w:tr>
      <w:tr>
        <w:trPr>
          <w:trHeight w:val="149"/>
        </w:trPr>
        <w:tc>
          <w:tcPr>
            <w:tcW w:w="9200" w:type="dxa"/>
            <w:vAlign w:val="bottom"/>
            <w:shd w:val="clear" w:color="auto" w:fill="CCEEFF"/>
          </w:tcPr>
          <w:p>
            <w:pPr>
              <w:ind w:left="440"/>
              <w:spacing w:after="0" w:line="149" w:lineRule="exact"/>
              <w:rPr>
                <w:sz w:val="20"/>
                <w:szCs w:val="20"/>
                <w:color w:val="auto"/>
              </w:rPr>
            </w:pPr>
            <w:r>
              <w:rPr>
                <w:rFonts w:ascii="Arial" w:cs="Arial" w:eastAsia="Arial" w:hAnsi="Arial"/>
                <w:sz w:val="14"/>
                <w:szCs w:val="14"/>
                <w:color w:val="auto"/>
              </w:rPr>
              <w:t>Deferred acquisition costs</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7,170</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7,341</w:t>
            </w:r>
          </w:p>
        </w:tc>
      </w:tr>
      <w:tr>
        <w:trPr>
          <w:trHeight w:val="149"/>
        </w:trPr>
        <w:tc>
          <w:tcPr>
            <w:tcW w:w="9200" w:type="dxa"/>
            <w:vAlign w:val="bottom"/>
          </w:tcPr>
          <w:p>
            <w:pPr>
              <w:ind w:left="440"/>
              <w:spacing w:after="0" w:line="149" w:lineRule="exact"/>
              <w:rPr>
                <w:sz w:val="20"/>
                <w:szCs w:val="20"/>
                <w:color w:val="auto"/>
              </w:rPr>
            </w:pPr>
            <w:r>
              <w:rPr>
                <w:rFonts w:ascii="Arial" w:cs="Arial" w:eastAsia="Arial" w:hAnsi="Arial"/>
                <w:sz w:val="14"/>
                <w:szCs w:val="14"/>
                <w:color w:val="auto"/>
              </w:rPr>
              <w:t>Intangible assets</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789</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934</w:t>
            </w:r>
          </w:p>
        </w:tc>
      </w:tr>
      <w:tr>
        <w:trPr>
          <w:trHeight w:val="149"/>
        </w:trPr>
        <w:tc>
          <w:tcPr>
            <w:tcW w:w="9200" w:type="dxa"/>
            <w:vAlign w:val="bottom"/>
            <w:shd w:val="clear" w:color="auto" w:fill="CCEEFF"/>
          </w:tcPr>
          <w:p>
            <w:pPr>
              <w:ind w:left="440"/>
              <w:spacing w:after="0" w:line="149" w:lineRule="exact"/>
              <w:rPr>
                <w:sz w:val="20"/>
                <w:szCs w:val="20"/>
                <w:color w:val="auto"/>
              </w:rPr>
            </w:pPr>
            <w:r>
              <w:rPr>
                <w:rFonts w:ascii="Arial" w:cs="Arial" w:eastAsia="Arial" w:hAnsi="Arial"/>
                <w:sz w:val="14"/>
                <w:szCs w:val="14"/>
                <w:color w:val="auto"/>
              </w:rPr>
              <w:t>Goodwill</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1,313</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1,324</w:t>
            </w:r>
          </w:p>
        </w:tc>
      </w:tr>
      <w:tr>
        <w:trPr>
          <w:trHeight w:val="149"/>
        </w:trPr>
        <w:tc>
          <w:tcPr>
            <w:tcW w:w="9200" w:type="dxa"/>
            <w:vAlign w:val="bottom"/>
          </w:tcPr>
          <w:p>
            <w:pPr>
              <w:ind w:left="440"/>
              <w:spacing w:after="0" w:line="149" w:lineRule="exact"/>
              <w:rPr>
                <w:sz w:val="20"/>
                <w:szCs w:val="20"/>
                <w:color w:val="auto"/>
              </w:rPr>
            </w:pPr>
            <w:r>
              <w:rPr>
                <w:rFonts w:ascii="Arial" w:cs="Arial" w:eastAsia="Arial" w:hAnsi="Arial"/>
                <w:sz w:val="14"/>
                <w:szCs w:val="14"/>
                <w:color w:val="auto"/>
              </w:rPr>
              <w:t>Reinsurance recoverable</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17,279</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17,332</w:t>
            </w:r>
          </w:p>
        </w:tc>
      </w:tr>
      <w:tr>
        <w:trPr>
          <w:trHeight w:val="149"/>
        </w:trPr>
        <w:tc>
          <w:tcPr>
            <w:tcW w:w="9200" w:type="dxa"/>
            <w:vAlign w:val="bottom"/>
            <w:shd w:val="clear" w:color="auto" w:fill="CCEEFF"/>
          </w:tcPr>
          <w:p>
            <w:pPr>
              <w:ind w:left="440"/>
              <w:spacing w:after="0" w:line="149" w:lineRule="exact"/>
              <w:rPr>
                <w:sz w:val="20"/>
                <w:szCs w:val="20"/>
                <w:color w:val="auto"/>
              </w:rPr>
            </w:pPr>
            <w:r>
              <w:rPr>
                <w:rFonts w:ascii="Arial" w:cs="Arial" w:eastAsia="Arial" w:hAnsi="Arial"/>
                <w:sz w:val="14"/>
                <w:szCs w:val="14"/>
                <w:color w:val="auto"/>
              </w:rPr>
              <w:t>Other assets</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1,024</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954</w:t>
            </w:r>
          </w:p>
        </w:tc>
      </w:tr>
      <w:tr>
        <w:trPr>
          <w:trHeight w:val="149"/>
        </w:trPr>
        <w:tc>
          <w:tcPr>
            <w:tcW w:w="9200" w:type="dxa"/>
            <w:vAlign w:val="bottom"/>
          </w:tcPr>
          <w:p>
            <w:pPr>
              <w:ind w:left="440"/>
              <w:spacing w:after="0" w:line="149" w:lineRule="exact"/>
              <w:rPr>
                <w:sz w:val="20"/>
                <w:szCs w:val="20"/>
                <w:color w:val="auto"/>
              </w:rPr>
            </w:pPr>
            <w:r>
              <w:rPr>
                <w:rFonts w:ascii="Arial" w:cs="Arial" w:eastAsia="Arial" w:hAnsi="Arial"/>
                <w:sz w:val="14"/>
                <w:szCs w:val="14"/>
                <w:color w:val="auto"/>
              </w:rPr>
              <w:t>Deferred tax asset</w:t>
            </w:r>
          </w:p>
        </w:tc>
        <w:tc>
          <w:tcPr>
            <w:tcW w:w="100" w:type="dxa"/>
            <w:vAlign w:val="bottom"/>
          </w:tcPr>
          <w:p>
            <w:pPr>
              <w:spacing w:after="0"/>
              <w:rPr>
                <w:sz w:val="12"/>
                <w:szCs w:val="12"/>
                <w:color w:val="auto"/>
              </w:rPr>
            </w:pPr>
          </w:p>
        </w:tc>
        <w:tc>
          <w:tcPr>
            <w:tcW w:w="1240" w:type="dxa"/>
            <w:vAlign w:val="bottom"/>
            <w:gridSpan w:val="3"/>
          </w:tcPr>
          <w:p>
            <w:pPr>
              <w:jc w:val="right"/>
              <w:ind w:right="70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92</w:t>
            </w:r>
          </w:p>
        </w:tc>
      </w:tr>
      <w:tr>
        <w:trPr>
          <w:trHeight w:val="149"/>
        </w:trPr>
        <w:tc>
          <w:tcPr>
            <w:tcW w:w="9200" w:type="dxa"/>
            <w:vAlign w:val="bottom"/>
            <w:shd w:val="clear" w:color="auto" w:fill="CCEEFF"/>
          </w:tcPr>
          <w:p>
            <w:pPr>
              <w:ind w:left="440"/>
              <w:spacing w:after="0" w:line="149" w:lineRule="exact"/>
              <w:rPr>
                <w:sz w:val="20"/>
                <w:szCs w:val="20"/>
                <w:color w:val="auto"/>
              </w:rPr>
            </w:pPr>
            <w:r>
              <w:rPr>
                <w:rFonts w:ascii="Arial" w:cs="Arial" w:eastAsia="Arial" w:hAnsi="Arial"/>
                <w:sz w:val="14"/>
                <w:szCs w:val="14"/>
                <w:color w:val="auto"/>
              </w:rPr>
              <w:t>Separate account assets</w:t>
            </w:r>
          </w:p>
        </w:tc>
        <w:tc>
          <w:tcPr>
            <w:tcW w:w="10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10,284</w:t>
            </w: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11,002</w:t>
            </w:r>
          </w:p>
        </w:tc>
        <w:tc>
          <w:tcPr>
            <w:tcW w:w="80" w:type="dxa"/>
            <w:vAlign w:val="bottom"/>
            <w:shd w:val="clear" w:color="auto" w:fill="CCEEFF"/>
          </w:tcPr>
          <w:p>
            <w:pPr>
              <w:spacing w:after="0"/>
              <w:rPr>
                <w:sz w:val="12"/>
                <w:szCs w:val="12"/>
                <w:color w:val="auto"/>
              </w:rPr>
            </w:pPr>
          </w:p>
        </w:tc>
      </w:tr>
      <w:tr>
        <w:trPr>
          <w:trHeight w:val="156"/>
        </w:trPr>
        <w:tc>
          <w:tcPr>
            <w:tcW w:w="9200" w:type="dxa"/>
            <w:vAlign w:val="bottom"/>
          </w:tcPr>
          <w:p>
            <w:pPr>
              <w:ind w:left="1300"/>
              <w:spacing w:after="0" w:line="155" w:lineRule="exact"/>
              <w:rPr>
                <w:sz w:val="20"/>
                <w:szCs w:val="20"/>
                <w:color w:val="auto"/>
              </w:rPr>
            </w:pPr>
            <w:r>
              <w:rPr>
                <w:rFonts w:ascii="Arial" w:cs="Arial" w:eastAsia="Arial" w:hAnsi="Arial"/>
                <w:sz w:val="14"/>
                <w:szCs w:val="14"/>
                <w:color w:val="auto"/>
              </w:rPr>
              <w:t>Total assets</w:t>
            </w:r>
          </w:p>
        </w:tc>
        <w:tc>
          <w:tcPr>
            <w:tcW w:w="100" w:type="dxa"/>
            <w:vAlign w:val="bottom"/>
          </w:tcPr>
          <w:p>
            <w:pPr>
              <w:spacing w:after="0" w:line="155" w:lineRule="exact"/>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20"/>
              <w:spacing w:after="0" w:line="155" w:lineRule="exact"/>
              <w:rPr>
                <w:sz w:val="20"/>
                <w:szCs w:val="20"/>
                <w:color w:val="auto"/>
              </w:rPr>
            </w:pPr>
            <w:r>
              <w:rPr>
                <w:rFonts w:ascii="Arial" w:cs="Arial" w:eastAsia="Arial" w:hAnsi="Arial"/>
                <w:sz w:val="14"/>
                <w:szCs w:val="14"/>
                <w:color w:val="auto"/>
              </w:rPr>
              <w:t>110,352</w:t>
            </w:r>
          </w:p>
        </w:tc>
        <w:tc>
          <w:tcPr>
            <w:tcW w:w="620" w:type="dxa"/>
            <w:vAlign w:val="bottom"/>
          </w:tcPr>
          <w:p>
            <w:pPr>
              <w:spacing w:after="0"/>
              <w:rPr>
                <w:sz w:val="13"/>
                <w:szCs w:val="13"/>
                <w:color w:val="auto"/>
              </w:rPr>
            </w:pPr>
          </w:p>
        </w:tc>
        <w:tc>
          <w:tcPr>
            <w:tcW w:w="160" w:type="dxa"/>
            <w:vAlign w:val="bottom"/>
          </w:tcPr>
          <w:p>
            <w:pPr>
              <w:spacing w:after="0" w:line="155" w:lineRule="exact"/>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80"/>
              <w:spacing w:after="0" w:line="155" w:lineRule="exact"/>
              <w:rPr>
                <w:sz w:val="20"/>
                <w:szCs w:val="20"/>
                <w:color w:val="auto"/>
              </w:rPr>
            </w:pPr>
            <w:r>
              <w:rPr>
                <w:rFonts w:ascii="Arial" w:cs="Arial" w:eastAsia="Arial" w:hAnsi="Arial"/>
                <w:sz w:val="14"/>
                <w:szCs w:val="14"/>
                <w:color w:val="auto"/>
              </w:rPr>
              <w:t>108,187</w:t>
            </w:r>
          </w:p>
        </w:tc>
      </w:tr>
      <w:tr>
        <w:trPr>
          <w:trHeight w:val="20"/>
        </w:trPr>
        <w:tc>
          <w:tcPr>
            <w:tcW w:w="9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43"/>
        </w:trPr>
        <w:tc>
          <w:tcPr>
            <w:tcW w:w="9200" w:type="dxa"/>
            <w:vAlign w:val="bottom"/>
            <w:shd w:val="clear" w:color="auto" w:fill="CCEEFF"/>
          </w:tcPr>
          <w:p>
            <w:pPr>
              <w:spacing w:after="0" w:line="143" w:lineRule="exact"/>
              <w:rPr>
                <w:sz w:val="20"/>
                <w:szCs w:val="20"/>
                <w:color w:val="auto"/>
              </w:rPr>
            </w:pPr>
            <w:r>
              <w:rPr>
                <w:rFonts w:ascii="Arial" w:cs="Arial" w:eastAsia="Arial" w:hAnsi="Arial"/>
                <w:sz w:val="14"/>
                <w:szCs w:val="14"/>
                <w:color w:val="auto"/>
              </w:rPr>
              <w:t>Liabilities and stockholders’ equity</w:t>
            </w: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r>
      <w:tr>
        <w:trPr>
          <w:trHeight w:val="257"/>
        </w:trPr>
        <w:tc>
          <w:tcPr>
            <w:tcW w:w="9200" w:type="dxa"/>
            <w:vAlign w:val="bottom"/>
          </w:tcPr>
          <w:p>
            <w:pPr>
              <w:ind w:left="440"/>
              <w:spacing w:after="0"/>
              <w:rPr>
                <w:sz w:val="20"/>
                <w:szCs w:val="20"/>
                <w:color w:val="auto"/>
              </w:rPr>
            </w:pPr>
            <w:r>
              <w:rPr>
                <w:rFonts w:ascii="Arial" w:cs="Arial" w:eastAsia="Arial" w:hAnsi="Arial"/>
                <w:sz w:val="14"/>
                <w:szCs w:val="14"/>
                <w:color w:val="auto"/>
              </w:rPr>
              <w:t>Liabilities:</w:t>
            </w: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 w:type="dxa"/>
            <w:vAlign w:val="bottom"/>
          </w:tcPr>
          <w:p>
            <w:pPr>
              <w:spacing w:after="0"/>
              <w:rPr>
                <w:sz w:val="22"/>
                <w:szCs w:val="22"/>
                <w:color w:val="auto"/>
              </w:rPr>
            </w:pP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Future policy benefits</w:t>
            </w:r>
          </w:p>
        </w:tc>
        <w:tc>
          <w:tcPr>
            <w:tcW w:w="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29,929</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29,469</w:t>
            </w:r>
          </w:p>
        </w:tc>
      </w:tr>
      <w:tr>
        <w:trPr>
          <w:trHeight w:val="149"/>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Policyholder account balances</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28,338</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28,470</w:t>
            </w: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Liability for policy and contract claims</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6,302</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6,567</w:t>
            </w:r>
          </w:p>
        </w:tc>
      </w:tr>
      <w:tr>
        <w:trPr>
          <w:trHeight w:val="149"/>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Unearned premiums</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4,238</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4,714</w:t>
            </w: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Other liabilities ($183 and $—other liabilities related to securitization entities)</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6,287</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6,298</w:t>
            </w:r>
          </w:p>
        </w:tc>
      </w:tr>
      <w:tr>
        <w:trPr>
          <w:trHeight w:val="149"/>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Borrowings related to securitization entities ($51 at fair value)</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525</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Non-recourse funding obligations</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3,437</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3,443</w:t>
            </w:r>
          </w:p>
        </w:tc>
      </w:tr>
      <w:tr>
        <w:trPr>
          <w:trHeight w:val="149"/>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Short-term borrowings</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730</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930</w:t>
            </w: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Long-term borrowings</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4,331</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3,641</w:t>
            </w:r>
          </w:p>
        </w:tc>
      </w:tr>
      <w:tr>
        <w:trPr>
          <w:trHeight w:val="149"/>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Deferred tax liability</w:t>
            </w:r>
          </w:p>
        </w:tc>
        <w:tc>
          <w:tcPr>
            <w:tcW w:w="100" w:type="dxa"/>
            <w:vAlign w:val="bottom"/>
          </w:tcPr>
          <w:p>
            <w:pPr>
              <w:spacing w:after="0"/>
              <w:rPr>
                <w:sz w:val="12"/>
                <w:szCs w:val="12"/>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904</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303</w:t>
            </w: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Separate account liabilities</w:t>
            </w:r>
          </w:p>
        </w:tc>
        <w:tc>
          <w:tcPr>
            <w:tcW w:w="10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10,284</w:t>
            </w: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11,002</w:t>
            </w:r>
          </w:p>
        </w:tc>
        <w:tc>
          <w:tcPr>
            <w:tcW w:w="80" w:type="dxa"/>
            <w:vAlign w:val="bottom"/>
            <w:shd w:val="clear" w:color="auto" w:fill="CCEEFF"/>
          </w:tcPr>
          <w:p>
            <w:pPr>
              <w:spacing w:after="0"/>
              <w:rPr>
                <w:sz w:val="12"/>
                <w:szCs w:val="12"/>
                <w:color w:val="auto"/>
              </w:rPr>
            </w:pPr>
          </w:p>
        </w:tc>
      </w:tr>
      <w:tr>
        <w:trPr>
          <w:trHeight w:val="163"/>
        </w:trPr>
        <w:tc>
          <w:tcPr>
            <w:tcW w:w="9200" w:type="dxa"/>
            <w:vAlign w:val="bottom"/>
          </w:tcPr>
          <w:p>
            <w:pPr>
              <w:ind w:left="1300"/>
              <w:spacing w:after="0" w:line="155" w:lineRule="exact"/>
              <w:rPr>
                <w:sz w:val="20"/>
                <w:szCs w:val="20"/>
                <w:color w:val="auto"/>
              </w:rPr>
            </w:pPr>
            <w:r>
              <w:rPr>
                <w:rFonts w:ascii="Arial" w:cs="Arial" w:eastAsia="Arial" w:hAnsi="Arial"/>
                <w:sz w:val="14"/>
                <w:szCs w:val="14"/>
                <w:color w:val="auto"/>
              </w:rPr>
              <w:t>Total liabilities</w:t>
            </w:r>
          </w:p>
        </w:tc>
        <w:tc>
          <w:tcPr>
            <w:tcW w:w="100" w:type="dxa"/>
            <w:vAlign w:val="bottom"/>
          </w:tcPr>
          <w:p>
            <w:pPr>
              <w:spacing w:after="0"/>
              <w:rPr>
                <w:sz w:val="14"/>
                <w:szCs w:val="14"/>
                <w:color w:val="auto"/>
              </w:rPr>
            </w:pPr>
          </w:p>
        </w:tc>
        <w:tc>
          <w:tcPr>
            <w:tcW w:w="620" w:type="dxa"/>
            <w:vAlign w:val="bottom"/>
            <w:gridSpan w:val="2"/>
          </w:tcPr>
          <w:p>
            <w:pPr>
              <w:jc w:val="right"/>
              <w:ind w:right="20"/>
              <w:spacing w:after="0" w:line="155" w:lineRule="exact"/>
              <w:rPr>
                <w:sz w:val="20"/>
                <w:szCs w:val="20"/>
                <w:color w:val="auto"/>
              </w:rPr>
            </w:pPr>
            <w:r>
              <w:rPr>
                <w:rFonts w:ascii="Arial" w:cs="Arial" w:eastAsia="Arial" w:hAnsi="Arial"/>
                <w:sz w:val="14"/>
                <w:szCs w:val="14"/>
                <w:color w:val="auto"/>
              </w:rPr>
              <w:t>95,305</w:t>
            </w: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gridSpan w:val="2"/>
          </w:tcPr>
          <w:p>
            <w:pPr>
              <w:jc w:val="right"/>
              <w:ind w:right="80"/>
              <w:spacing w:after="0" w:line="155" w:lineRule="exact"/>
              <w:rPr>
                <w:sz w:val="20"/>
                <w:szCs w:val="20"/>
                <w:color w:val="auto"/>
              </w:rPr>
            </w:pPr>
            <w:r>
              <w:rPr>
                <w:rFonts w:ascii="Arial" w:cs="Arial" w:eastAsia="Arial" w:hAnsi="Arial"/>
                <w:sz w:val="14"/>
                <w:szCs w:val="14"/>
                <w:color w:val="auto"/>
              </w:rPr>
              <w:t>94,837</w:t>
            </w:r>
          </w:p>
        </w:tc>
      </w:tr>
      <w:tr>
        <w:trPr>
          <w:trHeight w:val="149"/>
        </w:trPr>
        <w:tc>
          <w:tcPr>
            <w:tcW w:w="9200" w:type="dxa"/>
            <w:vAlign w:val="bottom"/>
            <w:shd w:val="clear" w:color="auto" w:fill="CCEEFF"/>
          </w:tcPr>
          <w:p>
            <w:pPr>
              <w:ind w:left="440"/>
              <w:spacing w:after="0" w:line="149" w:lineRule="exact"/>
              <w:rPr>
                <w:sz w:val="20"/>
                <w:szCs w:val="20"/>
                <w:color w:val="auto"/>
              </w:rPr>
            </w:pPr>
            <w:r>
              <w:rPr>
                <w:rFonts w:ascii="Arial" w:cs="Arial" w:eastAsia="Arial" w:hAnsi="Arial"/>
                <w:sz w:val="14"/>
                <w:szCs w:val="14"/>
                <w:color w:val="auto"/>
              </w:rPr>
              <w:t>Commitments and contingencies</w:t>
            </w:r>
          </w:p>
        </w:tc>
        <w:tc>
          <w:tcPr>
            <w:tcW w:w="100" w:type="dxa"/>
            <w:vAlign w:val="bottom"/>
            <w:tcBorders>
              <w:top w:val="single" w:sz="8" w:color="auto"/>
            </w:tcBorders>
            <w:shd w:val="clear" w:color="auto" w:fill="CCEEFF"/>
          </w:tcPr>
          <w:p>
            <w:pPr>
              <w:spacing w:after="0"/>
              <w:rPr>
                <w:sz w:val="12"/>
                <w:szCs w:val="12"/>
                <w:color w:val="auto"/>
              </w:rPr>
            </w:pPr>
          </w:p>
        </w:tc>
        <w:tc>
          <w:tcPr>
            <w:tcW w:w="600" w:type="dxa"/>
            <w:vAlign w:val="bottom"/>
            <w:tcBorders>
              <w:top w:val="single" w:sz="8" w:color="auto"/>
            </w:tcBorders>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spacing w:after="0"/>
              <w:rPr>
                <w:sz w:val="12"/>
                <w:szCs w:val="12"/>
                <w:color w:val="auto"/>
              </w:rPr>
            </w:pPr>
          </w:p>
        </w:tc>
        <w:tc>
          <w:tcPr>
            <w:tcW w:w="640" w:type="dxa"/>
            <w:vAlign w:val="bottom"/>
            <w:tcBorders>
              <w:top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r>
      <w:tr>
        <w:trPr>
          <w:trHeight w:val="257"/>
        </w:trPr>
        <w:tc>
          <w:tcPr>
            <w:tcW w:w="9200" w:type="dxa"/>
            <w:vAlign w:val="bottom"/>
          </w:tcPr>
          <w:p>
            <w:pPr>
              <w:ind w:left="440"/>
              <w:spacing w:after="0"/>
              <w:rPr>
                <w:sz w:val="20"/>
                <w:szCs w:val="20"/>
                <w:color w:val="auto"/>
              </w:rPr>
            </w:pPr>
            <w:r>
              <w:rPr>
                <w:rFonts w:ascii="Arial" w:cs="Arial" w:eastAsia="Arial" w:hAnsi="Arial"/>
                <w:sz w:val="14"/>
                <w:szCs w:val="14"/>
                <w:color w:val="auto"/>
              </w:rPr>
              <w:t>Stockholders’ equity:</w:t>
            </w: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 w:type="dxa"/>
            <w:vAlign w:val="bottom"/>
          </w:tcPr>
          <w:p>
            <w:pPr>
              <w:spacing w:after="0"/>
              <w:rPr>
                <w:sz w:val="22"/>
                <w:szCs w:val="22"/>
                <w:color w:val="auto"/>
              </w:rPr>
            </w:pPr>
          </w:p>
        </w:tc>
      </w:tr>
      <w:tr>
        <w:trPr>
          <w:trHeight w:val="138"/>
        </w:trPr>
        <w:tc>
          <w:tcPr>
            <w:tcW w:w="9200" w:type="dxa"/>
            <w:vAlign w:val="bottom"/>
            <w:shd w:val="clear" w:color="auto" w:fill="CCEEFF"/>
          </w:tcPr>
          <w:p>
            <w:pPr>
              <w:ind w:left="880"/>
              <w:spacing w:after="0" w:line="138" w:lineRule="exact"/>
              <w:rPr>
                <w:sz w:val="20"/>
                <w:szCs w:val="20"/>
                <w:color w:val="auto"/>
              </w:rPr>
            </w:pPr>
            <w:r>
              <w:rPr>
                <w:rFonts w:ascii="Arial" w:cs="Arial" w:eastAsia="Arial" w:hAnsi="Arial"/>
                <w:sz w:val="14"/>
                <w:szCs w:val="14"/>
                <w:color w:val="auto"/>
                <w:w w:val="97"/>
              </w:rPr>
              <w:t>Class A common stock, $0.001 par value; 1.5 billion shares authorized; 578 million and 577 million shares issued as of June 30, 2010 and</w:t>
            </w: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r>
      <w:tr>
        <w:trPr>
          <w:trHeight w:val="159"/>
        </w:trPr>
        <w:tc>
          <w:tcPr>
            <w:tcW w:w="9200" w:type="dxa"/>
            <w:vAlign w:val="bottom"/>
            <w:shd w:val="clear" w:color="auto" w:fill="CCEEFF"/>
          </w:tcPr>
          <w:p>
            <w:pPr>
              <w:ind w:left="1080"/>
              <w:spacing w:after="0" w:line="159" w:lineRule="exact"/>
              <w:rPr>
                <w:sz w:val="20"/>
                <w:szCs w:val="20"/>
                <w:color w:val="auto"/>
              </w:rPr>
            </w:pPr>
            <w:r>
              <w:rPr>
                <w:rFonts w:ascii="Arial" w:cs="Arial" w:eastAsia="Arial" w:hAnsi="Arial"/>
                <w:sz w:val="14"/>
                <w:szCs w:val="14"/>
                <w:color w:val="auto"/>
              </w:rPr>
              <w:t>December 31, 2009, respectively; 489 million shares outstanding as of June 30, 2010 and December 31, 2009</w:t>
            </w:r>
          </w:p>
        </w:tc>
        <w:tc>
          <w:tcPr>
            <w:tcW w:w="10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0"/>
              <w:spacing w:after="0" w:line="159" w:lineRule="exact"/>
              <w:rPr>
                <w:sz w:val="20"/>
                <w:szCs w:val="20"/>
                <w:color w:val="auto"/>
              </w:rPr>
            </w:pPr>
            <w:r>
              <w:rPr>
                <w:rFonts w:ascii="Arial" w:cs="Arial" w:eastAsia="Arial" w:hAnsi="Arial"/>
                <w:sz w:val="14"/>
                <w:szCs w:val="14"/>
                <w:color w:val="auto"/>
              </w:rPr>
              <w:t>1</w:t>
            </w:r>
          </w:p>
        </w:tc>
        <w:tc>
          <w:tcPr>
            <w:tcW w:w="6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1</w:t>
            </w:r>
          </w:p>
        </w:tc>
      </w:tr>
      <w:tr>
        <w:trPr>
          <w:trHeight w:val="156"/>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Additional paid-in capital</w:t>
            </w:r>
          </w:p>
        </w:tc>
        <w:tc>
          <w:tcPr>
            <w:tcW w:w="100" w:type="dxa"/>
            <w:vAlign w:val="bottom"/>
          </w:tcPr>
          <w:p>
            <w:pPr>
              <w:spacing w:after="0"/>
              <w:rPr>
                <w:sz w:val="13"/>
                <w:szCs w:val="13"/>
                <w:color w:val="auto"/>
              </w:rPr>
            </w:pPr>
          </w:p>
        </w:tc>
        <w:tc>
          <w:tcPr>
            <w:tcW w:w="6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12,078</w:t>
            </w: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12,034</w:t>
            </w: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Accumulated other comprehensive income (loss):</w:t>
            </w:r>
          </w:p>
        </w:tc>
        <w:tc>
          <w:tcPr>
            <w:tcW w:w="100" w:type="dxa"/>
            <w:vAlign w:val="bottom"/>
            <w:tcBorders>
              <w:top w:val="single" w:sz="8" w:color="auto"/>
            </w:tcBorders>
            <w:shd w:val="clear" w:color="auto" w:fill="CCEEFF"/>
          </w:tcPr>
          <w:p>
            <w:pPr>
              <w:spacing w:after="0"/>
              <w:rPr>
                <w:sz w:val="12"/>
                <w:szCs w:val="12"/>
                <w:color w:val="auto"/>
              </w:rPr>
            </w:pPr>
          </w:p>
        </w:tc>
        <w:tc>
          <w:tcPr>
            <w:tcW w:w="600" w:type="dxa"/>
            <w:vAlign w:val="bottom"/>
            <w:tcBorders>
              <w:top w:val="single" w:sz="8" w:color="auto"/>
            </w:tcBorders>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spacing w:after="0"/>
              <w:rPr>
                <w:sz w:val="12"/>
                <w:szCs w:val="12"/>
                <w:color w:val="auto"/>
              </w:rPr>
            </w:pPr>
          </w:p>
        </w:tc>
        <w:tc>
          <w:tcPr>
            <w:tcW w:w="640" w:type="dxa"/>
            <w:vAlign w:val="bottom"/>
            <w:tcBorders>
              <w:top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r>
      <w:tr>
        <w:trPr>
          <w:trHeight w:val="149"/>
        </w:trPr>
        <w:tc>
          <w:tcPr>
            <w:tcW w:w="9200" w:type="dxa"/>
            <w:vAlign w:val="bottom"/>
          </w:tcPr>
          <w:p>
            <w:pPr>
              <w:ind w:left="1300"/>
              <w:spacing w:after="0" w:line="149" w:lineRule="exact"/>
              <w:rPr>
                <w:sz w:val="20"/>
                <w:szCs w:val="20"/>
                <w:color w:val="auto"/>
              </w:rPr>
            </w:pPr>
            <w:r>
              <w:rPr>
                <w:rFonts w:ascii="Arial" w:cs="Arial" w:eastAsia="Arial" w:hAnsi="Arial"/>
                <w:sz w:val="14"/>
                <w:szCs w:val="14"/>
                <w:color w:val="auto"/>
              </w:rPr>
              <w:t>Net unrealized investment gains (losses):</w:t>
            </w: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r>
      <w:tr>
        <w:trPr>
          <w:trHeight w:val="149"/>
        </w:trPr>
        <w:tc>
          <w:tcPr>
            <w:tcW w:w="9200" w:type="dxa"/>
            <w:vAlign w:val="bottom"/>
            <w:shd w:val="clear" w:color="auto" w:fill="CCEEFF"/>
          </w:tcPr>
          <w:p>
            <w:pPr>
              <w:ind w:left="1740"/>
              <w:spacing w:after="0" w:line="149" w:lineRule="exact"/>
              <w:rPr>
                <w:sz w:val="20"/>
                <w:szCs w:val="20"/>
                <w:color w:val="auto"/>
              </w:rPr>
            </w:pPr>
            <w:r>
              <w:rPr>
                <w:rFonts w:ascii="Arial" w:cs="Arial" w:eastAsia="Arial" w:hAnsi="Arial"/>
                <w:sz w:val="14"/>
                <w:szCs w:val="14"/>
                <w:color w:val="auto"/>
              </w:rPr>
              <w:t>Net unrealized gains (losses) on securities not other-than-temporarily impaired</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208</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(1,151)</w:t>
            </w:r>
          </w:p>
        </w:tc>
      </w:tr>
      <w:tr>
        <w:trPr>
          <w:trHeight w:val="149"/>
        </w:trPr>
        <w:tc>
          <w:tcPr>
            <w:tcW w:w="9200" w:type="dxa"/>
            <w:vAlign w:val="bottom"/>
          </w:tcPr>
          <w:p>
            <w:pPr>
              <w:ind w:left="1740"/>
              <w:spacing w:after="0" w:line="149" w:lineRule="exact"/>
              <w:rPr>
                <w:sz w:val="20"/>
                <w:szCs w:val="20"/>
                <w:color w:val="auto"/>
              </w:rPr>
            </w:pPr>
            <w:r>
              <w:rPr>
                <w:rFonts w:ascii="Arial" w:cs="Arial" w:eastAsia="Arial" w:hAnsi="Arial"/>
                <w:sz w:val="14"/>
                <w:szCs w:val="14"/>
                <w:color w:val="auto"/>
              </w:rPr>
              <w:t>Net unrealized gains (losses) on other-than-temporarily impaired securities</w:t>
            </w:r>
          </w:p>
        </w:tc>
        <w:tc>
          <w:tcPr>
            <w:tcW w:w="100" w:type="dxa"/>
            <w:vAlign w:val="bottom"/>
          </w:tcPr>
          <w:p>
            <w:pPr>
              <w:spacing w:after="0"/>
              <w:rPr>
                <w:sz w:val="12"/>
                <w:szCs w:val="12"/>
                <w:color w:val="auto"/>
              </w:rPr>
            </w:pPr>
          </w:p>
        </w:tc>
        <w:tc>
          <w:tcPr>
            <w:tcW w:w="1240" w:type="dxa"/>
            <w:vAlign w:val="bottom"/>
            <w:gridSpan w:val="3"/>
          </w:tcPr>
          <w:p>
            <w:pPr>
              <w:jc w:val="right"/>
              <w:ind w:right="580"/>
              <w:spacing w:after="0" w:line="149" w:lineRule="exact"/>
              <w:rPr>
                <w:sz w:val="20"/>
                <w:szCs w:val="20"/>
                <w:color w:val="auto"/>
              </w:rPr>
            </w:pPr>
            <w:r>
              <w:rPr>
                <w:rFonts w:ascii="Arial" w:cs="Arial" w:eastAsia="Arial" w:hAnsi="Arial"/>
                <w:sz w:val="14"/>
                <w:szCs w:val="14"/>
                <w:color w:val="auto"/>
              </w:rPr>
              <w:t>(179)</w:t>
            </w:r>
          </w:p>
        </w:tc>
        <w:tc>
          <w:tcPr>
            <w:tcW w:w="160" w:type="dxa"/>
            <w:vAlign w:val="bottom"/>
          </w:tcPr>
          <w:p>
            <w:pPr>
              <w:spacing w:after="0"/>
              <w:rPr>
                <w:sz w:val="12"/>
                <w:szCs w:val="12"/>
                <w:color w:val="auto"/>
              </w:rPr>
            </w:pPr>
          </w:p>
        </w:tc>
        <w:tc>
          <w:tcPr>
            <w:tcW w:w="7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(247)</w:t>
            </w:r>
          </w:p>
        </w:tc>
      </w:tr>
      <w:tr>
        <w:trPr>
          <w:trHeight w:val="27"/>
        </w:trPr>
        <w:tc>
          <w:tcPr>
            <w:tcW w:w="9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r>
      <w:tr>
        <w:trPr>
          <w:trHeight w:val="149"/>
        </w:trPr>
        <w:tc>
          <w:tcPr>
            <w:tcW w:w="9200" w:type="dxa"/>
            <w:vAlign w:val="bottom"/>
            <w:shd w:val="clear" w:color="auto" w:fill="CCEEFF"/>
          </w:tcPr>
          <w:p>
            <w:pPr>
              <w:ind w:left="1300"/>
              <w:spacing w:after="0" w:line="149" w:lineRule="exact"/>
              <w:rPr>
                <w:sz w:val="20"/>
                <w:szCs w:val="20"/>
                <w:color w:val="auto"/>
              </w:rPr>
            </w:pPr>
            <w:r>
              <w:rPr>
                <w:rFonts w:ascii="Arial" w:cs="Arial" w:eastAsia="Arial" w:hAnsi="Arial"/>
                <w:sz w:val="14"/>
                <w:szCs w:val="14"/>
                <w:color w:val="auto"/>
              </w:rPr>
              <w:t>Net unrealized investment gains (losses)</w:t>
            </w: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w:t>
            </w: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(1,398)</w:t>
            </w:r>
          </w:p>
        </w:tc>
      </w:tr>
      <w:tr>
        <w:trPr>
          <w:trHeight w:val="156"/>
        </w:trPr>
        <w:tc>
          <w:tcPr>
            <w:tcW w:w="9200" w:type="dxa"/>
            <w:vAlign w:val="bottom"/>
          </w:tcPr>
          <w:p>
            <w:pPr>
              <w:ind w:left="1300"/>
              <w:spacing w:after="0" w:line="155" w:lineRule="exact"/>
              <w:rPr>
                <w:sz w:val="20"/>
                <w:szCs w:val="20"/>
                <w:color w:val="auto"/>
              </w:rPr>
            </w:pPr>
            <w:r>
              <w:rPr>
                <w:rFonts w:ascii="Arial" w:cs="Arial" w:eastAsia="Arial" w:hAnsi="Arial"/>
                <w:sz w:val="14"/>
                <w:szCs w:val="14"/>
                <w:color w:val="auto"/>
              </w:rPr>
              <w:t>Derivatives qualifying as hedges</w:t>
            </w:r>
          </w:p>
        </w:tc>
        <w:tc>
          <w:tcPr>
            <w:tcW w:w="10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1,162</w:t>
            </w: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802</w:t>
            </w:r>
          </w:p>
        </w:tc>
        <w:tc>
          <w:tcPr>
            <w:tcW w:w="80" w:type="dxa"/>
            <w:vAlign w:val="bottom"/>
          </w:tcPr>
          <w:p>
            <w:pPr>
              <w:spacing w:after="0"/>
              <w:rPr>
                <w:sz w:val="13"/>
                <w:szCs w:val="13"/>
                <w:color w:val="auto"/>
              </w:rPr>
            </w:pPr>
          </w:p>
        </w:tc>
      </w:tr>
      <w:tr>
        <w:trPr>
          <w:trHeight w:val="149"/>
        </w:trPr>
        <w:tc>
          <w:tcPr>
            <w:tcW w:w="9200" w:type="dxa"/>
            <w:vAlign w:val="bottom"/>
            <w:shd w:val="clear" w:color="auto" w:fill="CCEEFF"/>
          </w:tcPr>
          <w:p>
            <w:pPr>
              <w:ind w:left="1300"/>
              <w:spacing w:after="0" w:line="149" w:lineRule="exact"/>
              <w:rPr>
                <w:sz w:val="20"/>
                <w:szCs w:val="20"/>
                <w:color w:val="auto"/>
              </w:rPr>
            </w:pPr>
            <w:r>
              <w:rPr>
                <w:rFonts w:ascii="Arial" w:cs="Arial" w:eastAsia="Arial" w:hAnsi="Arial"/>
                <w:sz w:val="14"/>
                <w:szCs w:val="14"/>
                <w:color w:val="auto"/>
              </w:rPr>
              <w:t>Foreign currency translation and other adjustments</w:t>
            </w:r>
          </w:p>
        </w:tc>
        <w:tc>
          <w:tcPr>
            <w:tcW w:w="10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140</w:t>
            </w: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432</w:t>
            </w:r>
          </w:p>
        </w:tc>
        <w:tc>
          <w:tcPr>
            <w:tcW w:w="80" w:type="dxa"/>
            <w:vAlign w:val="bottom"/>
            <w:shd w:val="clear" w:color="auto" w:fill="CCEEFF"/>
          </w:tcPr>
          <w:p>
            <w:pPr>
              <w:spacing w:after="0"/>
              <w:rPr>
                <w:sz w:val="12"/>
                <w:szCs w:val="12"/>
                <w:color w:val="auto"/>
              </w:rPr>
            </w:pPr>
          </w:p>
        </w:tc>
      </w:tr>
      <w:tr>
        <w:trPr>
          <w:trHeight w:val="156"/>
        </w:trPr>
        <w:tc>
          <w:tcPr>
            <w:tcW w:w="9200" w:type="dxa"/>
            <w:vAlign w:val="bottom"/>
          </w:tcPr>
          <w:p>
            <w:pPr>
              <w:ind w:left="880"/>
              <w:spacing w:after="0" w:line="155" w:lineRule="exact"/>
              <w:rPr>
                <w:sz w:val="20"/>
                <w:szCs w:val="20"/>
                <w:color w:val="auto"/>
              </w:rPr>
            </w:pPr>
            <w:r>
              <w:rPr>
                <w:rFonts w:ascii="Arial" w:cs="Arial" w:eastAsia="Arial" w:hAnsi="Arial"/>
                <w:sz w:val="14"/>
                <w:szCs w:val="14"/>
                <w:color w:val="auto"/>
              </w:rPr>
              <w:t>Total accumulated other comprehensive income (loss)</w:t>
            </w:r>
          </w:p>
        </w:tc>
        <w:tc>
          <w:tcPr>
            <w:tcW w:w="100" w:type="dxa"/>
            <w:vAlign w:val="bottom"/>
          </w:tcPr>
          <w:p>
            <w:pPr>
              <w:spacing w:after="0"/>
              <w:rPr>
                <w:sz w:val="13"/>
                <w:szCs w:val="13"/>
                <w:color w:val="auto"/>
              </w:rPr>
            </w:pPr>
          </w:p>
        </w:tc>
        <w:tc>
          <w:tcPr>
            <w:tcW w:w="620" w:type="dxa"/>
            <w:vAlign w:val="bottom"/>
            <w:gridSpan w:val="2"/>
          </w:tcPr>
          <w:p>
            <w:pPr>
              <w:jc w:val="right"/>
              <w:ind w:right="20"/>
              <w:spacing w:after="0" w:line="155" w:lineRule="exact"/>
              <w:rPr>
                <w:sz w:val="20"/>
                <w:szCs w:val="20"/>
                <w:color w:val="auto"/>
              </w:rPr>
            </w:pPr>
            <w:r>
              <w:rPr>
                <w:rFonts w:ascii="Arial" w:cs="Arial" w:eastAsia="Arial" w:hAnsi="Arial"/>
                <w:sz w:val="14"/>
                <w:szCs w:val="14"/>
                <w:color w:val="auto"/>
              </w:rPr>
              <w:t>1,331</w:t>
            </w: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gridSpan w:val="2"/>
          </w:tcPr>
          <w:p>
            <w:pPr>
              <w:jc w:val="right"/>
              <w:ind w:right="40"/>
              <w:spacing w:after="0" w:line="155" w:lineRule="exact"/>
              <w:rPr>
                <w:sz w:val="20"/>
                <w:szCs w:val="20"/>
                <w:color w:val="auto"/>
              </w:rPr>
            </w:pPr>
            <w:r>
              <w:rPr>
                <w:rFonts w:ascii="Arial" w:cs="Arial" w:eastAsia="Arial" w:hAnsi="Arial"/>
                <w:sz w:val="14"/>
                <w:szCs w:val="14"/>
                <w:color w:val="auto"/>
              </w:rPr>
              <w:t>(164)</w:t>
            </w:r>
          </w:p>
        </w:tc>
      </w:tr>
      <w:tr>
        <w:trPr>
          <w:trHeight w:val="149"/>
        </w:trPr>
        <w:tc>
          <w:tcPr>
            <w:tcW w:w="9200" w:type="dxa"/>
            <w:vAlign w:val="bottom"/>
            <w:shd w:val="clear" w:color="auto" w:fill="CCEEFF"/>
          </w:tcPr>
          <w:p>
            <w:pPr>
              <w:ind w:left="880"/>
              <w:spacing w:after="0" w:line="149" w:lineRule="exact"/>
              <w:rPr>
                <w:sz w:val="20"/>
                <w:szCs w:val="20"/>
                <w:color w:val="auto"/>
              </w:rPr>
            </w:pPr>
            <w:r>
              <w:rPr>
                <w:rFonts w:ascii="Arial" w:cs="Arial" w:eastAsia="Arial" w:hAnsi="Arial"/>
                <w:sz w:val="14"/>
                <w:szCs w:val="14"/>
                <w:color w:val="auto"/>
              </w:rPr>
              <w:t>Retained earnings</w:t>
            </w: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3,221</w:t>
            </w: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3,105</w:t>
            </w:r>
          </w:p>
        </w:tc>
      </w:tr>
      <w:tr>
        <w:trPr>
          <w:trHeight w:val="156"/>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Treasury stock, at cost (88 million shares as of June 30, 2010 and December 31, 2009)</w:t>
            </w:r>
          </w:p>
        </w:tc>
        <w:tc>
          <w:tcPr>
            <w:tcW w:w="100" w:type="dxa"/>
            <w:vAlign w:val="bottom"/>
          </w:tcPr>
          <w:p>
            <w:pPr>
              <w:spacing w:after="0"/>
              <w:rPr>
                <w:sz w:val="13"/>
                <w:szCs w:val="13"/>
                <w:color w:val="auto"/>
              </w:rPr>
            </w:pPr>
          </w:p>
        </w:tc>
        <w:tc>
          <w:tcPr>
            <w:tcW w:w="1240" w:type="dxa"/>
            <w:vAlign w:val="bottom"/>
            <w:gridSpan w:val="3"/>
          </w:tcPr>
          <w:p>
            <w:pPr>
              <w:jc w:val="right"/>
              <w:ind w:right="580"/>
              <w:spacing w:after="0" w:line="149" w:lineRule="exact"/>
              <w:rPr>
                <w:sz w:val="20"/>
                <w:szCs w:val="20"/>
                <w:color w:val="auto"/>
              </w:rPr>
            </w:pPr>
            <w:r>
              <w:rPr>
                <w:rFonts w:ascii="Arial" w:cs="Arial" w:eastAsia="Arial" w:hAnsi="Arial"/>
                <w:sz w:val="14"/>
                <w:szCs w:val="14"/>
                <w:color w:val="auto"/>
              </w:rPr>
              <w:t>(2,700)</w:t>
            </w:r>
          </w:p>
        </w:tc>
        <w:tc>
          <w:tcPr>
            <w:tcW w:w="160" w:type="dxa"/>
            <w:vAlign w:val="bottom"/>
          </w:tcPr>
          <w:p>
            <w:pPr>
              <w:spacing w:after="0"/>
              <w:rPr>
                <w:sz w:val="13"/>
                <w:szCs w:val="13"/>
                <w:color w:val="auto"/>
              </w:rPr>
            </w:pPr>
          </w:p>
        </w:tc>
        <w:tc>
          <w:tcPr>
            <w:tcW w:w="7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(2,700)</w:t>
            </w:r>
          </w:p>
        </w:tc>
      </w:tr>
      <w:tr>
        <w:trPr>
          <w:trHeight w:val="149"/>
        </w:trPr>
        <w:tc>
          <w:tcPr>
            <w:tcW w:w="9200" w:type="dxa"/>
            <w:vAlign w:val="bottom"/>
            <w:shd w:val="clear" w:color="auto" w:fill="CCEEFF"/>
          </w:tcPr>
          <w:p>
            <w:pPr>
              <w:ind w:left="1300"/>
              <w:spacing w:after="0" w:line="149" w:lineRule="exact"/>
              <w:rPr>
                <w:sz w:val="20"/>
                <w:szCs w:val="20"/>
                <w:color w:val="auto"/>
              </w:rPr>
            </w:pPr>
            <w:r>
              <w:rPr>
                <w:rFonts w:ascii="Arial" w:cs="Arial" w:eastAsia="Arial" w:hAnsi="Arial"/>
                <w:sz w:val="14"/>
                <w:szCs w:val="14"/>
                <w:color w:val="auto"/>
              </w:rPr>
              <w:t>Total Genworth Financial, Inc.’s stockholders’ equity</w:t>
            </w:r>
          </w:p>
        </w:tc>
        <w:tc>
          <w:tcPr>
            <w:tcW w:w="100" w:type="dxa"/>
            <w:vAlign w:val="bottom"/>
            <w:tcBorders>
              <w:top w:val="single" w:sz="8" w:color="auto"/>
            </w:tcBorders>
            <w:shd w:val="clear" w:color="auto" w:fill="CCEEFF"/>
          </w:tcPr>
          <w:p>
            <w:pPr>
              <w:spacing w:after="0"/>
              <w:rPr>
                <w:sz w:val="12"/>
                <w:szCs w:val="12"/>
                <w:color w:val="auto"/>
              </w:rPr>
            </w:pPr>
          </w:p>
        </w:tc>
        <w:tc>
          <w:tcPr>
            <w:tcW w:w="600" w:type="dxa"/>
            <w:vAlign w:val="bottom"/>
            <w:tcBorders>
              <w:top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13,931</w:t>
            </w: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spacing w:after="0"/>
              <w:rPr>
                <w:sz w:val="12"/>
                <w:szCs w:val="12"/>
                <w:color w:val="auto"/>
              </w:rPr>
            </w:pPr>
          </w:p>
        </w:tc>
        <w:tc>
          <w:tcPr>
            <w:tcW w:w="640" w:type="dxa"/>
            <w:vAlign w:val="bottom"/>
            <w:tcBorders>
              <w:top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12,276</w:t>
            </w:r>
          </w:p>
        </w:tc>
        <w:tc>
          <w:tcPr>
            <w:tcW w:w="80" w:type="dxa"/>
            <w:vAlign w:val="bottom"/>
            <w:shd w:val="clear" w:color="auto" w:fill="CCEEFF"/>
          </w:tcPr>
          <w:p>
            <w:pPr>
              <w:spacing w:after="0"/>
              <w:rPr>
                <w:sz w:val="12"/>
                <w:szCs w:val="12"/>
                <w:color w:val="auto"/>
              </w:rPr>
            </w:pPr>
          </w:p>
        </w:tc>
      </w:tr>
      <w:tr>
        <w:trPr>
          <w:trHeight w:val="156"/>
        </w:trPr>
        <w:tc>
          <w:tcPr>
            <w:tcW w:w="9200" w:type="dxa"/>
            <w:vAlign w:val="bottom"/>
          </w:tcPr>
          <w:p>
            <w:pPr>
              <w:ind w:left="880"/>
              <w:spacing w:after="0" w:line="149" w:lineRule="exact"/>
              <w:rPr>
                <w:sz w:val="20"/>
                <w:szCs w:val="20"/>
                <w:color w:val="auto"/>
              </w:rPr>
            </w:pPr>
            <w:r>
              <w:rPr>
                <w:rFonts w:ascii="Arial" w:cs="Arial" w:eastAsia="Arial" w:hAnsi="Arial"/>
                <w:sz w:val="14"/>
                <w:szCs w:val="14"/>
                <w:color w:val="auto"/>
              </w:rPr>
              <w:t>Noncontrolling interests</w:t>
            </w:r>
          </w:p>
        </w:tc>
        <w:tc>
          <w:tcPr>
            <w:tcW w:w="10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1,116</w:t>
            </w: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1,074</w:t>
            </w:r>
          </w:p>
        </w:tc>
        <w:tc>
          <w:tcPr>
            <w:tcW w:w="80" w:type="dxa"/>
            <w:vAlign w:val="bottom"/>
          </w:tcPr>
          <w:p>
            <w:pPr>
              <w:spacing w:after="0"/>
              <w:rPr>
                <w:sz w:val="13"/>
                <w:szCs w:val="13"/>
                <w:color w:val="auto"/>
              </w:rPr>
            </w:pPr>
          </w:p>
        </w:tc>
      </w:tr>
      <w:tr>
        <w:trPr>
          <w:trHeight w:val="149"/>
        </w:trPr>
        <w:tc>
          <w:tcPr>
            <w:tcW w:w="9200" w:type="dxa"/>
            <w:vAlign w:val="bottom"/>
            <w:shd w:val="clear" w:color="auto" w:fill="CCEEFF"/>
          </w:tcPr>
          <w:p>
            <w:pPr>
              <w:ind w:left="1300"/>
              <w:spacing w:after="0" w:line="149" w:lineRule="exact"/>
              <w:rPr>
                <w:sz w:val="20"/>
                <w:szCs w:val="20"/>
                <w:color w:val="auto"/>
              </w:rPr>
            </w:pPr>
            <w:r>
              <w:rPr>
                <w:rFonts w:ascii="Arial" w:cs="Arial" w:eastAsia="Arial" w:hAnsi="Arial"/>
                <w:sz w:val="14"/>
                <w:szCs w:val="14"/>
                <w:color w:val="auto"/>
              </w:rPr>
              <w:t>Total stockholders’ equity</w:t>
            </w:r>
          </w:p>
        </w:tc>
        <w:tc>
          <w:tcPr>
            <w:tcW w:w="10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15,047</w:t>
            </w:r>
          </w:p>
        </w:tc>
        <w:tc>
          <w:tcPr>
            <w:tcW w:w="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13,350</w:t>
            </w:r>
          </w:p>
        </w:tc>
        <w:tc>
          <w:tcPr>
            <w:tcW w:w="80" w:type="dxa"/>
            <w:vAlign w:val="bottom"/>
            <w:shd w:val="clear" w:color="auto" w:fill="CCEEFF"/>
          </w:tcPr>
          <w:p>
            <w:pPr>
              <w:spacing w:after="0"/>
              <w:rPr>
                <w:sz w:val="12"/>
                <w:szCs w:val="12"/>
                <w:color w:val="auto"/>
              </w:rPr>
            </w:pPr>
          </w:p>
        </w:tc>
      </w:tr>
      <w:tr>
        <w:trPr>
          <w:trHeight w:val="156"/>
        </w:trPr>
        <w:tc>
          <w:tcPr>
            <w:tcW w:w="9200" w:type="dxa"/>
            <w:vAlign w:val="bottom"/>
          </w:tcPr>
          <w:p>
            <w:pPr>
              <w:ind w:left="1300"/>
              <w:spacing w:after="0" w:line="155" w:lineRule="exact"/>
              <w:rPr>
                <w:sz w:val="20"/>
                <w:szCs w:val="20"/>
                <w:color w:val="auto"/>
              </w:rPr>
            </w:pPr>
            <w:r>
              <w:rPr>
                <w:rFonts w:ascii="Arial" w:cs="Arial" w:eastAsia="Arial" w:hAnsi="Arial"/>
                <w:sz w:val="14"/>
                <w:szCs w:val="14"/>
                <w:color w:val="auto"/>
              </w:rPr>
              <w:t>Total liabilities and stockholders’ equity</w:t>
            </w:r>
          </w:p>
        </w:tc>
        <w:tc>
          <w:tcPr>
            <w:tcW w:w="100" w:type="dxa"/>
            <w:vAlign w:val="bottom"/>
          </w:tcPr>
          <w:p>
            <w:pPr>
              <w:spacing w:after="0" w:line="155" w:lineRule="exact"/>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20"/>
              <w:spacing w:after="0" w:line="155" w:lineRule="exact"/>
              <w:rPr>
                <w:sz w:val="20"/>
                <w:szCs w:val="20"/>
                <w:color w:val="auto"/>
              </w:rPr>
            </w:pPr>
            <w:r>
              <w:rPr>
                <w:rFonts w:ascii="Arial" w:cs="Arial" w:eastAsia="Arial" w:hAnsi="Arial"/>
                <w:sz w:val="14"/>
                <w:szCs w:val="14"/>
                <w:color w:val="auto"/>
              </w:rPr>
              <w:t>110,352</w:t>
            </w:r>
          </w:p>
        </w:tc>
        <w:tc>
          <w:tcPr>
            <w:tcW w:w="620" w:type="dxa"/>
            <w:vAlign w:val="bottom"/>
          </w:tcPr>
          <w:p>
            <w:pPr>
              <w:spacing w:after="0"/>
              <w:rPr>
                <w:sz w:val="13"/>
                <w:szCs w:val="13"/>
                <w:color w:val="auto"/>
              </w:rPr>
            </w:pPr>
          </w:p>
        </w:tc>
        <w:tc>
          <w:tcPr>
            <w:tcW w:w="160" w:type="dxa"/>
            <w:vAlign w:val="bottom"/>
          </w:tcPr>
          <w:p>
            <w:pPr>
              <w:spacing w:after="0" w:line="155" w:lineRule="exact"/>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80"/>
              <w:spacing w:after="0" w:line="155" w:lineRule="exact"/>
              <w:rPr>
                <w:sz w:val="20"/>
                <w:szCs w:val="20"/>
                <w:color w:val="auto"/>
              </w:rPr>
            </w:pPr>
            <w:r>
              <w:rPr>
                <w:rFonts w:ascii="Arial" w:cs="Arial" w:eastAsia="Arial" w:hAnsi="Arial"/>
                <w:sz w:val="14"/>
                <w:szCs w:val="14"/>
                <w:color w:val="auto"/>
              </w:rPr>
              <w:t>108,187</w:t>
            </w:r>
          </w:p>
        </w:tc>
      </w:tr>
      <w:tr>
        <w:trPr>
          <w:trHeight w:val="20"/>
        </w:trPr>
        <w:tc>
          <w:tcPr>
            <w:tcW w:w="9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1960"/>
        <w:spacing w:after="0"/>
        <w:rPr>
          <w:sz w:val="20"/>
          <w:szCs w:val="20"/>
          <w:color w:val="auto"/>
        </w:rPr>
      </w:pPr>
      <w:r>
        <w:rPr>
          <w:rFonts w:ascii="Arial" w:cs="Arial" w:eastAsia="Arial" w:hAnsi="Arial"/>
          <w:sz w:val="18"/>
          <w:szCs w:val="18"/>
          <w:b w:val="1"/>
          <w:bCs w:val="1"/>
          <w:color w:val="auto"/>
        </w:rPr>
        <w:t>CONDENSED CONSOLIDATED STATEMENTS OF CHANGES IN STOCKHOLDERS’ EQUITY</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9"/>
              </w:rPr>
              <w:t>Total</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8"/>
              </w:rPr>
              <w:t>Genworth</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86"/>
              </w:rPr>
              <w:t>Accumulated</w:t>
            </w:r>
          </w:p>
        </w:tc>
        <w:tc>
          <w:tcPr>
            <w:tcW w:w="5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Financial,</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Additional</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2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91"/>
              </w:rPr>
              <w:t>other</w:t>
            </w:r>
          </w:p>
        </w:tc>
        <w:tc>
          <w:tcPr>
            <w:tcW w:w="5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Treasury</w:t>
            </w:r>
          </w:p>
        </w:tc>
        <w:tc>
          <w:tcPr>
            <w:tcW w:w="100" w:type="dxa"/>
            <w:vAlign w:val="bottom"/>
          </w:tcPr>
          <w:p>
            <w:pPr>
              <w:spacing w:after="0"/>
              <w:rPr>
                <w:sz w:val="12"/>
                <w:szCs w:val="12"/>
                <w:color w:val="auto"/>
              </w:rPr>
            </w:pPr>
          </w:p>
        </w:tc>
        <w:tc>
          <w:tcPr>
            <w:tcW w:w="9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9"/>
              </w:rPr>
              <w:t>Inc.’s</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right"/>
              <w:ind w:right="360"/>
              <w:spacing w:after="0" w:line="149"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5"/>
              </w:rPr>
              <w:t>Common</w:t>
            </w:r>
          </w:p>
        </w:tc>
        <w:tc>
          <w:tcPr>
            <w:tcW w:w="240" w:type="dxa"/>
            <w:vAlign w:val="bottom"/>
          </w:tcPr>
          <w:p>
            <w:pPr>
              <w:spacing w:after="0"/>
              <w:rPr>
                <w:sz w:val="12"/>
                <w:szCs w:val="12"/>
                <w:color w:val="auto"/>
              </w:rPr>
            </w:pPr>
          </w:p>
        </w:tc>
        <w:tc>
          <w:tcPr>
            <w:tcW w:w="7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paid-in</w:t>
            </w:r>
          </w:p>
        </w:tc>
        <w:tc>
          <w:tcPr>
            <w:tcW w:w="120" w:type="dxa"/>
            <w:vAlign w:val="bottom"/>
          </w:tcPr>
          <w:p>
            <w:pPr>
              <w:spacing w:after="0"/>
              <w:rPr>
                <w:sz w:val="12"/>
                <w:szCs w:val="12"/>
                <w:color w:val="auto"/>
              </w:rPr>
            </w:pPr>
          </w:p>
        </w:tc>
        <w:tc>
          <w:tcPr>
            <w:tcW w:w="122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8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Retained</w:t>
            </w:r>
          </w:p>
        </w:tc>
        <w:tc>
          <w:tcPr>
            <w:tcW w:w="90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stock, at</w:t>
            </w:r>
          </w:p>
        </w:tc>
        <w:tc>
          <w:tcPr>
            <w:tcW w:w="100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83"/>
              </w:rPr>
              <w:t>stockholders’</w:t>
            </w:r>
          </w:p>
        </w:tc>
        <w:tc>
          <w:tcPr>
            <w:tcW w:w="140" w:type="dxa"/>
            <w:vAlign w:val="bottom"/>
          </w:tcPr>
          <w:p>
            <w:pPr>
              <w:spacing w:after="0"/>
              <w:rPr>
                <w:sz w:val="12"/>
                <w:szCs w:val="12"/>
                <w:color w:val="auto"/>
              </w:rPr>
            </w:pPr>
          </w:p>
        </w:tc>
        <w:tc>
          <w:tcPr>
            <w:tcW w:w="10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Noncontrolling</w:t>
            </w:r>
          </w:p>
        </w:tc>
        <w:tc>
          <w:tcPr>
            <w:tcW w:w="140" w:type="dxa"/>
            <w:vAlign w:val="bottom"/>
          </w:tcPr>
          <w:p>
            <w:pPr>
              <w:spacing w:after="0"/>
              <w:rPr>
                <w:sz w:val="12"/>
                <w:szCs w:val="12"/>
                <w:color w:val="auto"/>
              </w:rPr>
            </w:pPr>
          </w:p>
        </w:tc>
        <w:tc>
          <w:tcPr>
            <w:tcW w:w="9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4"/>
              </w:rPr>
              <w:t>stockholders’</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stock</w:t>
            </w:r>
          </w:p>
        </w:tc>
        <w:tc>
          <w:tcPr>
            <w:tcW w:w="240" w:type="dxa"/>
            <w:vAlign w:val="bottom"/>
          </w:tcPr>
          <w:p>
            <w:pPr>
              <w:spacing w:after="0"/>
              <w:rPr>
                <w:sz w:val="14"/>
                <w:szCs w:val="14"/>
                <w:color w:val="auto"/>
              </w:rPr>
            </w:pPr>
          </w:p>
        </w:tc>
        <w:tc>
          <w:tcPr>
            <w:tcW w:w="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capital</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income (loss)</w:t>
            </w:r>
          </w:p>
        </w:tc>
        <w:tc>
          <w:tcPr>
            <w:tcW w:w="340" w:type="dxa"/>
            <w:vAlign w:val="bottom"/>
          </w:tcPr>
          <w:p>
            <w:pPr>
              <w:spacing w:after="0"/>
              <w:rPr>
                <w:sz w:val="14"/>
                <w:szCs w:val="14"/>
                <w:color w:val="auto"/>
              </w:rPr>
            </w:pPr>
          </w:p>
        </w:tc>
        <w:tc>
          <w:tcPr>
            <w:tcW w:w="5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82"/>
              </w:rPr>
              <w:t>earnings</w:t>
            </w:r>
          </w:p>
        </w:tc>
        <w:tc>
          <w:tcPr>
            <w:tcW w:w="360" w:type="dxa"/>
            <w:vAlign w:val="bottom"/>
          </w:tcPr>
          <w:p>
            <w:pPr>
              <w:spacing w:after="0"/>
              <w:rPr>
                <w:sz w:val="14"/>
                <w:szCs w:val="14"/>
                <w:color w:val="auto"/>
              </w:rPr>
            </w:pPr>
          </w:p>
        </w:tc>
        <w:tc>
          <w:tcPr>
            <w:tcW w:w="560" w:type="dxa"/>
            <w:vAlign w:val="bottom"/>
            <w:tcBorders>
              <w:bottom w:val="single" w:sz="8" w:color="auto"/>
            </w:tcBorders>
          </w:tcPr>
          <w:p>
            <w:pPr>
              <w:ind w:left="160"/>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equity</w:t>
            </w: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w w:val="89"/>
              </w:rPr>
              <w:t>interests</w:t>
            </w: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w w:val="96"/>
              </w:rPr>
              <w:t>equity</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8"/>
                <w:szCs w:val="18"/>
                <w:color w:val="auto"/>
              </w:rPr>
              <w:t>Balances as of December 31, 2009</w:t>
            </w:r>
          </w:p>
        </w:tc>
        <w:tc>
          <w:tcPr>
            <w:tcW w:w="2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ind w:left="360"/>
              <w:spacing w:after="0"/>
              <w:rPr>
                <w:sz w:val="20"/>
                <w:szCs w:val="20"/>
                <w:color w:val="auto"/>
              </w:rPr>
            </w:pPr>
            <w:r>
              <w:rPr>
                <w:rFonts w:ascii="Arial" w:cs="Arial" w:eastAsia="Arial" w:hAnsi="Arial"/>
                <w:sz w:val="15"/>
                <w:szCs w:val="15"/>
                <w:color w:val="auto"/>
                <w:w w:val="71"/>
              </w:rPr>
              <w:t>1</w:t>
            </w:r>
          </w:p>
        </w:tc>
        <w:tc>
          <w:tcPr>
            <w:tcW w:w="9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$ 12,034</w:t>
            </w:r>
          </w:p>
        </w:tc>
        <w:tc>
          <w:tcPr>
            <w:tcW w:w="32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(164)</w:t>
            </w:r>
          </w:p>
        </w:tc>
        <w:tc>
          <w:tcPr>
            <w:tcW w:w="520" w:type="dxa"/>
            <w:vAlign w:val="bottom"/>
            <w:shd w:val="clear" w:color="auto" w:fill="CCEEFF"/>
          </w:tcPr>
          <w:p>
            <w:pPr>
              <w:spacing w:after="0"/>
              <w:rPr>
                <w:sz w:val="20"/>
                <w:szCs w:val="20"/>
                <w:color w:val="auto"/>
              </w:rPr>
            </w:pPr>
            <w:r>
              <w:rPr>
                <w:rFonts w:ascii="Arial" w:cs="Arial" w:eastAsia="Arial" w:hAnsi="Arial"/>
                <w:sz w:val="18"/>
                <w:szCs w:val="18"/>
                <w:color w:val="auto"/>
                <w:w w:val="83"/>
              </w:rPr>
              <w:t>$ 3,105</w:t>
            </w:r>
          </w:p>
        </w:tc>
        <w:tc>
          <w:tcPr>
            <w:tcW w:w="3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$(2,700)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12,276</w:t>
            </w:r>
          </w:p>
        </w:tc>
        <w:tc>
          <w:tcPr>
            <w:tcW w:w="2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1,074</w:t>
            </w:r>
          </w:p>
        </w:tc>
        <w:tc>
          <w:tcPr>
            <w:tcW w:w="20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13,350</w:t>
            </w:r>
          </w:p>
        </w:tc>
        <w:tc>
          <w:tcPr>
            <w:tcW w:w="0" w:type="dxa"/>
            <w:vAlign w:val="bottom"/>
          </w:tcPr>
          <w:p>
            <w:pPr>
              <w:spacing w:after="0"/>
              <w:rPr>
                <w:sz w:val="1"/>
                <w:szCs w:val="1"/>
                <w:color w:val="auto"/>
              </w:rPr>
            </w:pPr>
          </w:p>
        </w:tc>
      </w:tr>
      <w:tr>
        <w:trPr>
          <w:trHeight w:val="215"/>
        </w:trPr>
        <w:tc>
          <w:tcPr>
            <w:tcW w:w="3380" w:type="dxa"/>
            <w:vAlign w:val="bottom"/>
            <w:gridSpan w:val="2"/>
          </w:tcPr>
          <w:p>
            <w:pPr>
              <w:spacing w:after="0"/>
              <w:rPr>
                <w:sz w:val="20"/>
                <w:szCs w:val="20"/>
                <w:color w:val="auto"/>
              </w:rPr>
            </w:pPr>
            <w:r>
              <w:rPr>
                <w:rFonts w:ascii="Arial" w:cs="Arial" w:eastAsia="Arial" w:hAnsi="Arial"/>
                <w:sz w:val="18"/>
                <w:szCs w:val="18"/>
                <w:color w:val="auto"/>
                <w:w w:val="99"/>
              </w:rPr>
              <w:t>Cumulative effect of change in accounting,</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360" w:type="dxa"/>
            <w:vAlign w:val="bottom"/>
          </w:tcPr>
          <w:p>
            <w:pPr>
              <w:ind w:left="200"/>
              <w:spacing w:after="0"/>
              <w:rPr>
                <w:sz w:val="20"/>
                <w:szCs w:val="20"/>
                <w:color w:val="auto"/>
              </w:rPr>
            </w:pPr>
            <w:r>
              <w:rPr>
                <w:rFonts w:ascii="Arial" w:cs="Arial" w:eastAsia="Arial" w:hAnsi="Arial"/>
                <w:sz w:val="18"/>
                <w:szCs w:val="18"/>
                <w:color w:val="auto"/>
              </w:rPr>
              <w:t>net of taxes and other adjustments</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20" w:type="dxa"/>
            <w:vAlign w:val="bottom"/>
            <w:gridSpan w:val="2"/>
          </w:tcPr>
          <w:p>
            <w:pPr>
              <w:jc w:val="right"/>
              <w:ind w:right="340"/>
              <w:spacing w:after="0"/>
              <w:rPr>
                <w:sz w:val="20"/>
                <w:szCs w:val="20"/>
                <w:color w:val="auto"/>
              </w:rPr>
            </w:pPr>
            <w:r>
              <w:rPr>
                <w:rFonts w:ascii="Arial" w:cs="Arial" w:eastAsia="Arial" w:hAnsi="Arial"/>
                <w:sz w:val="18"/>
                <w:szCs w:val="18"/>
                <w:color w:val="auto"/>
              </w:rPr>
              <w:t>91</w:t>
            </w:r>
          </w:p>
        </w:tc>
        <w:tc>
          <w:tcPr>
            <w:tcW w:w="880" w:type="dxa"/>
            <w:vAlign w:val="bottom"/>
            <w:gridSpan w:val="2"/>
          </w:tcPr>
          <w:p>
            <w:pPr>
              <w:ind w:left="200"/>
              <w:spacing w:after="0"/>
              <w:rPr>
                <w:sz w:val="20"/>
                <w:szCs w:val="20"/>
                <w:color w:val="auto"/>
              </w:rPr>
            </w:pPr>
            <w:r>
              <w:rPr>
                <w:rFonts w:ascii="Arial" w:cs="Arial" w:eastAsia="Arial" w:hAnsi="Arial"/>
                <w:sz w:val="18"/>
                <w:szCs w:val="18"/>
                <w:color w:val="auto"/>
              </w:rPr>
              <w:t>(104)</w:t>
            </w:r>
          </w:p>
        </w:tc>
        <w:tc>
          <w:tcPr>
            <w:tcW w:w="90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(13)</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 (loss):</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tcPr>
          <w:p>
            <w:pPr>
              <w:ind w:left="420"/>
              <w:spacing w:after="0"/>
              <w:rPr>
                <w:sz w:val="20"/>
                <w:szCs w:val="20"/>
                <w:color w:val="auto"/>
              </w:rPr>
            </w:pPr>
            <w:r>
              <w:rPr>
                <w:rFonts w:ascii="Arial" w:cs="Arial" w:eastAsia="Arial" w:hAnsi="Arial"/>
                <w:sz w:val="18"/>
                <w:szCs w:val="18"/>
                <w:color w:val="auto"/>
              </w:rPr>
              <w:t>Net income (loss)</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520" w:type="dxa"/>
            <w:vAlign w:val="bottom"/>
          </w:tcPr>
          <w:p>
            <w:pPr>
              <w:ind w:left="260"/>
              <w:spacing w:after="0"/>
              <w:rPr>
                <w:sz w:val="20"/>
                <w:szCs w:val="20"/>
                <w:color w:val="auto"/>
              </w:rPr>
            </w:pPr>
            <w:r>
              <w:rPr>
                <w:rFonts w:ascii="Arial" w:cs="Arial" w:eastAsia="Arial" w:hAnsi="Arial"/>
                <w:sz w:val="18"/>
                <w:szCs w:val="18"/>
                <w:color w:val="auto"/>
                <w:w w:val="79"/>
              </w:rPr>
              <w:t>220</w:t>
            </w:r>
          </w:p>
        </w:tc>
        <w:tc>
          <w:tcPr>
            <w:tcW w:w="360" w:type="dxa"/>
            <w:vAlign w:val="bottom"/>
          </w:tcPr>
          <w:p>
            <w:pPr>
              <w:spacing w:after="0"/>
              <w:rPr>
                <w:sz w:val="18"/>
                <w:szCs w:val="18"/>
                <w:color w:val="auto"/>
              </w:rPr>
            </w:pPr>
          </w:p>
        </w:tc>
        <w:tc>
          <w:tcPr>
            <w:tcW w:w="90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220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69</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289</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3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unrealized gains (losses) on</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shd w:val="clear" w:color="auto" w:fill="CCEEFF"/>
          </w:tcPr>
          <w:p>
            <w:pPr>
              <w:ind w:left="640"/>
              <w:spacing w:after="0"/>
              <w:rPr>
                <w:sz w:val="20"/>
                <w:szCs w:val="20"/>
                <w:color w:val="auto"/>
              </w:rPr>
            </w:pPr>
            <w:r>
              <w:rPr>
                <w:rFonts w:ascii="Arial" w:cs="Arial" w:eastAsia="Arial" w:hAnsi="Arial"/>
                <w:sz w:val="18"/>
                <w:szCs w:val="18"/>
                <w:color w:val="auto"/>
                <w:w w:val="93"/>
              </w:rPr>
              <w:t>securities not other-than-temporarily</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360" w:type="dxa"/>
            <w:vAlign w:val="bottom"/>
            <w:shd w:val="clear" w:color="auto" w:fill="CCEEFF"/>
          </w:tcPr>
          <w:p>
            <w:pPr>
              <w:ind w:left="640"/>
              <w:spacing w:after="0"/>
              <w:rPr>
                <w:sz w:val="20"/>
                <w:szCs w:val="20"/>
                <w:color w:val="auto"/>
              </w:rPr>
            </w:pPr>
            <w:r>
              <w:rPr>
                <w:rFonts w:ascii="Arial" w:cs="Arial" w:eastAsia="Arial" w:hAnsi="Arial"/>
                <w:sz w:val="18"/>
                <w:szCs w:val="18"/>
                <w:color w:val="auto"/>
              </w:rPr>
              <w:t>impaired</w:t>
            </w: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1,268</w:t>
            </w:r>
          </w:p>
        </w:tc>
        <w:tc>
          <w:tcPr>
            <w:tcW w:w="8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1,268</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1,277</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360" w:type="dxa"/>
            <w:vAlign w:val="bottom"/>
          </w:tcPr>
          <w:p>
            <w:pPr>
              <w:ind w:left="420"/>
              <w:spacing w:after="0"/>
              <w:rPr>
                <w:sz w:val="20"/>
                <w:szCs w:val="20"/>
                <w:color w:val="auto"/>
              </w:rPr>
            </w:pPr>
            <w:r>
              <w:rPr>
                <w:rFonts w:ascii="Arial" w:cs="Arial" w:eastAsia="Arial" w:hAnsi="Arial"/>
                <w:sz w:val="18"/>
                <w:szCs w:val="18"/>
                <w:color w:val="auto"/>
                <w:w w:val="94"/>
              </w:rPr>
              <w:t>Net unrealized gains (losses) on other-</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360" w:type="dxa"/>
            <w:vAlign w:val="bottom"/>
          </w:tcPr>
          <w:p>
            <w:pPr>
              <w:ind w:left="640"/>
              <w:spacing w:after="0"/>
              <w:rPr>
                <w:sz w:val="20"/>
                <w:szCs w:val="20"/>
                <w:color w:val="auto"/>
              </w:rPr>
            </w:pPr>
            <w:r>
              <w:rPr>
                <w:rFonts w:ascii="Arial" w:cs="Arial" w:eastAsia="Arial" w:hAnsi="Arial"/>
                <w:sz w:val="18"/>
                <w:szCs w:val="18"/>
                <w:color w:val="auto"/>
                <w:w w:val="94"/>
              </w:rPr>
              <w:t>than-temporarily impaired securities</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20" w:type="dxa"/>
            <w:vAlign w:val="bottom"/>
            <w:gridSpan w:val="2"/>
          </w:tcPr>
          <w:p>
            <w:pPr>
              <w:jc w:val="right"/>
              <w:ind w:right="340"/>
              <w:spacing w:after="0"/>
              <w:rPr>
                <w:sz w:val="20"/>
                <w:szCs w:val="20"/>
                <w:color w:val="auto"/>
              </w:rPr>
            </w:pPr>
            <w:r>
              <w:rPr>
                <w:rFonts w:ascii="Arial" w:cs="Arial" w:eastAsia="Arial" w:hAnsi="Arial"/>
                <w:sz w:val="18"/>
                <w:szCs w:val="18"/>
                <w:color w:val="auto"/>
              </w:rPr>
              <w:t>68</w:t>
            </w:r>
          </w:p>
        </w:tc>
        <w:tc>
          <w:tcPr>
            <w:tcW w:w="8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90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68</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68</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3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Derivatives qualifying as hedges</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360</w:t>
            </w:r>
          </w:p>
        </w:tc>
        <w:tc>
          <w:tcPr>
            <w:tcW w:w="8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360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360</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360" w:type="dxa"/>
            <w:vAlign w:val="bottom"/>
          </w:tcPr>
          <w:p>
            <w:pPr>
              <w:ind w:left="420"/>
              <w:spacing w:after="0"/>
              <w:rPr>
                <w:sz w:val="20"/>
                <w:szCs w:val="20"/>
                <w:color w:val="auto"/>
              </w:rPr>
            </w:pPr>
            <w:r>
              <w:rPr>
                <w:rFonts w:ascii="Arial" w:cs="Arial" w:eastAsia="Arial" w:hAnsi="Arial"/>
                <w:sz w:val="18"/>
                <w:szCs w:val="18"/>
                <w:color w:val="auto"/>
                <w:w w:val="95"/>
              </w:rPr>
              <w:t>Foreign currency translation and other</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3360" w:type="dxa"/>
            <w:vAlign w:val="bottom"/>
          </w:tcPr>
          <w:p>
            <w:pPr>
              <w:ind w:left="640"/>
              <w:spacing w:after="0"/>
              <w:rPr>
                <w:sz w:val="20"/>
                <w:szCs w:val="20"/>
                <w:color w:val="auto"/>
              </w:rPr>
            </w:pPr>
            <w:r>
              <w:rPr>
                <w:rFonts w:ascii="Arial" w:cs="Arial" w:eastAsia="Arial" w:hAnsi="Arial"/>
                <w:sz w:val="18"/>
                <w:szCs w:val="18"/>
                <w:color w:val="auto"/>
              </w:rPr>
              <w:t>adjustments</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(292)</w:t>
            </w:r>
          </w:p>
        </w:tc>
        <w:tc>
          <w:tcPr>
            <w:tcW w:w="8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90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(292)</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(15)</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(307)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comprehensive income (loss)</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1,687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tcPr>
          <w:p>
            <w:pPr>
              <w:spacing w:after="0"/>
              <w:rPr>
                <w:sz w:val="20"/>
                <w:szCs w:val="20"/>
                <w:color w:val="auto"/>
              </w:rPr>
            </w:pPr>
            <w:r>
              <w:rPr>
                <w:rFonts w:ascii="Arial" w:cs="Arial" w:eastAsia="Arial" w:hAnsi="Arial"/>
                <w:sz w:val="18"/>
                <w:szCs w:val="18"/>
                <w:color w:val="auto"/>
              </w:rPr>
              <w:t>Dividends to noncontrolling interests</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8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90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(21)</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expense and</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3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exercises and other</w:t>
            </w: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9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24</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tcPr>
          <w:p>
            <w:pPr>
              <w:spacing w:after="0"/>
              <w:rPr>
                <w:sz w:val="20"/>
                <w:szCs w:val="20"/>
                <w:color w:val="auto"/>
              </w:rPr>
            </w:pPr>
            <w:r>
              <w:rPr>
                <w:rFonts w:ascii="Arial" w:cs="Arial" w:eastAsia="Arial" w:hAnsi="Arial"/>
                <w:sz w:val="18"/>
                <w:szCs w:val="18"/>
                <w:color w:val="auto"/>
              </w:rPr>
              <w:t>Other capital transactions</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8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90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20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8"/>
                <w:szCs w:val="18"/>
                <w:color w:val="auto"/>
              </w:rPr>
              <w:t>Balances as of June 30, 2010</w:t>
            </w:r>
          </w:p>
        </w:tc>
        <w:tc>
          <w:tcPr>
            <w:tcW w:w="2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ind w:left="360"/>
              <w:spacing w:after="0"/>
              <w:rPr>
                <w:sz w:val="20"/>
                <w:szCs w:val="20"/>
                <w:color w:val="auto"/>
              </w:rPr>
            </w:pPr>
            <w:r>
              <w:rPr>
                <w:rFonts w:ascii="Arial" w:cs="Arial" w:eastAsia="Arial" w:hAnsi="Arial"/>
                <w:sz w:val="15"/>
                <w:szCs w:val="15"/>
                <w:color w:val="auto"/>
                <w:w w:val="71"/>
              </w:rPr>
              <w:t>1</w:t>
            </w:r>
          </w:p>
        </w:tc>
        <w:tc>
          <w:tcPr>
            <w:tcW w:w="9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$ 12,078</w:t>
            </w:r>
          </w:p>
        </w:tc>
        <w:tc>
          <w:tcPr>
            <w:tcW w:w="32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1,331</w:t>
            </w:r>
          </w:p>
        </w:tc>
        <w:tc>
          <w:tcPr>
            <w:tcW w:w="520" w:type="dxa"/>
            <w:vAlign w:val="bottom"/>
            <w:shd w:val="clear" w:color="auto" w:fill="CCEEFF"/>
          </w:tcPr>
          <w:p>
            <w:pPr>
              <w:spacing w:after="0"/>
              <w:rPr>
                <w:sz w:val="20"/>
                <w:szCs w:val="20"/>
                <w:color w:val="auto"/>
              </w:rPr>
            </w:pPr>
            <w:r>
              <w:rPr>
                <w:rFonts w:ascii="Arial" w:cs="Arial" w:eastAsia="Arial" w:hAnsi="Arial"/>
                <w:sz w:val="18"/>
                <w:szCs w:val="18"/>
                <w:color w:val="auto"/>
                <w:w w:val="83"/>
              </w:rPr>
              <w:t>$ 3,221</w:t>
            </w:r>
          </w:p>
        </w:tc>
        <w:tc>
          <w:tcPr>
            <w:tcW w:w="3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(2,700)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13,931</w:t>
            </w:r>
          </w:p>
        </w:tc>
        <w:tc>
          <w:tcPr>
            <w:tcW w:w="2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1,116</w:t>
            </w:r>
          </w:p>
        </w:tc>
        <w:tc>
          <w:tcPr>
            <w:tcW w:w="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15,047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jc w:val="right"/>
              <w:ind w:right="194"/>
              <w:spacing w:after="0"/>
              <w:rPr>
                <w:sz w:val="20"/>
                <w:szCs w:val="20"/>
                <w:color w:val="auto"/>
              </w:rPr>
            </w:pPr>
            <w:r>
              <w:rPr>
                <w:rFonts w:ascii="Arial" w:cs="Arial" w:eastAsia="Arial" w:hAnsi="Arial"/>
                <w:sz w:val="18"/>
                <w:szCs w:val="18"/>
                <w:color w:val="auto"/>
              </w:rPr>
              <w:t>5</w:t>
            </w: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CONDENSED CONSOLIDATED STATEMENTS OF CHANGES IN STOCKHOLDERS’ EQUITY— (CONTINUED)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7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20" w:type="dxa"/>
            <w:vAlign w:val="bottom"/>
          </w:tcPr>
          <w:p>
            <w:pPr>
              <w:jc w:val="center"/>
              <w:spacing w:after="0"/>
              <w:rPr>
                <w:sz w:val="20"/>
                <w:szCs w:val="20"/>
                <w:color w:val="auto"/>
              </w:rPr>
            </w:pPr>
            <w:r>
              <w:rPr>
                <w:rFonts w:ascii="Arial" w:cs="Arial" w:eastAsia="Arial" w:hAnsi="Arial"/>
                <w:sz w:val="14"/>
                <w:szCs w:val="14"/>
                <w:b w:val="1"/>
                <w:bCs w:val="1"/>
                <w:color w:val="auto"/>
                <w:w w:val="90"/>
              </w:rPr>
              <w:t>Additional</w:t>
            </w:r>
          </w:p>
        </w:tc>
        <w:tc>
          <w:tcPr>
            <w:tcW w:w="380" w:type="dxa"/>
            <w:vAlign w:val="bottom"/>
          </w:tcPr>
          <w:p>
            <w:pPr>
              <w:spacing w:after="0"/>
              <w:rPr>
                <w:sz w:val="14"/>
                <w:szCs w:val="14"/>
                <w:color w:val="auto"/>
              </w:rPr>
            </w:pPr>
          </w:p>
        </w:tc>
        <w:tc>
          <w:tcPr>
            <w:tcW w:w="1380" w:type="dxa"/>
            <w:vAlign w:val="bottom"/>
            <w:gridSpan w:val="3"/>
          </w:tcPr>
          <w:p>
            <w:pPr>
              <w:spacing w:after="0"/>
              <w:rPr>
                <w:sz w:val="20"/>
                <w:szCs w:val="20"/>
                <w:color w:val="auto"/>
              </w:rPr>
            </w:pPr>
            <w:r>
              <w:rPr>
                <w:rFonts w:ascii="Arial" w:cs="Arial" w:eastAsia="Arial" w:hAnsi="Arial"/>
                <w:sz w:val="14"/>
                <w:szCs w:val="14"/>
                <w:b w:val="1"/>
                <w:bCs w:val="1"/>
                <w:color w:val="auto"/>
              </w:rPr>
              <w:t>Accumulated other</w:t>
            </w: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40" w:type="dxa"/>
            <w:vAlign w:val="bottom"/>
            <w:gridSpan w:val="2"/>
          </w:tcPr>
          <w:p>
            <w:pPr>
              <w:ind w:left="20"/>
              <w:spacing w:after="0"/>
              <w:rPr>
                <w:sz w:val="20"/>
                <w:szCs w:val="20"/>
                <w:color w:val="auto"/>
              </w:rPr>
            </w:pPr>
            <w:r>
              <w:rPr>
                <w:rFonts w:ascii="Arial" w:cs="Arial" w:eastAsia="Arial" w:hAnsi="Arial"/>
                <w:sz w:val="14"/>
                <w:szCs w:val="14"/>
                <w:b w:val="1"/>
                <w:bCs w:val="1"/>
                <w:color w:val="auto"/>
              </w:rPr>
              <w:t>Treasury</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Total</w:t>
            </w:r>
          </w:p>
        </w:tc>
      </w:tr>
      <w:tr>
        <w:trPr>
          <w:trHeight w:val="149"/>
        </w:trPr>
        <w:tc>
          <w:tcPr>
            <w:tcW w:w="20" w:type="dxa"/>
            <w:vAlign w:val="bottom"/>
          </w:tcPr>
          <w:p>
            <w:pPr>
              <w:spacing w:after="0"/>
              <w:rPr>
                <w:sz w:val="12"/>
                <w:szCs w:val="12"/>
                <w:color w:val="auto"/>
              </w:rPr>
            </w:pPr>
          </w:p>
        </w:tc>
        <w:tc>
          <w:tcPr>
            <w:tcW w:w="47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4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5"/>
              </w:rPr>
              <w:t>Common</w:t>
            </w:r>
          </w:p>
        </w:tc>
        <w:tc>
          <w:tcPr>
            <w:tcW w:w="380" w:type="dxa"/>
            <w:vAlign w:val="bottom"/>
          </w:tcPr>
          <w:p>
            <w:pPr>
              <w:spacing w:after="0"/>
              <w:rPr>
                <w:sz w:val="12"/>
                <w:szCs w:val="12"/>
                <w:color w:val="auto"/>
              </w:rPr>
            </w:pPr>
          </w:p>
        </w:tc>
        <w:tc>
          <w:tcPr>
            <w:tcW w:w="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paid-in</w:t>
            </w: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220" w:type="dxa"/>
            <w:vAlign w:val="bottom"/>
          </w:tcPr>
          <w:p>
            <w:pPr>
              <w:spacing w:after="0"/>
              <w:rPr>
                <w:sz w:val="12"/>
                <w:szCs w:val="12"/>
                <w:color w:val="auto"/>
              </w:rPr>
            </w:pPr>
          </w:p>
        </w:tc>
        <w:tc>
          <w:tcPr>
            <w:tcW w:w="100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Retained</w:t>
            </w:r>
          </w:p>
        </w:tc>
        <w:tc>
          <w:tcPr>
            <w:tcW w:w="84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stock, at</w:t>
            </w:r>
          </w:p>
        </w:tc>
        <w:tc>
          <w:tcPr>
            <w:tcW w:w="200" w:type="dxa"/>
            <w:vAlign w:val="bottom"/>
          </w:tcPr>
          <w:p>
            <w:pPr>
              <w:spacing w:after="0"/>
              <w:rPr>
                <w:sz w:val="12"/>
                <w:szCs w:val="12"/>
                <w:color w:val="auto"/>
              </w:rPr>
            </w:pPr>
          </w:p>
        </w:tc>
        <w:tc>
          <w:tcPr>
            <w:tcW w:w="9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4"/>
              </w:rPr>
              <w:t>stockholders’</w:t>
            </w:r>
          </w:p>
        </w:tc>
      </w:tr>
      <w:tr>
        <w:trPr>
          <w:trHeight w:val="161"/>
        </w:trPr>
        <w:tc>
          <w:tcPr>
            <w:tcW w:w="20" w:type="dxa"/>
            <w:vAlign w:val="bottom"/>
          </w:tcPr>
          <w:p>
            <w:pPr>
              <w:spacing w:after="0"/>
              <w:rPr>
                <w:sz w:val="14"/>
                <w:szCs w:val="14"/>
                <w:color w:val="auto"/>
              </w:rPr>
            </w:pPr>
          </w:p>
        </w:tc>
        <w:tc>
          <w:tcPr>
            <w:tcW w:w="47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stock</w:t>
            </w:r>
          </w:p>
        </w:tc>
        <w:tc>
          <w:tcPr>
            <w:tcW w:w="380" w:type="dxa"/>
            <w:vAlign w:val="bottom"/>
          </w:tcPr>
          <w:p>
            <w:pPr>
              <w:spacing w:after="0"/>
              <w:rPr>
                <w:sz w:val="14"/>
                <w:szCs w:val="14"/>
                <w:color w:val="auto"/>
              </w:rPr>
            </w:pPr>
          </w:p>
        </w:tc>
        <w:tc>
          <w:tcPr>
            <w:tcW w:w="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capital</w:t>
            </w:r>
          </w:p>
        </w:tc>
        <w:tc>
          <w:tcPr>
            <w:tcW w:w="3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1"/>
              </w:rPr>
              <w:t>income (loss)</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82"/>
              </w:rPr>
              <w:t>earnings</w:t>
            </w:r>
          </w:p>
        </w:tc>
        <w:tc>
          <w:tcPr>
            <w:tcW w:w="480" w:type="dxa"/>
            <w:vAlign w:val="bottom"/>
          </w:tcPr>
          <w:p>
            <w:pPr>
              <w:spacing w:after="0"/>
              <w:rPr>
                <w:sz w:val="14"/>
                <w:szCs w:val="14"/>
                <w:color w:val="auto"/>
              </w:rPr>
            </w:pPr>
          </w:p>
        </w:tc>
        <w:tc>
          <w:tcPr>
            <w:tcW w:w="56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cost</w:t>
            </w:r>
          </w:p>
        </w:tc>
        <w:tc>
          <w:tcPr>
            <w:tcW w:w="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w w:val="96"/>
              </w:rPr>
              <w:t>equity</w:t>
            </w:r>
          </w:p>
        </w:tc>
        <w:tc>
          <w:tcPr>
            <w:tcW w:w="10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Balances as of December 31, 2008</w:t>
            </w:r>
          </w:p>
        </w:tc>
        <w:tc>
          <w:tcPr>
            <w:tcW w:w="3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ind w:left="360"/>
              <w:spacing w:after="0"/>
              <w:rPr>
                <w:sz w:val="20"/>
                <w:szCs w:val="20"/>
                <w:color w:val="auto"/>
              </w:rPr>
            </w:pPr>
            <w:r>
              <w:rPr>
                <w:rFonts w:ascii="Arial" w:cs="Arial" w:eastAsia="Arial" w:hAnsi="Arial"/>
                <w:sz w:val="15"/>
                <w:szCs w:val="15"/>
                <w:color w:val="auto"/>
                <w:w w:val="71"/>
              </w:rPr>
              <w:t>1</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$ 11,477</w:t>
            </w:r>
          </w:p>
        </w:tc>
        <w:tc>
          <w:tcPr>
            <w:tcW w:w="4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(3,062)</w:t>
            </w:r>
          </w:p>
        </w:tc>
        <w:tc>
          <w:tcPr>
            <w:tcW w:w="122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$ 3,210</w:t>
            </w:r>
          </w:p>
        </w:tc>
        <w:tc>
          <w:tcPr>
            <w:tcW w:w="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$(2,700)</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8,926</w:t>
            </w:r>
          </w:p>
        </w:tc>
      </w:tr>
      <w:tr>
        <w:trPr>
          <w:trHeight w:val="215"/>
        </w:trPr>
        <w:tc>
          <w:tcPr>
            <w:tcW w:w="4720" w:type="dxa"/>
            <w:vAlign w:val="bottom"/>
            <w:gridSpan w:val="2"/>
          </w:tcPr>
          <w:p>
            <w:pPr>
              <w:spacing w:after="0"/>
              <w:rPr>
                <w:sz w:val="20"/>
                <w:szCs w:val="20"/>
                <w:color w:val="auto"/>
              </w:rPr>
            </w:pPr>
            <w:r>
              <w:rPr>
                <w:rFonts w:ascii="Arial" w:cs="Arial" w:eastAsia="Arial" w:hAnsi="Arial"/>
                <w:sz w:val="18"/>
                <w:szCs w:val="18"/>
                <w:color w:val="auto"/>
                <w:w w:val="99"/>
              </w:rPr>
              <w:t>Cumulative effect of change in accounting, net of taxes and</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4700" w:type="dxa"/>
            <w:vAlign w:val="bottom"/>
          </w:tcPr>
          <w:p>
            <w:pPr>
              <w:ind w:left="200"/>
              <w:spacing w:after="0"/>
              <w:rPr>
                <w:sz w:val="20"/>
                <w:szCs w:val="20"/>
                <w:color w:val="auto"/>
              </w:rPr>
            </w:pPr>
            <w:r>
              <w:rPr>
                <w:rFonts w:ascii="Arial" w:cs="Arial" w:eastAsia="Arial" w:hAnsi="Arial"/>
                <w:sz w:val="18"/>
                <w:szCs w:val="18"/>
                <w:color w:val="auto"/>
              </w:rPr>
              <w:t>other adjustments</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(349)</w:t>
            </w:r>
          </w:p>
        </w:tc>
        <w:tc>
          <w:tcPr>
            <w:tcW w:w="1220" w:type="dxa"/>
            <w:vAlign w:val="bottom"/>
            <w:gridSpan w:val="3"/>
          </w:tcPr>
          <w:p>
            <w:pPr>
              <w:ind w:left="480"/>
              <w:spacing w:after="0"/>
              <w:rPr>
                <w:sz w:val="20"/>
                <w:szCs w:val="20"/>
                <w:color w:val="auto"/>
              </w:rPr>
            </w:pPr>
            <w:r>
              <w:rPr>
                <w:rFonts w:ascii="Arial" w:cs="Arial" w:eastAsia="Arial" w:hAnsi="Arial"/>
                <w:sz w:val="18"/>
                <w:szCs w:val="18"/>
                <w:color w:val="auto"/>
              </w:rPr>
              <w:t>355</w:t>
            </w:r>
          </w:p>
        </w:tc>
        <w:tc>
          <w:tcPr>
            <w:tcW w:w="8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r>
      <w:tr>
        <w:trPr>
          <w:trHeight w:val="218"/>
        </w:trPr>
        <w:tc>
          <w:tcPr>
            <w:tcW w:w="20" w:type="dxa"/>
            <w:vAlign w:val="bottom"/>
          </w:tcPr>
          <w:p>
            <w:pPr>
              <w:spacing w:after="0"/>
              <w:rPr>
                <w:sz w:val="18"/>
                <w:szCs w:val="18"/>
                <w:color w:val="auto"/>
              </w:rPr>
            </w:pPr>
          </w:p>
        </w:tc>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 (loss):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00" w:type="dxa"/>
            <w:vAlign w:val="bottom"/>
          </w:tcPr>
          <w:p>
            <w:pPr>
              <w:ind w:left="420"/>
              <w:spacing w:after="0"/>
              <w:rPr>
                <w:sz w:val="20"/>
                <w:szCs w:val="20"/>
                <w:color w:val="auto"/>
              </w:rPr>
            </w:pPr>
            <w:r>
              <w:rPr>
                <w:rFonts w:ascii="Arial" w:cs="Arial" w:eastAsia="Arial" w:hAnsi="Arial"/>
                <w:sz w:val="18"/>
                <w:szCs w:val="18"/>
                <w:color w:val="auto"/>
              </w:rPr>
              <w:t>Net income (loss)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gridSpan w:val="2"/>
          </w:tcPr>
          <w:p>
            <w:pPr>
              <w:ind w:left="74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420"/>
              <w:spacing w:after="0"/>
              <w:rPr>
                <w:sz w:val="20"/>
                <w:szCs w:val="20"/>
                <w:color w:val="auto"/>
              </w:rPr>
            </w:pPr>
            <w:r>
              <w:rPr>
                <w:rFonts w:ascii="Arial" w:cs="Arial" w:eastAsia="Arial" w:hAnsi="Arial"/>
                <w:sz w:val="18"/>
                <w:szCs w:val="18"/>
                <w:color w:val="auto"/>
              </w:rPr>
              <w:t>(519)</w:t>
            </w:r>
          </w:p>
        </w:tc>
        <w:tc>
          <w:tcPr>
            <w:tcW w:w="8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(519)</w:t>
            </w:r>
          </w:p>
        </w:tc>
      </w:tr>
      <w:tr>
        <w:trPr>
          <w:trHeight w:val="208"/>
        </w:trPr>
        <w:tc>
          <w:tcPr>
            <w:tcW w:w="20" w:type="dxa"/>
            <w:vAlign w:val="bottom"/>
          </w:tcPr>
          <w:p>
            <w:pPr>
              <w:spacing w:after="0"/>
              <w:rPr>
                <w:sz w:val="18"/>
                <w:szCs w:val="18"/>
                <w:color w:val="auto"/>
              </w:rPr>
            </w:pPr>
          </w:p>
        </w:tc>
        <w:tc>
          <w:tcPr>
            <w:tcW w:w="470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2"/>
              </w:rPr>
              <w:t>Net unrealized gains (losses) on securities not other-than-</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4700" w:type="dxa"/>
            <w:vAlign w:val="bottom"/>
            <w:shd w:val="clear" w:color="auto" w:fill="CCEEFF"/>
          </w:tcPr>
          <w:p>
            <w:pPr>
              <w:ind w:left="640"/>
              <w:spacing w:after="0"/>
              <w:rPr>
                <w:sz w:val="20"/>
                <w:szCs w:val="20"/>
                <w:color w:val="auto"/>
              </w:rPr>
            </w:pPr>
            <w:r>
              <w:rPr>
                <w:rFonts w:ascii="Arial" w:cs="Arial" w:eastAsia="Arial" w:hAnsi="Arial"/>
                <w:sz w:val="18"/>
                <w:szCs w:val="18"/>
                <w:color w:val="auto"/>
              </w:rPr>
              <w:t>temporarily impaired</w:t>
            </w:r>
          </w:p>
        </w:tc>
        <w:tc>
          <w:tcPr>
            <w:tcW w:w="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1,378</w:t>
            </w:r>
          </w:p>
        </w:tc>
        <w:tc>
          <w:tcPr>
            <w:tcW w:w="2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1,378</w:t>
            </w:r>
          </w:p>
        </w:tc>
      </w:tr>
      <w:tr>
        <w:trPr>
          <w:trHeight w:val="208"/>
        </w:trPr>
        <w:tc>
          <w:tcPr>
            <w:tcW w:w="20" w:type="dxa"/>
            <w:vAlign w:val="bottom"/>
          </w:tcPr>
          <w:p>
            <w:pPr>
              <w:spacing w:after="0"/>
              <w:rPr>
                <w:sz w:val="18"/>
                <w:szCs w:val="18"/>
                <w:color w:val="auto"/>
              </w:rPr>
            </w:pPr>
          </w:p>
        </w:tc>
        <w:tc>
          <w:tcPr>
            <w:tcW w:w="4700" w:type="dxa"/>
            <w:vAlign w:val="bottom"/>
          </w:tcPr>
          <w:p>
            <w:pPr>
              <w:ind w:left="420"/>
              <w:spacing w:after="0"/>
              <w:rPr>
                <w:sz w:val="20"/>
                <w:szCs w:val="20"/>
                <w:color w:val="auto"/>
              </w:rPr>
            </w:pPr>
            <w:r>
              <w:rPr>
                <w:rFonts w:ascii="Arial" w:cs="Arial" w:eastAsia="Arial" w:hAnsi="Arial"/>
                <w:sz w:val="18"/>
                <w:szCs w:val="18"/>
                <w:color w:val="auto"/>
                <w:w w:val="96"/>
              </w:rPr>
              <w:t>Net unrealized gains (losses) on other-than-temporarily</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700" w:type="dxa"/>
            <w:vAlign w:val="bottom"/>
          </w:tcPr>
          <w:p>
            <w:pPr>
              <w:ind w:left="640"/>
              <w:spacing w:after="0"/>
              <w:rPr>
                <w:sz w:val="20"/>
                <w:szCs w:val="20"/>
                <w:color w:val="auto"/>
              </w:rPr>
            </w:pPr>
            <w:r>
              <w:rPr>
                <w:rFonts w:ascii="Arial" w:cs="Arial" w:eastAsia="Arial" w:hAnsi="Arial"/>
                <w:sz w:val="18"/>
                <w:szCs w:val="18"/>
                <w:color w:val="auto"/>
              </w:rPr>
              <w:t>impaired securities</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(14)</w:t>
            </w:r>
          </w:p>
        </w:tc>
        <w:tc>
          <w:tcPr>
            <w:tcW w:w="220" w:type="dxa"/>
            <w:vAlign w:val="bottom"/>
          </w:tcPr>
          <w:p>
            <w:pPr>
              <w:spacing w:after="0"/>
              <w:rPr>
                <w:sz w:val="19"/>
                <w:szCs w:val="19"/>
                <w:color w:val="auto"/>
              </w:rPr>
            </w:pPr>
          </w:p>
        </w:tc>
        <w:tc>
          <w:tcPr>
            <w:tcW w:w="100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8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(14)</w:t>
            </w:r>
          </w:p>
        </w:tc>
      </w:tr>
      <w:tr>
        <w:trPr>
          <w:trHeight w:val="217"/>
        </w:trPr>
        <w:tc>
          <w:tcPr>
            <w:tcW w:w="20" w:type="dxa"/>
            <w:vAlign w:val="bottom"/>
          </w:tcPr>
          <w:p>
            <w:pPr>
              <w:spacing w:after="0"/>
              <w:rPr>
                <w:sz w:val="18"/>
                <w:szCs w:val="18"/>
                <w:color w:val="auto"/>
              </w:rPr>
            </w:pPr>
          </w:p>
        </w:tc>
        <w:tc>
          <w:tcPr>
            <w:tcW w:w="47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Derivatives qualifying as hedges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(213)</w:t>
            </w: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(213)</w:t>
            </w:r>
          </w:p>
        </w:tc>
      </w:tr>
      <w:tr>
        <w:trPr>
          <w:trHeight w:val="223"/>
        </w:trPr>
        <w:tc>
          <w:tcPr>
            <w:tcW w:w="20" w:type="dxa"/>
            <w:vAlign w:val="bottom"/>
          </w:tcPr>
          <w:p>
            <w:pPr>
              <w:spacing w:after="0"/>
              <w:rPr>
                <w:sz w:val="19"/>
                <w:szCs w:val="19"/>
                <w:color w:val="auto"/>
              </w:rPr>
            </w:pPr>
          </w:p>
        </w:tc>
        <w:tc>
          <w:tcPr>
            <w:tcW w:w="4700" w:type="dxa"/>
            <w:vAlign w:val="bottom"/>
          </w:tcPr>
          <w:p>
            <w:pPr>
              <w:ind w:left="420"/>
              <w:spacing w:after="0"/>
              <w:rPr>
                <w:sz w:val="20"/>
                <w:szCs w:val="20"/>
                <w:color w:val="auto"/>
              </w:rPr>
            </w:pPr>
            <w:r>
              <w:rPr>
                <w:rFonts w:ascii="Arial" w:cs="Arial" w:eastAsia="Arial" w:hAnsi="Arial"/>
                <w:sz w:val="18"/>
                <w:szCs w:val="18"/>
                <w:color w:val="auto"/>
              </w:rPr>
              <w:t>Foreign currency translation and other adjustments</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ind w:left="740"/>
              <w:spacing w:after="0"/>
              <w:rPr>
                <w:sz w:val="20"/>
                <w:szCs w:val="20"/>
                <w:color w:val="auto"/>
              </w:rPr>
            </w:pPr>
            <w:r>
              <w:rPr>
                <w:rFonts w:ascii="Arial" w:cs="Arial" w:eastAsia="Arial" w:hAnsi="Arial"/>
                <w:sz w:val="18"/>
                <w:szCs w:val="18"/>
                <w:color w:val="auto"/>
                <w:w w:val="79"/>
              </w:rPr>
              <w:t>391</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8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391</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7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comprehensive income (loss)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1,023</w:t>
            </w:r>
          </w:p>
        </w:tc>
      </w:tr>
      <w:tr>
        <w:trPr>
          <w:trHeight w:val="223"/>
        </w:trPr>
        <w:tc>
          <w:tcPr>
            <w:tcW w:w="20" w:type="dxa"/>
            <w:vAlign w:val="bottom"/>
          </w:tcPr>
          <w:p>
            <w:pPr>
              <w:spacing w:after="0"/>
              <w:rPr>
                <w:sz w:val="19"/>
                <w:szCs w:val="19"/>
                <w:color w:val="auto"/>
              </w:rPr>
            </w:pPr>
          </w:p>
        </w:tc>
        <w:tc>
          <w:tcPr>
            <w:tcW w:w="4700" w:type="dxa"/>
            <w:vAlign w:val="bottom"/>
          </w:tcPr>
          <w:p>
            <w:pPr>
              <w:spacing w:after="0"/>
              <w:rPr>
                <w:sz w:val="20"/>
                <w:szCs w:val="20"/>
                <w:color w:val="auto"/>
              </w:rPr>
            </w:pPr>
            <w:r>
              <w:rPr>
                <w:rFonts w:ascii="Arial" w:cs="Arial" w:eastAsia="Arial" w:hAnsi="Arial"/>
                <w:sz w:val="18"/>
                <w:szCs w:val="18"/>
                <w:color w:val="auto"/>
                <w:w w:val="96"/>
              </w:rPr>
              <w:t>Stock-based compensation expense and exercises and other</w:t>
            </w:r>
          </w:p>
        </w:tc>
        <w:tc>
          <w:tcPr>
            <w:tcW w:w="2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3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ind w:left="74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2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560" w:type="dxa"/>
            <w:vAlign w:val="bottom"/>
            <w:tcBorders>
              <w:bottom w:val="single" w:sz="8" w:color="auto"/>
            </w:tcBorders>
          </w:tcPr>
          <w:p>
            <w:pPr>
              <w:ind w:left="3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Balances as of June 30, 2009</w:t>
            </w:r>
          </w:p>
        </w:tc>
        <w:tc>
          <w:tcPr>
            <w:tcW w:w="3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ind w:left="360"/>
              <w:spacing w:after="0"/>
              <w:rPr>
                <w:sz w:val="20"/>
                <w:szCs w:val="20"/>
                <w:color w:val="auto"/>
              </w:rPr>
            </w:pPr>
            <w:r>
              <w:rPr>
                <w:rFonts w:ascii="Arial" w:cs="Arial" w:eastAsia="Arial" w:hAnsi="Arial"/>
                <w:sz w:val="15"/>
                <w:szCs w:val="15"/>
                <w:color w:val="auto"/>
                <w:w w:val="71"/>
              </w:rPr>
              <w:t>1</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$ 11,492</w:t>
            </w:r>
          </w:p>
        </w:tc>
        <w:tc>
          <w:tcPr>
            <w:tcW w:w="4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(1,869)</w:t>
            </w:r>
          </w:p>
        </w:tc>
        <w:tc>
          <w:tcPr>
            <w:tcW w:w="122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$ 3,046</w:t>
            </w:r>
          </w:p>
        </w:tc>
        <w:tc>
          <w:tcPr>
            <w:tcW w:w="840" w:type="dxa"/>
            <w:vAlign w:val="bottom"/>
            <w:gridSpan w:val="2"/>
            <w:shd w:val="clear" w:color="auto" w:fill="CCEEFF"/>
          </w:tcPr>
          <w:p>
            <w:pPr>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(2,700)</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9,970</w:t>
            </w:r>
          </w:p>
        </w:tc>
      </w:tr>
      <w:tr>
        <w:trPr>
          <w:trHeight w:val="20"/>
        </w:trPr>
        <w:tc>
          <w:tcPr>
            <w:tcW w:w="20" w:type="dxa"/>
            <w:vAlign w:val="bottom"/>
          </w:tcPr>
          <w:p>
            <w:pPr>
              <w:spacing w:after="0" w:line="20" w:lineRule="exact"/>
              <w:rPr>
                <w:sz w:val="1"/>
                <w:szCs w:val="1"/>
                <w:color w:val="auto"/>
              </w:rPr>
            </w:pPr>
          </w:p>
        </w:tc>
        <w:tc>
          <w:tcPr>
            <w:tcW w:w="47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60" w:type="dxa"/>
            <w:vAlign w:val="bottom"/>
            <w:gridSpan w:val="6"/>
          </w:tcPr>
          <w:p>
            <w:pPr>
              <w:jc w:val="right"/>
              <w:ind w:right="360"/>
              <w:spacing w:after="0"/>
              <w:rPr>
                <w:sz w:val="20"/>
                <w:szCs w:val="20"/>
                <w:color w:val="auto"/>
              </w:rPr>
            </w:pPr>
            <w:r>
              <w:rPr>
                <w:rFonts w:ascii="Arial" w:cs="Arial" w:eastAsia="Arial" w:hAnsi="Arial"/>
                <w:sz w:val="14"/>
                <w:szCs w:val="14"/>
                <w:b w:val="1"/>
                <w:bCs w:val="1"/>
                <w:color w:val="auto"/>
                <w:w w:val="97"/>
              </w:rPr>
              <w:t>Six months ended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97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4"/>
          </w:tcPr>
          <w:p>
            <w:pPr>
              <w:jc w:val="right"/>
              <w:ind w:right="80"/>
              <w:spacing w:after="0"/>
              <w:rPr>
                <w:sz w:val="20"/>
                <w:szCs w:val="20"/>
                <w:color w:val="auto"/>
              </w:rPr>
            </w:pPr>
            <w:r>
              <w:rPr>
                <w:rFonts w:ascii="Arial" w:cs="Arial" w:eastAsia="Arial" w:hAnsi="Arial"/>
                <w:sz w:val="14"/>
                <w:szCs w:val="14"/>
                <w:b w:val="1"/>
                <w:bCs w:val="1"/>
                <w:color w:val="auto"/>
              </w:rPr>
              <w:t>June 30,</w:t>
            </w:r>
          </w:p>
        </w:tc>
        <w:tc>
          <w:tcPr>
            <w:tcW w:w="4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97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w w:val="96"/>
              </w:rPr>
              <w:t>2010</w:t>
            </w: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53"/>
              <w:spacing w:after="0" w:line="142" w:lineRule="exact"/>
              <w:rPr>
                <w:sz w:val="20"/>
                <w:szCs w:val="20"/>
                <w:color w:val="auto"/>
              </w:rPr>
            </w:pPr>
            <w:r>
              <w:rPr>
                <w:rFonts w:ascii="Arial" w:cs="Arial" w:eastAsia="Arial" w:hAnsi="Arial"/>
                <w:sz w:val="14"/>
                <w:szCs w:val="14"/>
                <w:b w:val="1"/>
                <w:bCs w:val="1"/>
                <w:color w:val="auto"/>
                <w:w w:val="96"/>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76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operating activities:</w:t>
            </w: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420"/>
              <w:spacing w:after="0"/>
              <w:rPr>
                <w:sz w:val="20"/>
                <w:szCs w:val="20"/>
                <w:color w:val="auto"/>
              </w:rPr>
            </w:pPr>
            <w:r>
              <w:rPr>
                <w:rFonts w:ascii="Arial" w:cs="Arial" w:eastAsia="Arial" w:hAnsi="Arial"/>
                <w:sz w:val="18"/>
                <w:szCs w:val="18"/>
                <w:color w:val="auto"/>
              </w:rPr>
              <w:t>Net income (loss)</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289</w:t>
            </w:r>
          </w:p>
        </w:tc>
        <w:tc>
          <w:tcPr>
            <w:tcW w:w="260" w:type="dxa"/>
            <w:vAlign w:val="bottom"/>
          </w:tcPr>
          <w:p>
            <w:pPr>
              <w:spacing w:after="0"/>
              <w:rPr>
                <w:sz w:val="18"/>
                <w:szCs w:val="18"/>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(519)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Adjustments to reconcile net income (loss) to net cash from operating activities:</w:t>
            </w: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860"/>
              <w:spacing w:after="0"/>
              <w:rPr>
                <w:sz w:val="20"/>
                <w:szCs w:val="20"/>
                <w:color w:val="auto"/>
              </w:rPr>
            </w:pPr>
            <w:r>
              <w:rPr>
                <w:rFonts w:ascii="Arial" w:cs="Arial" w:eastAsia="Arial" w:hAnsi="Arial"/>
                <w:sz w:val="18"/>
                <w:szCs w:val="18"/>
                <w:color w:val="auto"/>
              </w:rPr>
              <w:t>Amortization of fixed maturity discounts and premiums</w:t>
            </w:r>
          </w:p>
        </w:tc>
        <w:tc>
          <w:tcPr>
            <w:tcW w:w="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5</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106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Net investment losses (gains)</w:t>
            </w: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860"/>
              <w:spacing w:after="0"/>
              <w:rPr>
                <w:sz w:val="20"/>
                <w:szCs w:val="20"/>
                <w:color w:val="auto"/>
              </w:rPr>
            </w:pPr>
            <w:r>
              <w:rPr>
                <w:rFonts w:ascii="Arial" w:cs="Arial" w:eastAsia="Arial" w:hAnsi="Arial"/>
                <w:sz w:val="18"/>
                <w:szCs w:val="18"/>
                <w:color w:val="auto"/>
              </w:rPr>
              <w:t>Charges assessed to policyholders</w:t>
            </w:r>
          </w:p>
        </w:tc>
        <w:tc>
          <w:tcPr>
            <w:tcW w:w="8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(233)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(211)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Acquisition costs deferred</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(392)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860"/>
              <w:spacing w:after="0"/>
              <w:rPr>
                <w:sz w:val="20"/>
                <w:szCs w:val="20"/>
                <w:color w:val="auto"/>
              </w:rPr>
            </w:pPr>
            <w:r>
              <w:rPr>
                <w:rFonts w:ascii="Arial" w:cs="Arial" w:eastAsia="Arial" w:hAnsi="Arial"/>
                <w:sz w:val="18"/>
                <w:szCs w:val="18"/>
                <w:color w:val="auto"/>
              </w:rPr>
              <w:t>Amortization of deferred acquisition costs and intangibles</w:t>
            </w:r>
          </w:p>
        </w:tc>
        <w:tc>
          <w:tcPr>
            <w:tcW w:w="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363</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459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Deferred income taxes</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860"/>
              <w:spacing w:after="0"/>
              <w:rPr>
                <w:sz w:val="20"/>
                <w:szCs w:val="20"/>
                <w:color w:val="auto"/>
              </w:rPr>
            </w:pPr>
            <w:r>
              <w:rPr>
                <w:rFonts w:ascii="Arial" w:cs="Arial" w:eastAsia="Arial" w:hAnsi="Arial"/>
                <w:sz w:val="18"/>
                <w:szCs w:val="18"/>
                <w:color w:val="auto"/>
              </w:rPr>
              <w:t>Net increase (decrease) in trading securities, held-for-sale investments and derivative instruments</w:t>
            </w:r>
          </w:p>
        </w:tc>
        <w:tc>
          <w:tcPr>
            <w:tcW w:w="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119</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Stock-based compensation expense</w:t>
            </w: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420"/>
              <w:spacing w:after="0"/>
              <w:rPr>
                <w:sz w:val="20"/>
                <w:szCs w:val="20"/>
                <w:color w:val="auto"/>
              </w:rPr>
            </w:pPr>
            <w:r>
              <w:rPr>
                <w:rFonts w:ascii="Arial" w:cs="Arial" w:eastAsia="Arial" w:hAnsi="Arial"/>
                <w:sz w:val="18"/>
                <w:szCs w:val="18"/>
                <w:color w:val="auto"/>
              </w:rPr>
              <w:t>Change in certain assets and liabilities:</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Accrued investment income and other assets</w:t>
            </w: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860"/>
              <w:spacing w:after="0"/>
              <w:rPr>
                <w:sz w:val="20"/>
                <w:szCs w:val="20"/>
                <w:color w:val="auto"/>
              </w:rPr>
            </w:pPr>
            <w:r>
              <w:rPr>
                <w:rFonts w:ascii="Arial" w:cs="Arial" w:eastAsia="Arial" w:hAnsi="Arial"/>
                <w:sz w:val="18"/>
                <w:szCs w:val="18"/>
                <w:color w:val="auto"/>
              </w:rPr>
              <w:t>Insurance reserves</w:t>
            </w:r>
          </w:p>
        </w:tc>
        <w:tc>
          <w:tcPr>
            <w:tcW w:w="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1,208</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1,520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Current tax liabilities</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760" w:type="dxa"/>
            <w:vAlign w:val="bottom"/>
          </w:tcPr>
          <w:p>
            <w:pPr>
              <w:ind w:left="860"/>
              <w:spacing w:after="0"/>
              <w:rPr>
                <w:sz w:val="20"/>
                <w:szCs w:val="20"/>
                <w:color w:val="auto"/>
              </w:rPr>
            </w:pPr>
            <w:r>
              <w:rPr>
                <w:rFonts w:ascii="Arial" w:cs="Arial" w:eastAsia="Arial" w:hAnsi="Arial"/>
                <w:sz w:val="18"/>
                <w:szCs w:val="18"/>
                <w:color w:val="auto"/>
              </w:rPr>
              <w:t>Other liabilities and other policy-related balances</w:t>
            </w:r>
          </w:p>
        </w:tc>
        <w:tc>
          <w:tcPr>
            <w:tcW w:w="80" w:type="dxa"/>
            <w:vAlign w:val="bottom"/>
          </w:tcPr>
          <w:p>
            <w:pPr>
              <w:spacing w:after="0"/>
              <w:rPr>
                <w:sz w:val="19"/>
                <w:szCs w:val="19"/>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(674)</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(208)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cash from operating activities</w:t>
            </w: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557</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1,369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9780" w:type="dxa"/>
            <w:vAlign w:val="bottom"/>
            <w:gridSpan w:val="2"/>
          </w:tcPr>
          <w:p>
            <w:pPr>
              <w:spacing w:after="0"/>
              <w:rPr>
                <w:sz w:val="20"/>
                <w:szCs w:val="20"/>
                <w:color w:val="auto"/>
              </w:rPr>
            </w:pPr>
            <w:r>
              <w:rPr>
                <w:rFonts w:ascii="Arial" w:cs="Arial" w:eastAsia="Arial" w:hAnsi="Arial"/>
                <w:sz w:val="18"/>
                <w:szCs w:val="18"/>
                <w:color w:val="auto"/>
              </w:rPr>
              <w:t>Cash flows from investing activities:</w:t>
            </w: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97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Proceeds from maturities and repayments of investments:</w:t>
            </w: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860"/>
              <w:spacing w:after="0"/>
              <w:rPr>
                <w:sz w:val="20"/>
                <w:szCs w:val="20"/>
                <w:color w:val="auto"/>
              </w:rPr>
            </w:pPr>
            <w:r>
              <w:rPr>
                <w:rFonts w:ascii="Arial" w:cs="Arial" w:eastAsia="Arial" w:hAnsi="Arial"/>
                <w:sz w:val="18"/>
                <w:szCs w:val="18"/>
                <w:color w:val="auto"/>
              </w:rPr>
              <w:t>Fixed maturity securities</w:t>
            </w:r>
          </w:p>
        </w:tc>
        <w:tc>
          <w:tcPr>
            <w:tcW w:w="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2,057</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1,892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Commercial mortgage loans</w:t>
            </w: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860"/>
              <w:spacing w:after="0"/>
              <w:rPr>
                <w:sz w:val="20"/>
                <w:szCs w:val="20"/>
                <w:color w:val="auto"/>
              </w:rPr>
            </w:pPr>
            <w:r>
              <w:rPr>
                <w:rFonts w:ascii="Arial" w:cs="Arial" w:eastAsia="Arial" w:hAnsi="Arial"/>
                <w:sz w:val="18"/>
                <w:szCs w:val="18"/>
                <w:color w:val="auto"/>
              </w:rPr>
              <w:t>Restricted commercial mortgage loans related to securitization entities</w:t>
            </w:r>
          </w:p>
        </w:tc>
        <w:tc>
          <w:tcPr>
            <w:tcW w:w="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27</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Proceeds from sales of investments:</w:t>
            </w: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860"/>
              <w:spacing w:after="0"/>
              <w:rPr>
                <w:sz w:val="20"/>
                <w:szCs w:val="20"/>
                <w:color w:val="auto"/>
              </w:rPr>
            </w:pPr>
            <w:r>
              <w:rPr>
                <w:rFonts w:ascii="Arial" w:cs="Arial" w:eastAsia="Arial" w:hAnsi="Arial"/>
                <w:sz w:val="18"/>
                <w:szCs w:val="18"/>
                <w:color w:val="auto"/>
              </w:rPr>
              <w:t>Fixed maturity and equity securities</w:t>
            </w:r>
          </w:p>
        </w:tc>
        <w:tc>
          <w:tcPr>
            <w:tcW w:w="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2,393</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1,663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Purchases and originations of investments:</w:t>
            </w: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860"/>
              <w:spacing w:after="0"/>
              <w:rPr>
                <w:sz w:val="20"/>
                <w:szCs w:val="20"/>
                <w:color w:val="auto"/>
              </w:rPr>
            </w:pPr>
            <w:r>
              <w:rPr>
                <w:rFonts w:ascii="Arial" w:cs="Arial" w:eastAsia="Arial" w:hAnsi="Arial"/>
                <w:sz w:val="18"/>
                <w:szCs w:val="18"/>
                <w:color w:val="auto"/>
              </w:rPr>
              <w:t>Fixed maturity and equity securities</w:t>
            </w:r>
          </w:p>
        </w:tc>
        <w:tc>
          <w:tcPr>
            <w:tcW w:w="8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(6,867)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w w:val="87"/>
              </w:rPr>
              <w:t>(2,700)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Commercial mortgage loans</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420"/>
              <w:spacing w:after="0"/>
              <w:rPr>
                <w:sz w:val="20"/>
                <w:szCs w:val="20"/>
                <w:color w:val="auto"/>
              </w:rPr>
            </w:pPr>
            <w:r>
              <w:rPr>
                <w:rFonts w:ascii="Arial" w:cs="Arial" w:eastAsia="Arial" w:hAnsi="Arial"/>
                <w:sz w:val="18"/>
                <w:szCs w:val="18"/>
                <w:color w:val="auto"/>
              </w:rPr>
              <w:t>Other invested assets, net</w:t>
            </w:r>
          </w:p>
        </w:tc>
        <w:tc>
          <w:tcPr>
            <w:tcW w:w="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1,491</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(348)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Policy loans, net</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(253)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760" w:type="dxa"/>
            <w:vAlign w:val="bottom"/>
            <w:vMerge w:val="restart"/>
          </w:tcPr>
          <w:p>
            <w:pPr>
              <w:ind w:left="420"/>
              <w:spacing w:after="0"/>
              <w:rPr>
                <w:sz w:val="20"/>
                <w:szCs w:val="20"/>
                <w:color w:val="auto"/>
              </w:rPr>
            </w:pPr>
            <w:r>
              <w:rPr>
                <w:rFonts w:ascii="Arial" w:cs="Arial" w:eastAsia="Arial" w:hAnsi="Arial"/>
                <w:sz w:val="18"/>
                <w:szCs w:val="18"/>
                <w:color w:val="auto"/>
              </w:rPr>
              <w:t>Net cash from investing activities</w:t>
            </w: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976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(723)</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635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financing activities:</w:t>
            </w:r>
          </w:p>
        </w:tc>
        <w:tc>
          <w:tcPr>
            <w:tcW w:w="8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420"/>
              <w:spacing w:after="0"/>
              <w:rPr>
                <w:sz w:val="20"/>
                <w:szCs w:val="20"/>
                <w:color w:val="auto"/>
              </w:rPr>
            </w:pPr>
            <w:r>
              <w:rPr>
                <w:rFonts w:ascii="Arial" w:cs="Arial" w:eastAsia="Arial" w:hAnsi="Arial"/>
                <w:sz w:val="18"/>
                <w:szCs w:val="18"/>
                <w:color w:val="auto"/>
              </w:rPr>
              <w:t>Deposits to universal life and investment contracts</w:t>
            </w:r>
          </w:p>
        </w:tc>
        <w:tc>
          <w:tcPr>
            <w:tcW w:w="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1,174</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1,271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Withdrawals from universal life and investment contracts</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(1,734)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7"/>
              </w:rPr>
              <w:t>(4,231)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420"/>
              <w:spacing w:after="0"/>
              <w:rPr>
                <w:sz w:val="20"/>
                <w:szCs w:val="20"/>
                <w:color w:val="auto"/>
              </w:rPr>
            </w:pPr>
            <w:r>
              <w:rPr>
                <w:rFonts w:ascii="Arial" w:cs="Arial" w:eastAsia="Arial" w:hAnsi="Arial"/>
                <w:sz w:val="18"/>
                <w:szCs w:val="18"/>
                <w:color w:val="auto"/>
              </w:rPr>
              <w:t>Short-term borrowings and other, net</w:t>
            </w:r>
          </w:p>
        </w:tc>
        <w:tc>
          <w:tcPr>
            <w:tcW w:w="8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(285)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(330)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Repayment and repurchase of long-term borrowings</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420"/>
              <w:spacing w:after="0"/>
              <w:rPr>
                <w:sz w:val="20"/>
                <w:szCs w:val="20"/>
                <w:color w:val="auto"/>
              </w:rPr>
            </w:pPr>
            <w:r>
              <w:rPr>
                <w:rFonts w:ascii="Arial" w:cs="Arial" w:eastAsia="Arial" w:hAnsi="Arial"/>
                <w:sz w:val="18"/>
                <w:szCs w:val="18"/>
                <w:color w:val="auto"/>
              </w:rPr>
              <w:t>Proceeds from the issuance of long-term borrowings</w:t>
            </w:r>
          </w:p>
        </w:tc>
        <w:tc>
          <w:tcPr>
            <w:tcW w:w="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660</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Redemption of non-recourse funding obligations</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tcPr>
          <w:p>
            <w:pPr>
              <w:ind w:left="420"/>
              <w:spacing w:after="0"/>
              <w:rPr>
                <w:sz w:val="20"/>
                <w:szCs w:val="20"/>
                <w:color w:val="auto"/>
              </w:rPr>
            </w:pPr>
            <w:r>
              <w:rPr>
                <w:rFonts w:ascii="Arial" w:cs="Arial" w:eastAsia="Arial" w:hAnsi="Arial"/>
                <w:sz w:val="18"/>
                <w:szCs w:val="18"/>
                <w:color w:val="auto"/>
              </w:rPr>
              <w:t>Repayment of borrowings related to securitization entities</w:t>
            </w:r>
          </w:p>
        </w:tc>
        <w:tc>
          <w:tcPr>
            <w:tcW w:w="8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(31)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Dividends paid to noncontrolling interests</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760" w:type="dxa"/>
            <w:vAlign w:val="bottom"/>
            <w:vMerge w:val="restart"/>
          </w:tcPr>
          <w:p>
            <w:pPr>
              <w:ind w:left="420"/>
              <w:spacing w:after="0"/>
              <w:rPr>
                <w:sz w:val="20"/>
                <w:szCs w:val="20"/>
                <w:color w:val="auto"/>
              </w:rPr>
            </w:pPr>
            <w:r>
              <w:rPr>
                <w:rFonts w:ascii="Arial" w:cs="Arial" w:eastAsia="Arial" w:hAnsi="Arial"/>
                <w:sz w:val="18"/>
                <w:szCs w:val="18"/>
                <w:color w:val="auto"/>
              </w:rPr>
              <w:t>Net cash from financing activities</w:t>
            </w: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976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(243)</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w w:val="87"/>
              </w:rPr>
              <w:t>(4,041)</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9760" w:type="dxa"/>
            <w:vAlign w:val="bottom"/>
            <w:shd w:val="clear" w:color="auto" w:fill="CCEEFF"/>
          </w:tcPr>
          <w:p>
            <w:pPr>
              <w:spacing w:after="0"/>
              <w:rPr>
                <w:sz w:val="20"/>
                <w:szCs w:val="20"/>
                <w:color w:val="auto"/>
              </w:rPr>
            </w:pPr>
            <w:r>
              <w:rPr>
                <w:rFonts w:ascii="Arial" w:cs="Arial" w:eastAsia="Arial" w:hAnsi="Arial"/>
                <w:sz w:val="18"/>
                <w:szCs w:val="18"/>
                <w:color w:val="auto"/>
              </w:rPr>
              <w:t>Effect of exchange rate changes on cash and cash equivalents</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760" w:type="dxa"/>
            <w:vAlign w:val="bottom"/>
            <w:vMerge w:val="restart"/>
          </w:tcPr>
          <w:p>
            <w:pPr>
              <w:ind w:left="420"/>
              <w:spacing w:after="0"/>
              <w:rPr>
                <w:sz w:val="20"/>
                <w:szCs w:val="20"/>
                <w:color w:val="auto"/>
              </w:rPr>
            </w:pPr>
            <w:r>
              <w:rPr>
                <w:rFonts w:ascii="Arial" w:cs="Arial" w:eastAsia="Arial" w:hAnsi="Arial"/>
                <w:sz w:val="18"/>
                <w:szCs w:val="18"/>
                <w:color w:val="auto"/>
              </w:rPr>
              <w:t>Net change in cash and cash equivalents</w:t>
            </w: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976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(416)</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w w:val="87"/>
              </w:rPr>
              <w:t>(1,954)</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976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8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5,002</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7,328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9780" w:type="dxa"/>
            <w:vAlign w:val="bottom"/>
            <w:gridSpan w:val="2"/>
          </w:tcPr>
          <w:p>
            <w:pPr>
              <w:spacing w:after="0"/>
              <w:rPr>
                <w:sz w:val="20"/>
                <w:szCs w:val="20"/>
                <w:color w:val="auto"/>
              </w:rPr>
            </w:pPr>
            <w:r>
              <w:rPr>
                <w:rFonts w:ascii="Arial" w:cs="Arial" w:eastAsia="Arial" w:hAnsi="Arial"/>
                <w:sz w:val="18"/>
                <w:szCs w:val="18"/>
                <w:color w:val="auto"/>
              </w:rPr>
              <w:t>Cash and cash equivalents at end of period</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7"/>
              </w:rPr>
              <w:t>4,586</w:t>
            </w:r>
          </w:p>
        </w:tc>
        <w:tc>
          <w:tcPr>
            <w:tcW w:w="26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5,374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7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840"/>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Formation of Genworth and Basis of Presentation</w:t>
      </w:r>
    </w:p>
    <w:p>
      <w:pPr>
        <w:spacing w:after="0" w:line="96"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Genworth Financial, Inc. (“Genworth”) was incorporated in Delaware on October 23, 2003. The accompanying condensed financial statements include on a consolidated basis the accounts of Genworth and our affiliate companies in which we hold a majority voting interest or where we are the primary beneficiary of a variable interest entity, which we refer to as the “Company,” “we,” “us” or “our” unless the context otherwise requires. All intercompany accounts and transactions have been eliminated in consolidation.</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have the following three operating segments:</w:t>
      </w:r>
    </w:p>
    <w:p>
      <w:pPr>
        <w:spacing w:after="0" w:line="90" w:lineRule="exact"/>
        <w:rPr>
          <w:sz w:val="20"/>
          <w:szCs w:val="20"/>
          <w:color w:val="auto"/>
        </w:rPr>
      </w:pPr>
    </w:p>
    <w:p>
      <w:pPr>
        <w:ind w:left="900" w:hanging="325"/>
        <w:spacing w:after="0" w:line="255"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Retirement and Protection. </w:t>
      </w:r>
      <w:r>
        <w:rPr>
          <w:rFonts w:ascii="Arial" w:cs="Arial" w:eastAsia="Arial" w:hAnsi="Arial"/>
          <w:sz w:val="18"/>
          <w:szCs w:val="18"/>
          <w:color w:val="auto"/>
        </w:rPr>
        <w:t>We offer and manage a variety of protection, wealth management and retirement income products. Our primary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protection products include: life, long-term care and Medicare supplement insurance. Additionally, we offer other senior supplemental products, as well as care coordination services for our long-term care policyholders. Our wealth management and retirement income products include: a variety of managed account programs and advisor services, financial planning services, fixed and variable deferred and immediate individual annuities and group variable annuities offered through retirement plans.</w:t>
      </w:r>
    </w:p>
    <w:p>
      <w:pPr>
        <w:spacing w:after="0" w:line="61" w:lineRule="exact"/>
        <w:rPr>
          <w:rFonts w:ascii="Arial" w:cs="Arial" w:eastAsia="Arial" w:hAnsi="Arial"/>
          <w:sz w:val="18"/>
          <w:szCs w:val="18"/>
          <w:color w:val="auto"/>
        </w:rPr>
      </w:pPr>
    </w:p>
    <w:p>
      <w:pPr>
        <w:ind w:left="900" w:right="100" w:hanging="325"/>
        <w:spacing w:after="0" w:line="312" w:lineRule="auto"/>
        <w:tabs>
          <w:tab w:leader="none" w:pos="900" w:val="left"/>
        </w:tabs>
        <w:numPr>
          <w:ilvl w:val="0"/>
          <w:numId w:val="3"/>
        </w:numPr>
        <w:rPr>
          <w:rFonts w:ascii="Arial" w:cs="Arial" w:eastAsia="Arial" w:hAnsi="Arial"/>
          <w:sz w:val="15"/>
          <w:szCs w:val="15"/>
          <w:color w:val="auto"/>
        </w:rPr>
      </w:pPr>
      <w:r>
        <w:rPr>
          <w:rFonts w:ascii="Arial" w:cs="Arial" w:eastAsia="Arial" w:hAnsi="Arial"/>
          <w:sz w:val="15"/>
          <w:szCs w:val="15"/>
          <w:b w:val="1"/>
          <w:bCs w:val="1"/>
          <w:i w:val="1"/>
          <w:iCs w:val="1"/>
          <w:color w:val="auto"/>
        </w:rPr>
        <w:t xml:space="preserve">International. </w:t>
      </w:r>
      <w:r>
        <w:rPr>
          <w:rFonts w:ascii="Arial" w:cs="Arial" w:eastAsia="Arial" w:hAnsi="Arial"/>
          <w:sz w:val="15"/>
          <w:szCs w:val="15"/>
          <w:color w:val="auto"/>
        </w:rPr>
        <w:t>We offer mortgage and lifestyle protection insurance products and related services in multiple markets. We are a leading provider of</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mortgage insurance products in Canada, Australia, Mexico and multiple European countries. Our products predominantly insure prime-based, individually underwritten residential mortgage loans, also known as flow mortgage insurance. On a limited basis, we also provide mortgage insurance on a structured, or bulk, basis that aids in the sale of mortgages to the capital markets and helps lenders manage capital and risk. Additionally, we offer services, analytical tools and technology that enable lenders to operate efficiently and manage risk. We are a leading provider of payment protection coverages in multiple European countries, Canada and Mexico. Our lifestyle protection insurance products help consumers meet specified payment obligations should they become unable to pay due to accident, illness, involuntary unemployment, disability or death.</w:t>
      </w:r>
    </w:p>
    <w:p>
      <w:pPr>
        <w:spacing w:after="0" w:line="24" w:lineRule="exact"/>
        <w:rPr>
          <w:rFonts w:ascii="Arial" w:cs="Arial" w:eastAsia="Arial" w:hAnsi="Arial"/>
          <w:sz w:val="15"/>
          <w:szCs w:val="15"/>
          <w:color w:val="auto"/>
        </w:rPr>
      </w:pPr>
    </w:p>
    <w:p>
      <w:pPr>
        <w:ind w:left="900" w:right="180" w:hanging="325"/>
        <w:spacing w:after="0" w:line="256"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U.S. Mortgage Insurance. </w:t>
      </w:r>
      <w:r>
        <w:rPr>
          <w:rFonts w:ascii="Arial" w:cs="Arial" w:eastAsia="Arial" w:hAnsi="Arial"/>
          <w:sz w:val="18"/>
          <w:szCs w:val="18"/>
          <w:color w:val="auto"/>
        </w:rPr>
        <w:t>In the U.S., we offer mortgage insurance products predominantly insuring prime-based, individually underwritten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residential mortgage loans, also known as flow mortgage insurance. We selectively provide mortgage insurance on a structured, or bulk, basis with essentially all of our bulk writings prime-based. Additionally, we offer services, analytical tools and technology that enable lenders to operate efficiently and manage risk.</w:t>
      </w:r>
    </w:p>
    <w:p>
      <w:pPr>
        <w:spacing w:after="0" w:line="143"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We also have Corporate and Other activities which include debt financing expenses that are incurred at our holding company level, unallocated corporate income and expenses, eliminations of inter-segment transactions and the results of non-core businesses and non-strategic products that are managed outside of our operating segments. Our non-strategic products include our institutional and corporate-owned life insurance products. Institutional products consist of funding agreements, funding agreements backing notes (“FABNs”) and guaranteed investment contracts (“GICs”).</w:t>
      </w:r>
    </w:p>
    <w:p>
      <w:pPr>
        <w:spacing w:after="0" w:line="11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The accompanying condensed consolidated financial statements are unaudited and have been prepared in accordance with U.S. generally accepted accounting principles (“U.S. GAAP”) and rules and regulations of the U.S. Securities and Exchange Commission (“SEC”). Preparing financial statements in conformity with U.S. GAAP requires us to make estimates and assumptions that affect reported amounts and related disclosures. Actual results could differ from those estimates. These condensed consolidated financial statements include all adjustments considered necessary by management to present a fair statement of the financial position, results of operations and cash flows for the periods presented. The results reported in these condensed consolidated financial statements should not be regarded as necessarily indicative of results that may be expected for the entire</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40" w:top="459" w:right="2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60"/>
        <w:spacing w:after="0" w:line="370" w:lineRule="auto"/>
        <w:rPr>
          <w:sz w:val="20"/>
          <w:szCs w:val="20"/>
          <w:color w:val="auto"/>
        </w:rPr>
      </w:pPr>
      <w:r>
        <w:rPr>
          <w:rFonts w:ascii="Arial" w:cs="Arial" w:eastAsia="Arial" w:hAnsi="Arial"/>
          <w:sz w:val="15"/>
          <w:szCs w:val="15"/>
          <w:color w:val="auto"/>
        </w:rPr>
        <w:t>year. The condensed consolidated financial statements included herein should be read in conjunction with the audited consolidated financial statements and related notes contained in our 2009 Annual Report on Form 10-K. Certain prior year amounts have been reclassified to conform to the current year presentation.</w:t>
      </w:r>
    </w:p>
    <w:p>
      <w:pPr>
        <w:spacing w:after="0" w:line="137" w:lineRule="exact"/>
        <w:rPr>
          <w:sz w:val="20"/>
          <w:szCs w:val="20"/>
          <w:color w:val="auto"/>
        </w:rPr>
      </w:pPr>
    </w:p>
    <w:p>
      <w:pPr>
        <w:ind w:right="9000" w:firstLine="8"/>
        <w:spacing w:after="0" w:line="417" w:lineRule="auto"/>
        <w:tabs>
          <w:tab w:leader="none" w:pos="249" w:val="left"/>
        </w:tabs>
        <w:numPr>
          <w:ilvl w:val="0"/>
          <w:numId w:val="4"/>
        </w:numPr>
        <w:rPr>
          <w:rFonts w:ascii="Arial" w:cs="Arial" w:eastAsia="Arial" w:hAnsi="Arial"/>
          <w:sz w:val="15"/>
          <w:szCs w:val="15"/>
          <w:b w:val="1"/>
          <w:bCs w:val="1"/>
          <w:color w:val="auto"/>
        </w:rPr>
      </w:pPr>
      <w:r>
        <w:rPr>
          <w:rFonts w:ascii="Arial" w:cs="Arial" w:eastAsia="Arial" w:hAnsi="Arial"/>
          <w:sz w:val="15"/>
          <w:szCs w:val="15"/>
          <w:b w:val="1"/>
          <w:bCs w:val="1"/>
          <w:color w:val="auto"/>
        </w:rPr>
        <w:t xml:space="preserve">Accounting Pronouncements </w:t>
      </w:r>
      <w:r>
        <w:rPr>
          <w:rFonts w:ascii="Arial" w:cs="Arial" w:eastAsia="Arial" w:hAnsi="Arial"/>
          <w:sz w:val="15"/>
          <w:szCs w:val="15"/>
          <w:b w:val="1"/>
          <w:bCs w:val="1"/>
          <w:i w:val="1"/>
          <w:iCs w:val="1"/>
          <w:color w:val="auto"/>
        </w:rPr>
        <w:t>Recently Adopted</w:t>
      </w:r>
    </w:p>
    <w:p>
      <w:pPr>
        <w:spacing w:after="0" w:line="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Accounting for Transfers of Financial Assets</w:t>
      </w:r>
    </w:p>
    <w:p>
      <w:pPr>
        <w:spacing w:after="0" w:line="90" w:lineRule="exact"/>
        <w:rPr>
          <w:sz w:val="20"/>
          <w:szCs w:val="20"/>
          <w:color w:val="auto"/>
        </w:rPr>
      </w:pPr>
    </w:p>
    <w:p>
      <w:pPr>
        <w:ind w:right="240" w:firstLine="456"/>
        <w:spacing w:after="0" w:line="294" w:lineRule="auto"/>
        <w:rPr>
          <w:sz w:val="20"/>
          <w:szCs w:val="20"/>
          <w:color w:val="auto"/>
        </w:rPr>
      </w:pPr>
      <w:r>
        <w:rPr>
          <w:rFonts w:ascii="Arial" w:cs="Arial" w:eastAsia="Arial" w:hAnsi="Arial"/>
          <w:sz w:val="16"/>
          <w:szCs w:val="16"/>
          <w:color w:val="auto"/>
        </w:rPr>
        <w:t>On January 1, 2010, we adopted new accounting guidance related to accounting for transfers of financial assets. This accounting guidance amends the previous guidance on transfers of financial assets by eliminating the qualifying special-purpose entity concept, providing certain conditions that must be met to qualify for sale accounting, changing the amount of gain or loss recognized on certain transfers and requiring additional disclosures. The adoption of this accounting guidance did not have a material impact on our consolidated financial statements. The elimination of the qualifying special-purpose entity concept requires that these entities be considered for consolidation as a result of the new guidance related to variable interest entities (“VIEs”) as discussed below.</w:t>
      </w:r>
    </w:p>
    <w:p>
      <w:pPr>
        <w:spacing w:after="0" w:line="197"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Improvements to Financial Reporting by Enterprises Involved with VIEs</w:t>
      </w:r>
    </w:p>
    <w:p>
      <w:pPr>
        <w:spacing w:after="0" w:line="90"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On January 1, 2010, we adopted new accounting guidance for determining which enterprise, if any, has a controlling financial interest in a VIE and requires additional disclosures about involvement in VIEs. Under this new accounting guidance, the primary beneficiary of a VIE is the enterprise that has the power to direct the activities of a VIE that most significantly impacts the VIE’s economic performance and has the obligation to absorb losses or receive benefits that could potentially be significant to the VIE. Upon adoption of this new accounting guidance, we were required to consolidate certain VIEs, including previously qualifying special-purpose entities and investment structures. We recorded a transition adjustment for the impact upon adoption to reflect the difference between the assets and liabilities of the newly consolidated entities and the amounts recorded for our interests in these entities prior to adoption. On January 1, 2010, we recorded a net cumulative effect adjustment of $104 million to retained earnings with a partial offset to accumulated other comprehensive income (loss) of $91 million related to the adoption of this new accounting guidance.</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45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assets and liabilities of the newly consolidated entities were as follows as of January 1, 2010:</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49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Amounts</w:t>
            </w:r>
          </w:p>
        </w:tc>
        <w:tc>
          <w:tcPr>
            <w:tcW w:w="0" w:type="dxa"/>
            <w:vAlign w:val="bottom"/>
          </w:tcPr>
          <w:p>
            <w:pPr>
              <w:spacing w:after="0"/>
              <w:rPr>
                <w:sz w:val="1"/>
                <w:szCs w:val="1"/>
                <w:color w:val="auto"/>
              </w:rPr>
            </w:pPr>
          </w:p>
        </w:tc>
      </w:tr>
      <w:tr>
        <w:trPr>
          <w:trHeight w:val="161"/>
        </w:trPr>
        <w:tc>
          <w:tcPr>
            <w:tcW w:w="62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920" w:type="dxa"/>
            <w:vAlign w:val="bottom"/>
            <w:gridSpan w:val="2"/>
          </w:tcPr>
          <w:p>
            <w:pPr>
              <w:spacing w:after="0"/>
              <w:rPr>
                <w:sz w:val="20"/>
                <w:szCs w:val="20"/>
                <w:color w:val="auto"/>
              </w:rPr>
            </w:pPr>
            <w:r>
              <w:rPr>
                <w:rFonts w:ascii="Arial" w:cs="Arial" w:eastAsia="Arial" w:hAnsi="Arial"/>
                <w:sz w:val="14"/>
                <w:szCs w:val="14"/>
                <w:b w:val="1"/>
                <w:bCs w:val="1"/>
                <w:color w:val="auto"/>
                <w:w w:val="92"/>
              </w:rPr>
              <w:t>Carrying value</w:t>
            </w:r>
          </w:p>
        </w:tc>
        <w:tc>
          <w:tcPr>
            <w:tcW w:w="920" w:type="dxa"/>
            <w:vAlign w:val="bottom"/>
          </w:tcPr>
          <w:p>
            <w:pPr>
              <w:spacing w:after="0"/>
              <w:rPr>
                <w:sz w:val="14"/>
                <w:szCs w:val="14"/>
                <w:color w:val="auto"/>
              </w:rPr>
            </w:pPr>
          </w:p>
        </w:tc>
        <w:tc>
          <w:tcPr>
            <w:tcW w:w="1900" w:type="dxa"/>
            <w:vAlign w:val="bottom"/>
            <w:gridSpan w:val="3"/>
          </w:tcPr>
          <w:p>
            <w:pPr>
              <w:spacing w:after="0"/>
              <w:rPr>
                <w:sz w:val="20"/>
                <w:szCs w:val="20"/>
                <w:color w:val="auto"/>
              </w:rPr>
            </w:pPr>
            <w:r>
              <w:rPr>
                <w:rFonts w:ascii="Arial" w:cs="Arial" w:eastAsia="Arial" w:hAnsi="Arial"/>
                <w:sz w:val="14"/>
                <w:szCs w:val="14"/>
                <w:b w:val="1"/>
                <w:bCs w:val="1"/>
                <w:color w:val="auto"/>
              </w:rPr>
              <w:t>Adjustment for election</w:t>
            </w:r>
          </w:p>
        </w:tc>
        <w:tc>
          <w:tcPr>
            <w:tcW w:w="480" w:type="dxa"/>
            <w:vAlign w:val="bottom"/>
          </w:tcPr>
          <w:p>
            <w:pPr>
              <w:spacing w:after="0"/>
              <w:rPr>
                <w:sz w:val="14"/>
                <w:szCs w:val="14"/>
                <w:color w:val="auto"/>
              </w:rPr>
            </w:pPr>
          </w:p>
        </w:tc>
        <w:tc>
          <w:tcPr>
            <w:tcW w:w="96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5"/>
              </w:rPr>
              <w:t>recorded upon</w:t>
            </w:r>
          </w:p>
        </w:tc>
        <w:tc>
          <w:tcPr>
            <w:tcW w:w="0" w:type="dxa"/>
            <w:vAlign w:val="bottom"/>
          </w:tcPr>
          <w:p>
            <w:pPr>
              <w:spacing w:after="0"/>
              <w:rPr>
                <w:sz w:val="1"/>
                <w:szCs w:val="1"/>
                <w:color w:val="auto"/>
              </w:rPr>
            </w:pPr>
          </w:p>
        </w:tc>
      </w:tr>
      <w:tr>
        <w:trPr>
          <w:trHeight w:val="149"/>
        </w:trPr>
        <w:tc>
          <w:tcPr>
            <w:tcW w:w="6240" w:type="dxa"/>
            <w:vAlign w:val="bottom"/>
            <w:gridSpan w:val="3"/>
            <w:vMerge w:val="continue"/>
          </w:tcPr>
          <w:p>
            <w:pPr>
              <w:spacing w:after="0"/>
              <w:rPr>
                <w:sz w:val="12"/>
                <w:szCs w:val="12"/>
                <w:color w:val="auto"/>
              </w:rPr>
            </w:pPr>
          </w:p>
        </w:tc>
        <w:tc>
          <w:tcPr>
            <w:tcW w:w="240" w:type="dxa"/>
            <w:vAlign w:val="bottom"/>
          </w:tcPr>
          <w:p>
            <w:pPr>
              <w:spacing w:after="0"/>
              <w:rPr>
                <w:sz w:val="12"/>
                <w:szCs w:val="12"/>
                <w:color w:val="auto"/>
              </w:rPr>
            </w:pPr>
          </w:p>
        </w:tc>
        <w:tc>
          <w:tcPr>
            <w:tcW w:w="680" w:type="dxa"/>
            <w:vAlign w:val="bottom"/>
          </w:tcPr>
          <w:p>
            <w:pPr>
              <w:jc w:val="right"/>
              <w:ind w:right="316"/>
              <w:spacing w:after="0"/>
              <w:rPr>
                <w:sz w:val="20"/>
                <w:szCs w:val="20"/>
                <w:color w:val="auto"/>
              </w:rPr>
            </w:pPr>
            <w:r>
              <w:rPr>
                <w:rFonts w:ascii="Arial" w:cs="Arial" w:eastAsia="Arial" w:hAnsi="Arial"/>
                <w:sz w:val="11"/>
                <w:szCs w:val="11"/>
                <w:color w:val="auto"/>
              </w:rPr>
              <w:t>(1)</w:t>
            </w:r>
          </w:p>
        </w:tc>
        <w:tc>
          <w:tcPr>
            <w:tcW w:w="920" w:type="dxa"/>
            <w:vAlign w:val="bottom"/>
          </w:tcPr>
          <w:p>
            <w:pPr>
              <w:spacing w:after="0"/>
              <w:rPr>
                <w:sz w:val="12"/>
                <w:szCs w:val="12"/>
                <w:color w:val="auto"/>
              </w:rPr>
            </w:pPr>
          </w:p>
        </w:tc>
        <w:tc>
          <w:tcPr>
            <w:tcW w:w="1900" w:type="dxa"/>
            <w:vAlign w:val="bottom"/>
            <w:gridSpan w:val="3"/>
          </w:tcPr>
          <w:p>
            <w:pPr>
              <w:jc w:val="right"/>
              <w:ind w:right="600"/>
              <w:spacing w:after="0" w:line="149" w:lineRule="exact"/>
              <w:rPr>
                <w:sz w:val="20"/>
                <w:szCs w:val="20"/>
                <w:color w:val="auto"/>
              </w:rPr>
            </w:pPr>
            <w:r>
              <w:rPr>
                <w:rFonts w:ascii="Arial" w:cs="Arial" w:eastAsia="Arial" w:hAnsi="Arial"/>
                <w:sz w:val="11"/>
                <w:szCs w:val="11"/>
                <w:b w:val="1"/>
                <w:bCs w:val="1"/>
                <w:color w:val="auto"/>
              </w:rPr>
              <w:t xml:space="preserve">of fair value option </w:t>
            </w:r>
            <w:r>
              <w:rPr>
                <w:rFonts w:ascii="Arial" w:cs="Arial" w:eastAsia="Arial" w:hAnsi="Arial"/>
                <w:sz w:val="17"/>
                <w:szCs w:val="17"/>
                <w:color w:val="auto"/>
                <w:vertAlign w:val="superscript"/>
              </w:rPr>
              <w:t>(2)</w:t>
            </w:r>
          </w:p>
        </w:tc>
        <w:tc>
          <w:tcPr>
            <w:tcW w:w="480" w:type="dxa"/>
            <w:vAlign w:val="bottom"/>
          </w:tcPr>
          <w:p>
            <w:pPr>
              <w:spacing w:after="0"/>
              <w:rPr>
                <w:sz w:val="12"/>
                <w:szCs w:val="12"/>
                <w:color w:val="auto"/>
              </w:rPr>
            </w:pPr>
          </w:p>
        </w:tc>
        <w:tc>
          <w:tcPr>
            <w:tcW w:w="9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3"/>
              </w:rPr>
              <w:t>consolidation</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Assets</w:t>
            </w:r>
          </w:p>
        </w:tc>
        <w:tc>
          <w:tcPr>
            <w:tcW w:w="490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2"/>
          </w:tcPr>
          <w:p>
            <w:pPr>
              <w:spacing w:after="0"/>
              <w:rPr>
                <w:sz w:val="20"/>
                <w:szCs w:val="20"/>
                <w:color w:val="auto"/>
              </w:rPr>
            </w:pPr>
            <w:r>
              <w:rPr>
                <w:rFonts w:ascii="Arial" w:cs="Arial" w:eastAsia="Arial" w:hAnsi="Arial"/>
                <w:sz w:val="18"/>
                <w:szCs w:val="18"/>
                <w:color w:val="auto"/>
              </w:rPr>
              <w:t>Restricted commercial mortgage loans</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564</w:t>
            </w:r>
          </w:p>
        </w:tc>
        <w:tc>
          <w:tcPr>
            <w:tcW w:w="150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Restricted other invested assets</w:t>
            </w: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w:t>
            </w:r>
          </w:p>
        </w:tc>
        <w:tc>
          <w:tcPr>
            <w:tcW w:w="9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(30)</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220" w:type="dxa"/>
            <w:vAlign w:val="bottom"/>
            <w:gridSpan w:val="2"/>
          </w:tcPr>
          <w:p>
            <w:pPr>
              <w:spacing w:after="0"/>
              <w:rPr>
                <w:sz w:val="20"/>
                <w:szCs w:val="20"/>
                <w:color w:val="auto"/>
              </w:rPr>
            </w:pPr>
            <w:r>
              <w:rPr>
                <w:rFonts w:ascii="Arial" w:cs="Arial" w:eastAsia="Arial" w:hAnsi="Arial"/>
                <w:sz w:val="18"/>
                <w:szCs w:val="18"/>
                <w:color w:val="auto"/>
              </w:rPr>
              <w:t>Accrued investment income</w:t>
            </w:r>
          </w:p>
        </w:tc>
        <w:tc>
          <w:tcPr>
            <w:tcW w:w="24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920" w:type="dxa"/>
            <w:vAlign w:val="bottom"/>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assets</w:t>
            </w: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975</w:t>
            </w:r>
          </w:p>
        </w:tc>
        <w:tc>
          <w:tcPr>
            <w:tcW w:w="9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(30)</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945</w:t>
            </w:r>
          </w:p>
        </w:tc>
        <w:tc>
          <w:tcPr>
            <w:tcW w:w="0" w:type="dxa"/>
            <w:vAlign w:val="bottom"/>
          </w:tcPr>
          <w:p>
            <w:pPr>
              <w:spacing w:after="0"/>
              <w:rPr>
                <w:sz w:val="1"/>
                <w:szCs w:val="1"/>
                <w:color w:val="auto"/>
              </w:rPr>
            </w:pPr>
          </w:p>
        </w:tc>
      </w:tr>
      <w:tr>
        <w:trPr>
          <w:trHeight w:val="221"/>
        </w:trPr>
        <w:tc>
          <w:tcPr>
            <w:tcW w:w="6240" w:type="dxa"/>
            <w:vAlign w:val="bottom"/>
            <w:gridSpan w:val="3"/>
          </w:tcPr>
          <w:p>
            <w:pPr>
              <w:spacing w:after="0"/>
              <w:rPr>
                <w:sz w:val="20"/>
                <w:szCs w:val="20"/>
                <w:color w:val="auto"/>
              </w:rPr>
            </w:pPr>
            <w:r>
              <w:rPr>
                <w:rFonts w:ascii="Arial" w:cs="Arial" w:eastAsia="Arial" w:hAnsi="Arial"/>
                <w:sz w:val="18"/>
                <w:szCs w:val="18"/>
                <w:color w:val="auto"/>
              </w:rPr>
              <w:t>Liabilities</w:t>
            </w:r>
          </w:p>
        </w:tc>
        <w:tc>
          <w:tcPr>
            <w:tcW w:w="24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920" w:type="dxa"/>
            <w:vAlign w:val="bottom"/>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liabilities</w:t>
            </w: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w:t>
            </w:r>
          </w:p>
        </w:tc>
        <w:tc>
          <w:tcPr>
            <w:tcW w:w="9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2"/>
          </w:tcPr>
          <w:p>
            <w:pPr>
              <w:spacing w:after="0"/>
              <w:rPr>
                <w:sz w:val="20"/>
                <w:szCs w:val="20"/>
                <w:color w:val="auto"/>
              </w:rPr>
            </w:pPr>
            <w:r>
              <w:rPr>
                <w:rFonts w:ascii="Arial" w:cs="Arial" w:eastAsia="Arial" w:hAnsi="Arial"/>
                <w:sz w:val="18"/>
                <w:szCs w:val="18"/>
                <w:color w:val="auto"/>
              </w:rPr>
              <w:t>Borrowings related to securitization entities</w:t>
            </w:r>
          </w:p>
        </w:tc>
        <w:tc>
          <w:tcPr>
            <w:tcW w:w="2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644</w:t>
            </w:r>
          </w:p>
        </w:tc>
        <w:tc>
          <w:tcPr>
            <w:tcW w:w="9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320" w:type="dxa"/>
            <w:vAlign w:val="bottom"/>
            <w:gridSpan w:val="2"/>
          </w:tcPr>
          <w:p>
            <w:pPr>
              <w:jc w:val="right"/>
              <w:ind w:right="480"/>
              <w:spacing w:after="0"/>
              <w:rPr>
                <w:sz w:val="20"/>
                <w:szCs w:val="20"/>
                <w:color w:val="auto"/>
              </w:rPr>
            </w:pPr>
            <w:r>
              <w:rPr>
                <w:rFonts w:ascii="Arial" w:cs="Arial" w:eastAsia="Arial" w:hAnsi="Arial"/>
                <w:sz w:val="18"/>
                <w:szCs w:val="18"/>
                <w:color w:val="auto"/>
              </w:rPr>
              <w:t>(80)</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564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9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liabilities</w:t>
            </w: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782</w:t>
            </w:r>
          </w:p>
        </w:tc>
        <w:tc>
          <w:tcPr>
            <w:tcW w:w="9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(80)</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20" w:type="dxa"/>
            <w:vAlign w:val="bottom"/>
            <w:gridSpan w:val="2"/>
            <w:vMerge w:val="restart"/>
          </w:tcPr>
          <w:p>
            <w:pPr>
              <w:ind w:left="420"/>
              <w:spacing w:after="0"/>
              <w:rPr>
                <w:sz w:val="20"/>
                <w:szCs w:val="20"/>
                <w:color w:val="auto"/>
              </w:rPr>
            </w:pPr>
            <w:r>
              <w:rPr>
                <w:rFonts w:ascii="Arial" w:cs="Arial" w:eastAsia="Arial" w:hAnsi="Arial"/>
                <w:sz w:val="18"/>
                <w:szCs w:val="18"/>
                <w:color w:val="auto"/>
              </w:rPr>
              <w:t>Net assets and liabilities of newly consolidated entities</w:t>
            </w:r>
          </w:p>
        </w:tc>
        <w:tc>
          <w:tcPr>
            <w:tcW w:w="2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220" w:type="dxa"/>
            <w:vAlign w:val="bottom"/>
            <w:gridSpan w:val="2"/>
            <w:vMerge w:val="continue"/>
          </w:tcPr>
          <w:p>
            <w:pPr>
              <w:spacing w:after="0"/>
              <w:rPr>
                <w:sz w:val="19"/>
                <w:szCs w:val="19"/>
                <w:color w:val="auto"/>
              </w:rPr>
            </w:pP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193</w:t>
            </w:r>
          </w:p>
        </w:tc>
        <w:tc>
          <w:tcPr>
            <w:tcW w:w="150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50</w:t>
            </w:r>
          </w:p>
        </w:tc>
        <w:tc>
          <w:tcPr>
            <w:tcW w:w="5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243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9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p>
      <w:pPr>
        <w:sectPr>
          <w:pgSz w:w="11900" w:h="16838" w:orient="portrait"/>
          <w:cols w:equalWidth="0" w:num="1">
            <w:col w:w="11420"/>
          </w:cols>
          <w:pgMar w:left="240" w:top="459" w:right="239" w:bottom="1440" w:gutter="0" w:footer="0" w:header="0"/>
        </w:sectPr>
      </w:pPr>
    </w:p>
    <w:p>
      <w:pPr>
        <w:ind w:left="440"/>
        <w:spacing w:after="0"/>
        <w:rPr>
          <w:sz w:val="20"/>
          <w:szCs w:val="20"/>
          <w:color w:val="auto"/>
        </w:rPr>
      </w:pPr>
      <w:r>
        <w:rPr>
          <w:rFonts w:ascii="Arial" w:cs="Arial" w:eastAsia="Arial" w:hAnsi="Arial"/>
          <w:sz w:val="16"/>
          <w:szCs w:val="16"/>
          <w:color w:val="auto"/>
        </w:rPr>
        <w:t>Less: amortized cost of fixed maturity securities previously recorded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7246620" cy="2146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214630"/>
                    </a:xfrm>
                    <a:prstGeom prst="rect">
                      <a:avLst/>
                    </a:prstGeom>
                    <a:noFill/>
                  </pic:spPr>
                </pic:pic>
              </a:graphicData>
            </a:graphic>
          </wp:anchor>
        </w:drawing>
      </w:r>
    </w:p>
    <w:p>
      <w:pPr>
        <w:ind w:left="660"/>
        <w:spacing w:after="0"/>
        <w:rPr>
          <w:sz w:val="20"/>
          <w:szCs w:val="20"/>
          <w:color w:val="auto"/>
        </w:rPr>
      </w:pPr>
      <w:r>
        <w:rPr>
          <w:rFonts w:ascii="Arial" w:cs="Arial" w:eastAsia="Arial" w:hAnsi="Arial"/>
          <w:sz w:val="11"/>
          <w:szCs w:val="11"/>
          <w:color w:val="auto"/>
        </w:rPr>
        <w:t>(3)</w:t>
      </w:r>
    </w:p>
    <w:p>
      <w:pPr>
        <w:spacing w:after="0" w:line="60" w:lineRule="exact"/>
        <w:rPr>
          <w:sz w:val="20"/>
          <w:szCs w:val="20"/>
          <w:color w:val="auto"/>
        </w:rPr>
      </w:pPr>
    </w:p>
    <w:p>
      <w:pPr>
        <w:ind w:left="440"/>
        <w:spacing w:after="0"/>
        <w:rPr>
          <w:sz w:val="20"/>
          <w:szCs w:val="20"/>
          <w:color w:val="auto"/>
        </w:rPr>
      </w:pPr>
      <w:r>
        <w:rPr>
          <w:rFonts w:ascii="Arial" w:cs="Arial" w:eastAsia="Arial" w:hAnsi="Arial"/>
          <w:sz w:val="16"/>
          <w:szCs w:val="16"/>
          <w:color w:val="auto"/>
        </w:rPr>
        <w:t>Cumulative effect adjustment to retained earnings upon adoption,</w:t>
      </w:r>
    </w:p>
    <w:p>
      <w:pPr>
        <w:spacing w:after="0" w:line="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pre-tax</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Tax effect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-129540</wp:posOffset>
            </wp:positionV>
            <wp:extent cx="7246620" cy="137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10" w:lineRule="exact"/>
        <w:rPr>
          <w:sz w:val="20"/>
          <w:szCs w:val="20"/>
          <w:color w:val="auto"/>
        </w:rPr>
      </w:pPr>
    </w:p>
    <w:p>
      <w:pPr>
        <w:ind w:left="440"/>
        <w:spacing w:after="0"/>
        <w:rPr>
          <w:sz w:val="20"/>
          <w:szCs w:val="20"/>
          <w:color w:val="auto"/>
        </w:rPr>
      </w:pPr>
      <w:r>
        <w:rPr>
          <w:rFonts w:ascii="Arial" w:cs="Arial" w:eastAsia="Arial" w:hAnsi="Arial"/>
          <w:sz w:val="15"/>
          <w:szCs w:val="15"/>
          <w:color w:val="auto"/>
        </w:rPr>
        <w:t>Net cumulative effect adjustment to retained earnings upon adoption</w:t>
      </w:r>
    </w:p>
    <w:p>
      <w:pPr>
        <w:spacing w:after="0" w:line="20" w:lineRule="exact"/>
        <w:rPr>
          <w:sz w:val="20"/>
          <w:szCs w:val="20"/>
          <w:color w:val="auto"/>
        </w:rPr>
      </w:pPr>
      <w:r>
        <w:rPr>
          <w:sz w:val="20"/>
          <w:szCs w:val="20"/>
          <w:color w:val="auto"/>
        </w:rPr>
        <w:br w:type="column"/>
      </w:r>
    </w:p>
    <w:p>
      <w:pPr>
        <w:spacing w:after="0" w:line="106" w:lineRule="exact"/>
        <w:rPr>
          <w:sz w:val="20"/>
          <w:szCs w:val="20"/>
          <w:color w:val="auto"/>
        </w:rPr>
      </w:pPr>
    </w:p>
    <w:p>
      <w:pPr>
        <w:ind w:left="580"/>
        <w:spacing w:after="0"/>
        <w:rPr>
          <w:sz w:val="20"/>
          <w:szCs w:val="20"/>
          <w:color w:val="auto"/>
        </w:rPr>
      </w:pPr>
      <w:r>
        <w:rPr>
          <w:rFonts w:ascii="Arial" w:cs="Arial" w:eastAsia="Arial" w:hAnsi="Arial"/>
          <w:sz w:val="18"/>
          <w:szCs w:val="18"/>
          <w:color w:val="auto"/>
        </w:rPr>
        <w:t>404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10795</wp:posOffset>
            </wp:positionV>
            <wp:extent cx="54038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40385" cy="8890"/>
                    </a:xfrm>
                    <a:prstGeom prst="rect">
                      <a:avLst/>
                    </a:prstGeom>
                    <a:noFill/>
                  </pic:spPr>
                </pic:pic>
              </a:graphicData>
            </a:graphic>
          </wp:anchor>
        </w:drawing>
      </w:r>
    </w:p>
    <w:p>
      <w:pPr>
        <w:spacing w:after="0" w:line="232"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(161)</w:t>
      </w:r>
    </w:p>
    <w:p>
      <w:pPr>
        <w:spacing w:after="0" w:line="15" w:lineRule="exact"/>
        <w:rPr>
          <w:sz w:val="20"/>
          <w:szCs w:val="20"/>
          <w:color w:val="auto"/>
        </w:rPr>
      </w:pPr>
    </w:p>
    <w:p>
      <w:pPr>
        <w:jc w:val="right"/>
        <w:ind w:right="100"/>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6985</wp:posOffset>
            </wp:positionV>
            <wp:extent cx="54038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40385" cy="8890"/>
                    </a:xfrm>
                    <a:prstGeom prst="rect">
                      <a:avLst/>
                    </a:prstGeom>
                    <a:noFill/>
                  </pic:spPr>
                </pic:pic>
              </a:graphicData>
            </a:graphic>
          </wp:anchor>
        </w:drawing>
      </w:r>
    </w:p>
    <w:p>
      <w:pPr>
        <w:spacing w:after="0" w:line="10" w:lineRule="exact"/>
        <w:rPr>
          <w:sz w:val="20"/>
          <w:szCs w:val="20"/>
          <w:color w:val="auto"/>
        </w:rPr>
      </w:pPr>
    </w:p>
    <w:p>
      <w:pPr>
        <w:ind w:left="540" w:hanging="539"/>
        <w:spacing w:after="0"/>
        <w:tabs>
          <w:tab w:leader="none" w:pos="540" w:val="left"/>
        </w:tabs>
        <w:numPr>
          <w:ilvl w:val="0"/>
          <w:numId w:val="5"/>
        </w:numPr>
        <w:rPr>
          <w:rFonts w:ascii="Arial" w:cs="Arial" w:eastAsia="Arial" w:hAnsi="Arial"/>
          <w:sz w:val="16"/>
          <w:szCs w:val="16"/>
          <w:color w:val="auto"/>
        </w:rPr>
      </w:pPr>
      <w:r>
        <w:rPr>
          <w:rFonts w:ascii="Arial" w:cs="Arial" w:eastAsia="Arial" w:hAnsi="Arial"/>
          <w:sz w:val="16"/>
          <w:szCs w:val="16"/>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25400</wp:posOffset>
            </wp:positionV>
            <wp:extent cx="54038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40385" cy="889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42545</wp:posOffset>
            </wp:positionV>
            <wp:extent cx="54038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40385" cy="889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9740" w:space="720"/>
            <w:col w:w="960"/>
          </w:cols>
          <w:pgMar w:left="240" w:top="459" w:right="239" w:bottom="1440" w:gutter="0" w:footer="0" w:header="0"/>
          <w:type w:val="continuous"/>
        </w:sectPr>
      </w:pPr>
    </w:p>
    <w:p>
      <w:pPr>
        <w:spacing w:after="0" w:line="35" w:lineRule="exact"/>
        <w:rPr>
          <w:sz w:val="20"/>
          <w:szCs w:val="20"/>
          <w:color w:val="auto"/>
        </w:rPr>
      </w:pPr>
    </w:p>
    <w:p>
      <w:pPr>
        <w:ind w:left="460" w:right="400" w:hanging="452"/>
        <w:spacing w:after="0" w:line="235" w:lineRule="auto"/>
        <w:tabs>
          <w:tab w:leader="none" w:pos="460" w:val="left"/>
        </w:tabs>
        <w:numPr>
          <w:ilvl w:val="0"/>
          <w:numId w:val="6"/>
        </w:numPr>
        <w:rPr>
          <w:rFonts w:ascii="Arial" w:cs="Arial" w:eastAsia="Arial" w:hAnsi="Arial"/>
          <w:sz w:val="22"/>
          <w:szCs w:val="22"/>
          <w:color w:val="auto"/>
          <w:vertAlign w:val="superscript"/>
        </w:rPr>
      </w:pPr>
      <w:r>
        <w:rPr>
          <w:rFonts w:ascii="Arial" w:cs="Arial" w:eastAsia="Arial" w:hAnsi="Arial"/>
          <w:sz w:val="18"/>
          <w:szCs w:val="18"/>
          <w:color w:val="auto"/>
        </w:rPr>
        <w:t>Carrying value represents the amounts that would have been recorded in the consolidated financial statements on January 1, 2010 had we recorded the assets and liabilities in our financial statements from the date we first met the conditions for consolidation based on the criteria in the new accounting guidance.</w:t>
      </w:r>
    </w:p>
    <w:p>
      <w:pPr>
        <w:spacing w:after="0" w:line="1" w:lineRule="exact"/>
        <w:rPr>
          <w:rFonts w:ascii="Arial" w:cs="Arial" w:eastAsia="Arial" w:hAnsi="Arial"/>
          <w:sz w:val="22"/>
          <w:szCs w:val="22"/>
          <w:color w:val="auto"/>
          <w:vertAlign w:val="superscript"/>
        </w:rPr>
      </w:pPr>
    </w:p>
    <w:p>
      <w:pPr>
        <w:ind w:left="460" w:right="40" w:hanging="452"/>
        <w:spacing w:after="0" w:line="225" w:lineRule="auto"/>
        <w:tabs>
          <w:tab w:leader="none" w:pos="460" w:val="left"/>
        </w:tabs>
        <w:numPr>
          <w:ilvl w:val="0"/>
          <w:numId w:val="6"/>
        </w:numPr>
        <w:rPr>
          <w:rFonts w:ascii="Arial" w:cs="Arial" w:eastAsia="Arial" w:hAnsi="Arial"/>
          <w:sz w:val="22"/>
          <w:szCs w:val="22"/>
          <w:color w:val="auto"/>
          <w:vertAlign w:val="superscript"/>
        </w:rPr>
      </w:pPr>
      <w:r>
        <w:rPr>
          <w:rFonts w:ascii="Arial" w:cs="Arial" w:eastAsia="Arial" w:hAnsi="Arial"/>
          <w:sz w:val="18"/>
          <w:szCs w:val="18"/>
          <w:color w:val="auto"/>
        </w:rPr>
        <w:t>Amount represents the difference between book value and fair value of the investments and borrowings related to consolidated securitization entities where we have elected fair value option.</w:t>
      </w:r>
    </w:p>
    <w:p>
      <w:pPr>
        <w:ind w:left="460" w:right="160" w:hanging="452"/>
        <w:spacing w:after="0" w:line="225" w:lineRule="auto"/>
        <w:tabs>
          <w:tab w:leader="none" w:pos="460" w:val="left"/>
        </w:tabs>
        <w:numPr>
          <w:ilvl w:val="0"/>
          <w:numId w:val="6"/>
        </w:numPr>
        <w:rPr>
          <w:rFonts w:ascii="Arial" w:cs="Arial" w:eastAsia="Arial" w:hAnsi="Arial"/>
          <w:sz w:val="22"/>
          <w:szCs w:val="22"/>
          <w:color w:val="auto"/>
          <w:vertAlign w:val="superscript"/>
        </w:rPr>
      </w:pPr>
      <w:r>
        <w:rPr>
          <w:rFonts w:ascii="Arial" w:cs="Arial" w:eastAsia="Arial" w:hAnsi="Arial"/>
          <w:sz w:val="18"/>
          <w:szCs w:val="18"/>
          <w:color w:val="auto"/>
        </w:rPr>
        <w:t>Fixed maturity securities that were previously recorded had net unrealized investment losses of $91 million included in accumulated other comprehensive income (loss) as of December 31,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-983615</wp:posOffset>
            </wp:positionV>
            <wp:extent cx="72898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7"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For commercial mortgage loans, the carrying amounts represent the unpaid principal balance less any reserve. Restricted other invested assets are comprised of trading securities that are recorded at fair value. Trading securities represent asset-backed securities where we elected fair value option. Borrowings related to securitization entities are recorded at unpaid principal except for the borrowings related to entities where we elected fair value option for all assets and liabilities.</w:t>
      </w:r>
    </w:p>
    <w:p>
      <w:pPr>
        <w:spacing w:after="0" w:line="143"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For certain entities consolidated upon adoption of the new accounting guidance on January 1, 2010, we elected fair value option to measure all assets and liabilities at current fair value with future changes in fair value being recording in income (loss). We elected fair value option for certain entities as a method to better present the offsetting changes in assets and liabilities related to third-party interests in those entities and eliminated the potential accounting mismatch between the measurement of the assets and derivatives of the entity compared to the borrowings issued by the entity. The entities where we did not elect fair value option did not have the same accounting mismatch since the assets held by the securitization entity and the borrowings of the entity were recorded at cost. See note 7 for additional information related to consolidation of VIEs.</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type w:val="continuous"/>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The new accounting guidance related to consolidation of VIEs has been deferred for a reporting entity’s interest in an entity that has all of the attributes of an investment company as long as there is no implicit or explicit obligation to fund losses of the entity. For entities that meet these criteria, the new accounting guidance related to VIE consolidation would not be applicable until further guidance is issued. Accordingly, we did not have any impact upon adoption related to entities that meet the deferral criteria, such as certain limited partnership and fund investments.</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Fair Value Measurements and Disclosures—Improving Disclosures about Fair Value Measurements</w:t>
      </w:r>
    </w:p>
    <w:p>
      <w:pPr>
        <w:spacing w:after="0" w:line="90"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On January 1, 2010, we adopted new accounting guidance requiring additional disclosures for significant transfers between Level 1 and 2 fair value measurements and clarifications to existing fair value disclosures related to the level of disaggregation, inputs and valuation techniques. The adoption of this new accounting guidance did not have a material impact on our consolidated financial statements.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Not Yet Adopted</w:t>
      </w:r>
    </w:p>
    <w:p>
      <w:pPr>
        <w:spacing w:after="0" w:line="90"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In July 2010, the Financial Accounting Standards Board (“FASB”) issued new accounting guidance that will require additional disclosures about the credit quality of loans, lease receivables and other long-term receivables and the related allowance for credit losses. Certain additional disclosures in this new accounting guidance will be effective for us on December 31, 2010 with certain other additional disclosures that will be effective for us on March 31, 2011. We do not expect the adoption of this new accounting guidance to have a material impact on our consolidated financial statements.</w:t>
      </w:r>
    </w:p>
    <w:p>
      <w:pPr>
        <w:spacing w:after="0" w:line="113" w:lineRule="exact"/>
        <w:rPr>
          <w:sz w:val="20"/>
          <w:szCs w:val="20"/>
          <w:color w:val="auto"/>
        </w:rPr>
      </w:pPr>
    </w:p>
    <w:p>
      <w:pPr>
        <w:jc w:val="both"/>
        <w:ind w:right="160" w:firstLine="456"/>
        <w:spacing w:after="0" w:line="259" w:lineRule="auto"/>
        <w:rPr>
          <w:sz w:val="20"/>
          <w:szCs w:val="20"/>
          <w:color w:val="auto"/>
        </w:rPr>
      </w:pPr>
      <w:r>
        <w:rPr>
          <w:rFonts w:ascii="Arial" w:cs="Arial" w:eastAsia="Arial" w:hAnsi="Arial"/>
          <w:sz w:val="18"/>
          <w:szCs w:val="18"/>
          <w:color w:val="auto"/>
        </w:rPr>
        <w:t>In April 2010, the FASB issued new accounting guidance on how investments held through separate accounts affect an insurer’s consolidation analysis of those investments. This new accounting guidance will be effective for us on January 1, 2011. We do not expect the adoption of this new accounting guidance to have a material impact on our consolidated financial statements.</w:t>
      </w:r>
    </w:p>
    <w:p>
      <w:pPr>
        <w:spacing w:after="0" w:line="140"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In March 2010, the FASB issued new accounting guidance clarifying the scope exception for embedded credit derivatives and when those features would be bifurcated from the host contract. Under the new accounting guidance, only embedded credit derivative features that are in the form of subordination of one financial instrument to another would not be subject to the bifurcation requirements. Accordingly, upon adoption of this new accounting guidance, we are required to bifurcate embedded credit derivatives that no longer qualify under the amended scope exception. In conjunction with our adoption, we elected fair value option for certain fixed maturity securities. This accounting guidance was effective for us on July 1, 2010. The impact upon adoption of this new accounting guidance was approximately $270 million, before taxes and other adjustments, and was recorded as a reduction in retained earnings with a corresponding increase in accumulated other comprehensive income (loss) on July 1, 2010.</w:t>
      </w:r>
    </w:p>
    <w:p>
      <w:pPr>
        <w:spacing w:after="0" w:line="118"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In January 2010, the FASB issued new accounting guidance to require additional disclosures about purchases, sales, issuances, and settlements in the rollforward of Level 3 fair value measurements. This new accounting guidance will be effective for us on January 1, 2011. We do not expect the adoption of this new accounting guidance to have a material impact on our consolidated financial statements.</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Earnings (Loss) Per Share</w:t>
      </w:r>
    </w:p>
    <w:p>
      <w:pPr>
        <w:spacing w:after="0" w:line="96"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color w:val="auto"/>
        </w:rPr>
        <w:t>Basic and diluted earnings (loss) per share are calculated by dividing each income (loss) category presented below by the weighted-average basic and diluted shares outstanding for the periods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96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4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w w:val="85"/>
              </w:rPr>
              <w:t>Three months ended</w:t>
            </w:r>
          </w:p>
        </w:tc>
        <w:tc>
          <w:tcPr>
            <w:tcW w:w="100" w:type="dxa"/>
            <w:vAlign w:val="bottom"/>
          </w:tcPr>
          <w:p>
            <w:pPr>
              <w:spacing w:after="0"/>
              <w:rPr>
                <w:sz w:val="14"/>
                <w:szCs w:val="14"/>
                <w:color w:val="auto"/>
              </w:rPr>
            </w:pPr>
          </w:p>
        </w:tc>
        <w:tc>
          <w:tcPr>
            <w:tcW w:w="1320" w:type="dxa"/>
            <w:vAlign w:val="bottom"/>
            <w:gridSpan w:val="5"/>
          </w:tcPr>
          <w:p>
            <w:pPr>
              <w:jc w:val="right"/>
              <w:ind w:right="260"/>
              <w:spacing w:after="0"/>
              <w:rPr>
                <w:sz w:val="20"/>
                <w:szCs w:val="20"/>
                <w:color w:val="auto"/>
              </w:rPr>
            </w:pPr>
            <w:r>
              <w:rPr>
                <w:rFonts w:ascii="Arial" w:cs="Arial" w:eastAsia="Arial" w:hAnsi="Arial"/>
                <w:sz w:val="14"/>
                <w:szCs w:val="14"/>
                <w:b w:val="1"/>
                <w:bCs w:val="1"/>
                <w:color w:val="auto"/>
                <w:w w:val="86"/>
              </w:rPr>
              <w:t>Six months ended</w:t>
            </w:r>
          </w:p>
        </w:tc>
        <w:tc>
          <w:tcPr>
            <w:tcW w:w="0" w:type="dxa"/>
            <w:vAlign w:val="bottom"/>
          </w:tcPr>
          <w:p>
            <w:pPr>
              <w:spacing w:after="0"/>
              <w:rPr>
                <w:sz w:val="1"/>
                <w:szCs w:val="1"/>
                <w:color w:val="auto"/>
              </w:rPr>
            </w:pPr>
          </w:p>
        </w:tc>
      </w:tr>
      <w:tr>
        <w:trPr>
          <w:trHeight w:val="161"/>
        </w:trPr>
        <w:tc>
          <w:tcPr>
            <w:tcW w:w="72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 except per share amounts)</w:t>
            </w:r>
          </w:p>
        </w:tc>
        <w:tc>
          <w:tcPr>
            <w:tcW w:w="9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440" w:type="dxa"/>
            <w:vAlign w:val="bottom"/>
            <w:tcBorders>
              <w:bottom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4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240" w:type="dxa"/>
            <w:vAlign w:val="bottom"/>
            <w:gridSpan w:val="3"/>
            <w:vMerge w:val="continue"/>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6"/>
              <w:spacing w:after="0" w:line="142" w:lineRule="exact"/>
              <w:rPr>
                <w:sz w:val="20"/>
                <w:szCs w:val="20"/>
                <w:color w:val="auto"/>
              </w:rPr>
            </w:pPr>
            <w:r>
              <w:rPr>
                <w:rFonts w:ascii="Arial" w:cs="Arial" w:eastAsia="Arial" w:hAnsi="Arial"/>
                <w:sz w:val="14"/>
                <w:szCs w:val="14"/>
                <w:b w:val="1"/>
                <w:bCs w:val="1"/>
                <w:color w:val="auto"/>
                <w:w w:val="89"/>
              </w:rPr>
              <w:t>2010</w:t>
            </w: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40" w:type="dxa"/>
            <w:vAlign w:val="bottom"/>
          </w:tcPr>
          <w:p>
            <w:pPr>
              <w:jc w:val="right"/>
              <w:ind w:right="74"/>
              <w:spacing w:after="0" w:line="142" w:lineRule="exact"/>
              <w:rPr>
                <w:sz w:val="20"/>
                <w:szCs w:val="20"/>
                <w:color w:val="auto"/>
              </w:rPr>
            </w:pPr>
            <w:r>
              <w:rPr>
                <w:rFonts w:ascii="Arial" w:cs="Arial" w:eastAsia="Arial" w:hAnsi="Arial"/>
                <w:sz w:val="14"/>
                <w:szCs w:val="14"/>
                <w:b w:val="1"/>
                <w:bCs w:val="1"/>
                <w:color w:val="auto"/>
                <w:w w:val="83"/>
              </w:rPr>
              <w:t>2009</w:t>
            </w: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ind w:right="36"/>
              <w:spacing w:after="0" w:line="142" w:lineRule="exact"/>
              <w:rPr>
                <w:sz w:val="20"/>
                <w:szCs w:val="20"/>
                <w:color w:val="auto"/>
              </w:rPr>
            </w:pPr>
            <w:r>
              <w:rPr>
                <w:rFonts w:ascii="Arial" w:cs="Arial" w:eastAsia="Arial" w:hAnsi="Arial"/>
                <w:sz w:val="14"/>
                <w:szCs w:val="14"/>
                <w:b w:val="1"/>
                <w:bCs w:val="1"/>
                <w:color w:val="auto"/>
                <w:w w:val="83"/>
              </w:rPr>
              <w:t>2010</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ind w:right="34"/>
              <w:spacing w:after="0" w:line="142" w:lineRule="exact"/>
              <w:rPr>
                <w:sz w:val="20"/>
                <w:szCs w:val="20"/>
                <w:color w:val="auto"/>
              </w:rPr>
            </w:pPr>
            <w:r>
              <w:rPr>
                <w:rFonts w:ascii="Arial" w:cs="Arial" w:eastAsia="Arial" w:hAnsi="Arial"/>
                <w:sz w:val="14"/>
                <w:szCs w:val="14"/>
                <w:b w:val="1"/>
                <w:bCs w:val="1"/>
                <w:color w:val="auto"/>
                <w:w w:val="89"/>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960" w:type="dxa"/>
            <w:vAlign w:val="bottom"/>
            <w:shd w:val="clear" w:color="auto" w:fill="000000"/>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4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77</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(519)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20" w:type="dxa"/>
            <w:vAlign w:val="bottom"/>
            <w:gridSpan w:val="2"/>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9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3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w:t>
            </w:r>
          </w:p>
        </w:tc>
        <w:tc>
          <w:tcPr>
            <w:tcW w:w="3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(loss) available to Genworth Financial, Inc.’s common stockholders</w:t>
            </w: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42</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220</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(519)</w:t>
            </w:r>
          </w:p>
        </w:tc>
        <w:tc>
          <w:tcPr>
            <w:tcW w:w="0" w:type="dxa"/>
            <w:vAlign w:val="bottom"/>
          </w:tcPr>
          <w:p>
            <w:pPr>
              <w:spacing w:after="0"/>
              <w:rPr>
                <w:sz w:val="1"/>
                <w:szCs w:val="1"/>
                <w:color w:val="auto"/>
              </w:rPr>
            </w:pPr>
          </w:p>
        </w:tc>
      </w:tr>
      <w:tr>
        <w:trPr>
          <w:trHeight w:val="20"/>
        </w:trPr>
        <w:tc>
          <w:tcPr>
            <w:tcW w:w="7240" w:type="dxa"/>
            <w:vAlign w:val="bottom"/>
            <w:gridSpan w:val="3"/>
            <w:vMerge w:val="restart"/>
          </w:tcPr>
          <w:p>
            <w:pPr>
              <w:spacing w:after="0"/>
              <w:rPr>
                <w:sz w:val="20"/>
                <w:szCs w:val="20"/>
                <w:color w:val="auto"/>
              </w:rPr>
            </w:pPr>
            <w:r>
              <w:rPr>
                <w:rFonts w:ascii="Arial" w:cs="Arial" w:eastAsia="Arial" w:hAnsi="Arial"/>
                <w:sz w:val="18"/>
                <w:szCs w:val="18"/>
                <w:color w:val="auto"/>
              </w:rPr>
              <w:t>Basic per common share:</w:t>
            </w:r>
          </w:p>
        </w:tc>
        <w:tc>
          <w:tcPr>
            <w:tcW w:w="9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7240" w:type="dxa"/>
            <w:vAlign w:val="bottom"/>
            <w:gridSpan w:val="3"/>
            <w:vMerge w:val="continue"/>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0.16</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(0.11)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0.59</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7"/>
              </w:rPr>
              <w:t>(1.20)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20" w:type="dxa"/>
            <w:vAlign w:val="bottom"/>
            <w:gridSpan w:val="2"/>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9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0.07</w:t>
            </w:r>
          </w:p>
        </w:tc>
        <w:tc>
          <w:tcPr>
            <w:tcW w:w="3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0.14</w:t>
            </w:r>
          </w:p>
        </w:tc>
        <w:tc>
          <w:tcPr>
            <w:tcW w:w="3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Net income (loss) available to Genworth Financial, Inc.’s common stockholders </w:t>
            </w:r>
            <w:r>
              <w:rPr>
                <w:rFonts w:ascii="Arial" w:cs="Arial" w:eastAsia="Arial" w:hAnsi="Arial"/>
                <w:sz w:val="11"/>
                <w:szCs w:val="11"/>
                <w:color w:val="auto"/>
              </w:rPr>
              <w:t>(1)</w:t>
            </w: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0.09</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(0.11)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0.45</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7"/>
              </w:rPr>
              <w:t>(1.20)</w:t>
            </w:r>
          </w:p>
        </w:tc>
        <w:tc>
          <w:tcPr>
            <w:tcW w:w="0" w:type="dxa"/>
            <w:vAlign w:val="bottom"/>
          </w:tcPr>
          <w:p>
            <w:pPr>
              <w:spacing w:after="0"/>
              <w:rPr>
                <w:sz w:val="1"/>
                <w:szCs w:val="1"/>
                <w:color w:val="auto"/>
              </w:rPr>
            </w:pPr>
          </w:p>
        </w:tc>
      </w:tr>
      <w:tr>
        <w:trPr>
          <w:trHeight w:val="20"/>
        </w:trPr>
        <w:tc>
          <w:tcPr>
            <w:tcW w:w="7240" w:type="dxa"/>
            <w:vAlign w:val="bottom"/>
            <w:gridSpan w:val="3"/>
            <w:vMerge w:val="restart"/>
          </w:tcPr>
          <w:p>
            <w:pPr>
              <w:spacing w:after="0"/>
              <w:rPr>
                <w:sz w:val="20"/>
                <w:szCs w:val="20"/>
                <w:color w:val="auto"/>
              </w:rPr>
            </w:pPr>
            <w:r>
              <w:rPr>
                <w:rFonts w:ascii="Arial" w:cs="Arial" w:eastAsia="Arial" w:hAnsi="Arial"/>
                <w:sz w:val="18"/>
                <w:szCs w:val="18"/>
                <w:color w:val="auto"/>
              </w:rPr>
              <w:t>Diluted per common share:</w:t>
            </w:r>
          </w:p>
        </w:tc>
        <w:tc>
          <w:tcPr>
            <w:tcW w:w="9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7240" w:type="dxa"/>
            <w:vAlign w:val="bottom"/>
            <w:gridSpan w:val="3"/>
            <w:vMerge w:val="continue"/>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0.16</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(0.11)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0.59</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7"/>
              </w:rPr>
              <w:t>(1.20)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20" w:type="dxa"/>
            <w:vAlign w:val="bottom"/>
            <w:gridSpan w:val="2"/>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9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0.07</w:t>
            </w:r>
          </w:p>
        </w:tc>
        <w:tc>
          <w:tcPr>
            <w:tcW w:w="3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0.14</w:t>
            </w:r>
          </w:p>
        </w:tc>
        <w:tc>
          <w:tcPr>
            <w:tcW w:w="3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Net income (loss) available to Genworth Financial, Inc.’s common stockholders </w:t>
            </w:r>
            <w:r>
              <w:rPr>
                <w:rFonts w:ascii="Arial" w:cs="Arial" w:eastAsia="Arial" w:hAnsi="Arial"/>
                <w:sz w:val="11"/>
                <w:szCs w:val="11"/>
                <w:color w:val="auto"/>
              </w:rPr>
              <w:t>(1)</w:t>
            </w: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0.08</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(0.11)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0.45</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7"/>
              </w:rPr>
              <w:t>(1.20)</w:t>
            </w:r>
          </w:p>
        </w:tc>
        <w:tc>
          <w:tcPr>
            <w:tcW w:w="0" w:type="dxa"/>
            <w:vAlign w:val="bottom"/>
          </w:tcPr>
          <w:p>
            <w:pPr>
              <w:spacing w:after="0"/>
              <w:rPr>
                <w:sz w:val="1"/>
                <w:szCs w:val="1"/>
                <w:color w:val="auto"/>
              </w:rPr>
            </w:pPr>
          </w:p>
        </w:tc>
      </w:tr>
      <w:tr>
        <w:trPr>
          <w:trHeight w:val="20"/>
        </w:trPr>
        <w:tc>
          <w:tcPr>
            <w:tcW w:w="7240" w:type="dxa"/>
            <w:vAlign w:val="bottom"/>
            <w:gridSpan w:val="3"/>
            <w:vMerge w:val="restart"/>
          </w:tcPr>
          <w:p>
            <w:pPr>
              <w:spacing w:after="0"/>
              <w:rPr>
                <w:sz w:val="20"/>
                <w:szCs w:val="20"/>
                <w:color w:val="auto"/>
              </w:rPr>
            </w:pPr>
            <w:r>
              <w:rPr>
                <w:rFonts w:ascii="Arial" w:cs="Arial" w:eastAsia="Arial" w:hAnsi="Arial"/>
                <w:sz w:val="18"/>
                <w:szCs w:val="18"/>
                <w:color w:val="auto"/>
              </w:rPr>
              <w:t>Weighted-average shares used in basic earnings (loss) per common share calculations</w:t>
            </w:r>
          </w:p>
        </w:tc>
        <w:tc>
          <w:tcPr>
            <w:tcW w:w="9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240" w:type="dxa"/>
            <w:vAlign w:val="bottom"/>
            <w:gridSpan w:val="3"/>
            <w:vMerge w:val="continue"/>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300"/>
              <w:spacing w:after="0"/>
              <w:rPr>
                <w:sz w:val="20"/>
                <w:szCs w:val="20"/>
                <w:color w:val="auto"/>
              </w:rPr>
            </w:pPr>
            <w:r>
              <w:rPr>
                <w:rFonts w:ascii="Arial" w:cs="Arial" w:eastAsia="Arial" w:hAnsi="Arial"/>
                <w:sz w:val="18"/>
                <w:szCs w:val="18"/>
                <w:color w:val="auto"/>
                <w:w w:val="93"/>
              </w:rPr>
              <w:t>489.1</w:t>
            </w:r>
          </w:p>
        </w:tc>
        <w:tc>
          <w:tcPr>
            <w:tcW w:w="1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433.2</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489.0</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433.2</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Potentially dilutive securities:</w:t>
            </w: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20" w:type="dxa"/>
            <w:vAlign w:val="bottom"/>
            <w:gridSpan w:val="2"/>
          </w:tcPr>
          <w:p>
            <w:pPr>
              <w:ind w:left="860"/>
              <w:spacing w:after="0"/>
              <w:rPr>
                <w:sz w:val="20"/>
                <w:szCs w:val="20"/>
                <w:color w:val="auto"/>
              </w:rPr>
            </w:pPr>
            <w:r>
              <w:rPr>
                <w:rFonts w:ascii="Arial" w:cs="Arial" w:eastAsia="Arial" w:hAnsi="Arial"/>
                <w:sz w:val="18"/>
                <w:szCs w:val="18"/>
                <w:color w:val="auto"/>
              </w:rPr>
              <w:t>Stock options, restricted stock units and stock appreciation rights</w:t>
            </w:r>
          </w:p>
        </w:tc>
        <w:tc>
          <w:tcPr>
            <w:tcW w:w="9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w:t>
            </w:r>
          </w:p>
        </w:tc>
        <w:tc>
          <w:tcPr>
            <w:tcW w:w="3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w:t>
            </w:r>
          </w:p>
        </w:tc>
        <w:tc>
          <w:tcPr>
            <w:tcW w:w="3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9"/>
              </w:rPr>
              <w:t xml:space="preserve">Weighted-average shares used in diluted earnings (loss) per common share calculations </w:t>
            </w:r>
            <w:r>
              <w:rPr>
                <w:rFonts w:ascii="Arial" w:cs="Arial" w:eastAsia="Arial" w:hAnsi="Arial"/>
                <w:sz w:val="11"/>
                <w:szCs w:val="11"/>
                <w:color w:val="auto"/>
                <w:w w:val="99"/>
              </w:rPr>
              <w:t>( 2)</w:t>
            </w: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3"/>
              </w:rPr>
              <w:t>494.2</w:t>
            </w:r>
          </w:p>
        </w:tc>
        <w:tc>
          <w:tcPr>
            <w:tcW w:w="14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433.2</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493.9</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433.2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7"/>
        </w:numPr>
        <w:rPr>
          <w:rFonts w:ascii="Arial" w:cs="Arial" w:eastAsia="Arial" w:hAnsi="Arial"/>
          <w:sz w:val="22"/>
          <w:szCs w:val="22"/>
          <w:color w:val="auto"/>
          <w:vertAlign w:val="superscript"/>
        </w:rPr>
      </w:pPr>
      <w:r>
        <w:rPr>
          <w:rFonts w:ascii="Arial" w:cs="Arial" w:eastAsia="Arial" w:hAnsi="Arial"/>
          <w:sz w:val="18"/>
          <w:szCs w:val="18"/>
          <w:color w:val="auto"/>
        </w:rPr>
        <w:t>May not total due to whole number calculation.</w:t>
      </w:r>
    </w:p>
    <w:p>
      <w:pPr>
        <w:spacing w:after="0" w:line="7" w:lineRule="exact"/>
        <w:rPr>
          <w:rFonts w:ascii="Arial" w:cs="Arial" w:eastAsia="Arial" w:hAnsi="Arial"/>
          <w:sz w:val="22"/>
          <w:szCs w:val="22"/>
          <w:color w:val="auto"/>
          <w:vertAlign w:val="superscript"/>
        </w:rPr>
      </w:pPr>
    </w:p>
    <w:p>
      <w:pPr>
        <w:ind w:left="460" w:right="80" w:hanging="452"/>
        <w:spacing w:after="0"/>
        <w:tabs>
          <w:tab w:leader="none" w:pos="460" w:val="left"/>
        </w:tabs>
        <w:numPr>
          <w:ilvl w:val="0"/>
          <w:numId w:val="7"/>
        </w:numPr>
        <w:rPr>
          <w:rFonts w:ascii="Arial" w:cs="Arial" w:eastAsia="Arial" w:hAnsi="Arial"/>
          <w:sz w:val="22"/>
          <w:szCs w:val="22"/>
          <w:color w:val="auto"/>
          <w:vertAlign w:val="superscript"/>
        </w:rPr>
      </w:pPr>
      <w:r>
        <w:rPr>
          <w:rFonts w:ascii="Arial" w:cs="Arial" w:eastAsia="Arial" w:hAnsi="Arial"/>
          <w:sz w:val="18"/>
          <w:szCs w:val="18"/>
          <w:color w:val="auto"/>
        </w:rPr>
        <w:t>Under applicable accounting guidance, companies in a loss position are required to use basic weighted-average common shares outstanding in the calculation of diluted loss per share. Therefore, as a result of our net loss for the three and six months ended June 30, 2009, we were required to use basic weighted-average common shares outstanding in the calculation of the 2009 diluted loss per share, as the inclusion of shares for stock options, restricted stock units and stock appreciation rights of 1.2 million and 0.6 million, respectively, would have been antidilutive to the calculation. If we had not incurred a net loss for the three and six months ended June 30, 2009, dilutive potential common shares would have been 434.4 million and 433.8 million,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-983615</wp:posOffset>
            </wp:positionV>
            <wp:extent cx="72898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ind w:left="260" w:hanging="252"/>
        <w:spacing w:after="0"/>
        <w:tabs>
          <w:tab w:leader="none" w:pos="2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Investments</w:t>
      </w:r>
    </w:p>
    <w:p>
      <w:pPr>
        <w:spacing w:after="0" w:line="96" w:lineRule="exact"/>
        <w:rPr>
          <w:rFonts w:ascii="Arial" w:cs="Arial" w:eastAsia="Arial" w:hAnsi="Arial"/>
          <w:sz w:val="18"/>
          <w:szCs w:val="18"/>
          <w:b w:val="1"/>
          <w:bCs w:val="1"/>
          <w:color w:val="auto"/>
        </w:rPr>
      </w:pPr>
    </w:p>
    <w:p>
      <w:pPr>
        <w:ind w:left="720" w:hanging="256"/>
        <w:spacing w:after="0"/>
        <w:tabs>
          <w:tab w:leader="none" w:pos="720" w:val="left"/>
        </w:tabs>
        <w:numPr>
          <w:ilvl w:val="1"/>
          <w:numId w:val="8"/>
        </w:numPr>
        <w:rPr>
          <w:rFonts w:ascii="Arial" w:cs="Arial" w:eastAsia="Arial" w:hAnsi="Arial"/>
          <w:sz w:val="18"/>
          <w:szCs w:val="18"/>
          <w:i w:val="1"/>
          <w:iCs w:val="1"/>
          <w:color w:val="auto"/>
        </w:rPr>
      </w:pPr>
      <w:r>
        <w:rPr>
          <w:rFonts w:ascii="Arial" w:cs="Arial" w:eastAsia="Arial" w:hAnsi="Arial"/>
          <w:sz w:val="18"/>
          <w:szCs w:val="18"/>
          <w:i w:val="1"/>
          <w:iCs w:val="1"/>
          <w:color w:val="auto"/>
        </w:rPr>
        <w:t>Net Investment Income</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Sources of net investment income were as follows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80" w:type="dxa"/>
            <w:vAlign w:val="bottom"/>
            <w:gridSpan w:val="5"/>
          </w:tcPr>
          <w:p>
            <w:pPr>
              <w:jc w:val="right"/>
              <w:ind w:right="720"/>
              <w:spacing w:after="0"/>
              <w:rPr>
                <w:sz w:val="20"/>
                <w:szCs w:val="20"/>
                <w:color w:val="auto"/>
              </w:rPr>
            </w:pPr>
            <w:r>
              <w:rPr>
                <w:rFonts w:ascii="Arial" w:cs="Arial" w:eastAsia="Arial" w:hAnsi="Arial"/>
                <w:sz w:val="14"/>
                <w:szCs w:val="14"/>
                <w:b w:val="1"/>
                <w:bCs w:val="1"/>
                <w:color w:val="auto"/>
                <w:w w:val="90"/>
              </w:rPr>
              <w:t>Three months ended</w:t>
            </w:r>
          </w:p>
        </w:tc>
        <w:tc>
          <w:tcPr>
            <w:tcW w:w="1620" w:type="dxa"/>
            <w:vAlign w:val="bottom"/>
            <w:gridSpan w:val="5"/>
          </w:tcPr>
          <w:p>
            <w:pPr>
              <w:jc w:val="right"/>
              <w:ind w:right="36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61"/>
        </w:trPr>
        <w:tc>
          <w:tcPr>
            <w:tcW w:w="77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June 30,</w:t>
            </w: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520" w:type="dxa"/>
            <w:vAlign w:val="bottom"/>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June 30,</w:t>
            </w:r>
          </w:p>
        </w:tc>
        <w:tc>
          <w:tcPr>
            <w:tcW w:w="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70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35"/>
              <w:spacing w:after="0" w:line="142" w:lineRule="exact"/>
              <w:rPr>
                <w:sz w:val="20"/>
                <w:szCs w:val="20"/>
                <w:color w:val="auto"/>
              </w:rPr>
            </w:pPr>
            <w:r>
              <w:rPr>
                <w:rFonts w:ascii="Arial" w:cs="Arial" w:eastAsia="Arial" w:hAnsi="Arial"/>
                <w:sz w:val="14"/>
                <w:szCs w:val="14"/>
                <w:b w:val="1"/>
                <w:bCs w:val="1"/>
                <w:color w:val="auto"/>
                <w:w w:val="89"/>
              </w:rPr>
              <w:t>2010</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34"/>
              <w:spacing w:after="0" w:line="142" w:lineRule="exact"/>
              <w:rPr>
                <w:sz w:val="20"/>
                <w:szCs w:val="20"/>
                <w:color w:val="auto"/>
              </w:rPr>
            </w:pPr>
            <w:r>
              <w:rPr>
                <w:rFonts w:ascii="Arial" w:cs="Arial" w:eastAsia="Arial" w:hAnsi="Arial"/>
                <w:sz w:val="14"/>
                <w:szCs w:val="14"/>
                <w:b w:val="1"/>
                <w:bCs w:val="1"/>
                <w:color w:val="auto"/>
                <w:w w:val="89"/>
              </w:rPr>
              <w:t>2009</w:t>
            </w:r>
          </w:p>
        </w:tc>
        <w:tc>
          <w:tcPr>
            <w:tcW w:w="520" w:type="dxa"/>
            <w:vAlign w:val="bottom"/>
          </w:tcPr>
          <w:p>
            <w:pPr>
              <w:spacing w:after="0"/>
              <w:rPr>
                <w:sz w:val="12"/>
                <w:szCs w:val="12"/>
                <w:color w:val="auto"/>
              </w:rPr>
            </w:pPr>
          </w:p>
        </w:tc>
        <w:tc>
          <w:tcPr>
            <w:tcW w:w="500" w:type="dxa"/>
            <w:vAlign w:val="bottom"/>
          </w:tcPr>
          <w:p>
            <w:pPr>
              <w:jc w:val="right"/>
              <w:ind w:right="35"/>
              <w:spacing w:after="0" w:line="142" w:lineRule="exact"/>
              <w:rPr>
                <w:sz w:val="20"/>
                <w:szCs w:val="20"/>
                <w:color w:val="auto"/>
              </w:rPr>
            </w:pPr>
            <w:r>
              <w:rPr>
                <w:rFonts w:ascii="Arial" w:cs="Arial" w:eastAsia="Arial" w:hAnsi="Arial"/>
                <w:sz w:val="14"/>
                <w:szCs w:val="14"/>
                <w:b w:val="1"/>
                <w:bCs w:val="1"/>
                <w:color w:val="auto"/>
              </w:rPr>
              <w:t>2010</w:t>
            </w:r>
          </w:p>
        </w:tc>
        <w:tc>
          <w:tcPr>
            <w:tcW w:w="500" w:type="dxa"/>
            <w:vAlign w:val="bottom"/>
          </w:tcPr>
          <w:p>
            <w:pPr>
              <w:spacing w:after="0"/>
              <w:rPr>
                <w:sz w:val="12"/>
                <w:szCs w:val="12"/>
                <w:color w:val="auto"/>
              </w:rPr>
            </w:pPr>
          </w:p>
        </w:tc>
        <w:tc>
          <w:tcPr>
            <w:tcW w:w="520" w:type="dxa"/>
            <w:vAlign w:val="bottom"/>
            <w:gridSpan w:val="2"/>
          </w:tcPr>
          <w:p>
            <w:pPr>
              <w:jc w:val="right"/>
              <w:ind w:right="32"/>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3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securities—taxable</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646</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604</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$1,272</w:t>
            </w:r>
          </w:p>
        </w:tc>
        <w:tc>
          <w:tcPr>
            <w:tcW w:w="500" w:type="dxa"/>
            <w:vAlign w:val="bottom"/>
            <w:shd w:val="clear" w:color="auto" w:fill="CCEEFF"/>
          </w:tcPr>
          <w:p>
            <w:pPr>
              <w:spacing w:after="0"/>
              <w:rPr>
                <w:sz w:val="18"/>
                <w:szCs w:val="18"/>
                <w:color w:val="auto"/>
              </w:rPr>
            </w:pPr>
          </w:p>
        </w:tc>
        <w:tc>
          <w:tcPr>
            <w:tcW w:w="6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90"/>
              </w:rPr>
              <w:t>$1,227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80" w:type="dxa"/>
            <w:vAlign w:val="bottom"/>
            <w:gridSpan w:val="2"/>
          </w:tcPr>
          <w:p>
            <w:pPr>
              <w:spacing w:after="0"/>
              <w:rPr>
                <w:sz w:val="20"/>
                <w:szCs w:val="20"/>
                <w:color w:val="auto"/>
              </w:rPr>
            </w:pPr>
            <w:r>
              <w:rPr>
                <w:rFonts w:ascii="Arial" w:cs="Arial" w:eastAsia="Arial" w:hAnsi="Arial"/>
                <w:sz w:val="18"/>
                <w:szCs w:val="18"/>
                <w:color w:val="auto"/>
              </w:rPr>
              <w:t>Fixed maturity securities—non-taxable</w:t>
            </w: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16</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520"/>
              <w:spacing w:after="0"/>
              <w:rPr>
                <w:sz w:val="20"/>
                <w:szCs w:val="20"/>
                <w:color w:val="auto"/>
              </w:rPr>
            </w:pPr>
            <w:r>
              <w:rPr>
                <w:rFonts w:ascii="Arial" w:cs="Arial" w:eastAsia="Arial" w:hAnsi="Arial"/>
                <w:sz w:val="18"/>
                <w:szCs w:val="18"/>
                <w:color w:val="auto"/>
              </w:rPr>
              <w:t>28</w:t>
            </w:r>
          </w:p>
        </w:tc>
        <w:tc>
          <w:tcPr>
            <w:tcW w:w="500" w:type="dxa"/>
            <w:vAlign w:val="bottom"/>
          </w:tcPr>
          <w:p>
            <w:pPr>
              <w:jc w:val="right"/>
              <w:spacing w:after="0"/>
              <w:rPr>
                <w:sz w:val="20"/>
                <w:szCs w:val="20"/>
                <w:color w:val="auto"/>
              </w:rPr>
            </w:pPr>
            <w:r>
              <w:rPr>
                <w:rFonts w:ascii="Arial" w:cs="Arial" w:eastAsia="Arial" w:hAnsi="Arial"/>
                <w:sz w:val="18"/>
                <w:szCs w:val="18"/>
                <w:color w:val="auto"/>
              </w:rPr>
              <w:t>32</w:t>
            </w:r>
          </w:p>
        </w:tc>
        <w:tc>
          <w:tcPr>
            <w:tcW w:w="500" w:type="dxa"/>
            <w:vAlign w:val="bottom"/>
          </w:tcPr>
          <w:p>
            <w:pPr>
              <w:spacing w:after="0"/>
              <w:rPr>
                <w:sz w:val="18"/>
                <w:szCs w:val="18"/>
                <w:color w:val="auto"/>
              </w:rPr>
            </w:pPr>
          </w:p>
        </w:tc>
        <w:tc>
          <w:tcPr>
            <w:tcW w:w="620" w:type="dxa"/>
            <w:vAlign w:val="bottom"/>
            <w:gridSpan w:val="3"/>
          </w:tcPr>
          <w:p>
            <w:pPr>
              <w:jc w:val="right"/>
              <w:ind w:right="10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109</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w:t>
            </w:r>
          </w:p>
        </w:tc>
        <w:tc>
          <w:tcPr>
            <w:tcW w:w="500" w:type="dxa"/>
            <w:vAlign w:val="bottom"/>
            <w:shd w:val="clear" w:color="auto" w:fill="CCEEFF"/>
          </w:tcPr>
          <w:p>
            <w:pPr>
              <w:spacing w:after="0"/>
              <w:rPr>
                <w:sz w:val="18"/>
                <w:szCs w:val="18"/>
                <w:color w:val="auto"/>
              </w:rPr>
            </w:pPr>
          </w:p>
        </w:tc>
        <w:tc>
          <w:tcPr>
            <w:tcW w:w="6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223</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680" w:type="dxa"/>
            <w:vAlign w:val="bottom"/>
            <w:gridSpan w:val="2"/>
          </w:tcPr>
          <w:p>
            <w:pPr>
              <w:spacing w:after="0"/>
              <w:rPr>
                <w:sz w:val="20"/>
                <w:szCs w:val="20"/>
                <w:color w:val="auto"/>
              </w:rPr>
            </w:pPr>
            <w:r>
              <w:rPr>
                <w:rFonts w:ascii="Arial" w:cs="Arial" w:eastAsia="Arial" w:hAnsi="Arial"/>
                <w:sz w:val="18"/>
                <w:szCs w:val="18"/>
                <w:color w:val="auto"/>
              </w:rPr>
              <w:t>Restricted commercial mortgage loans related to securitization</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680" w:type="dxa"/>
            <w:vAlign w:val="bottom"/>
            <w:gridSpan w:val="2"/>
          </w:tcPr>
          <w:p>
            <w:pPr>
              <w:ind w:left="200"/>
              <w:spacing w:after="0"/>
              <w:rPr>
                <w:sz w:val="20"/>
                <w:szCs w:val="20"/>
                <w:color w:val="auto"/>
              </w:rPr>
            </w:pPr>
            <w:r>
              <w:rPr>
                <w:rFonts w:ascii="Arial" w:cs="Arial" w:eastAsia="Arial" w:hAnsi="Arial"/>
                <w:sz w:val="18"/>
                <w:szCs w:val="18"/>
                <w:color w:val="auto"/>
              </w:rPr>
              <w:t xml:space="preserve">entities </w:t>
            </w:r>
            <w:r>
              <w:rPr>
                <w:rFonts w:ascii="Arial" w:cs="Arial" w:eastAsia="Arial" w:hAnsi="Arial"/>
                <w:sz w:val="11"/>
                <w:szCs w:val="11"/>
                <w:color w:val="auto"/>
              </w:rPr>
              <w:t>(1)</w:t>
            </w: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gridSpan w:val="2"/>
          </w:tcPr>
          <w:p>
            <w:pPr>
              <w:jc w:val="right"/>
              <w:ind w:right="60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20</w:t>
            </w:r>
          </w:p>
        </w:tc>
        <w:tc>
          <w:tcPr>
            <w:tcW w:w="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500" w:type="dxa"/>
            <w:vAlign w:val="bottom"/>
            <w:shd w:val="clear" w:color="auto" w:fill="CCEEFF"/>
          </w:tcPr>
          <w:p>
            <w:pPr>
              <w:spacing w:after="0"/>
              <w:rPr>
                <w:sz w:val="18"/>
                <w:szCs w:val="18"/>
                <w:color w:val="auto"/>
              </w:rPr>
            </w:pPr>
          </w:p>
        </w:tc>
        <w:tc>
          <w:tcPr>
            <w:tcW w:w="6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80" w:type="dxa"/>
            <w:vAlign w:val="bottom"/>
            <w:gridSpan w:val="2"/>
          </w:tcPr>
          <w:p>
            <w:pPr>
              <w:spacing w:after="0"/>
              <w:rPr>
                <w:sz w:val="20"/>
                <w:szCs w:val="20"/>
                <w:color w:val="auto"/>
              </w:rPr>
            </w:pPr>
            <w:r>
              <w:rPr>
                <w:rFonts w:ascii="Arial" w:cs="Arial" w:eastAsia="Arial" w:hAnsi="Arial"/>
                <w:sz w:val="18"/>
                <w:szCs w:val="18"/>
                <w:color w:val="auto"/>
              </w:rPr>
              <w:t>Other invested assets</w:t>
            </w: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39</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460"/>
              <w:spacing w:after="0"/>
              <w:rPr>
                <w:sz w:val="20"/>
                <w:szCs w:val="20"/>
                <w:color w:val="auto"/>
              </w:rPr>
            </w:pPr>
            <w:r>
              <w:rPr>
                <w:rFonts w:ascii="Arial" w:cs="Arial" w:eastAsia="Arial" w:hAnsi="Arial"/>
                <w:sz w:val="18"/>
                <w:szCs w:val="18"/>
                <w:color w:val="auto"/>
              </w:rPr>
              <w:t>(7)</w:t>
            </w:r>
          </w:p>
        </w:tc>
        <w:tc>
          <w:tcPr>
            <w:tcW w:w="500" w:type="dxa"/>
            <w:vAlign w:val="bottom"/>
          </w:tcPr>
          <w:p>
            <w:pPr>
              <w:jc w:val="right"/>
              <w:spacing w:after="0"/>
              <w:rPr>
                <w:sz w:val="20"/>
                <w:szCs w:val="20"/>
                <w:color w:val="auto"/>
              </w:rPr>
            </w:pPr>
            <w:r>
              <w:rPr>
                <w:rFonts w:ascii="Arial" w:cs="Arial" w:eastAsia="Arial" w:hAnsi="Arial"/>
                <w:sz w:val="18"/>
                <w:szCs w:val="18"/>
                <w:color w:val="auto"/>
              </w:rPr>
              <w:t>37</w:t>
            </w:r>
          </w:p>
        </w:tc>
        <w:tc>
          <w:tcPr>
            <w:tcW w:w="500" w:type="dxa"/>
            <w:vAlign w:val="bottom"/>
          </w:tcPr>
          <w:p>
            <w:pPr>
              <w:spacing w:after="0"/>
              <w:rPr>
                <w:sz w:val="18"/>
                <w:szCs w:val="18"/>
                <w:color w:val="auto"/>
              </w:rPr>
            </w:pPr>
          </w:p>
        </w:tc>
        <w:tc>
          <w:tcPr>
            <w:tcW w:w="620" w:type="dxa"/>
            <w:vAlign w:val="bottom"/>
            <w:gridSpan w:val="3"/>
          </w:tcPr>
          <w:p>
            <w:pPr>
              <w:jc w:val="right"/>
              <w:ind w:right="40"/>
              <w:spacing w:after="0"/>
              <w:rPr>
                <w:sz w:val="20"/>
                <w:szCs w:val="20"/>
                <w:color w:val="auto"/>
              </w:rPr>
            </w:pPr>
            <w:r>
              <w:rPr>
                <w:rFonts w:ascii="Arial" w:cs="Arial" w:eastAsia="Arial" w:hAnsi="Arial"/>
                <w:sz w:val="18"/>
                <w:szCs w:val="18"/>
                <w:color w:val="auto"/>
              </w:rPr>
              <w:t>(106)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Restricted other invested assets related to securitization entities </w:t>
            </w:r>
            <w:r>
              <w:rPr>
                <w:rFonts w:ascii="Arial" w:cs="Arial" w:eastAsia="Arial" w:hAnsi="Arial"/>
                <w:sz w:val="11"/>
                <w:szCs w:val="11"/>
                <w:color w:val="auto"/>
              </w:rPr>
              <w:t>(1)</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512"/>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80" w:type="dxa"/>
            <w:vAlign w:val="bottom"/>
            <w:gridSpan w:val="2"/>
          </w:tcPr>
          <w:p>
            <w:pPr>
              <w:spacing w:after="0"/>
              <w:rPr>
                <w:sz w:val="20"/>
                <w:szCs w:val="20"/>
                <w:color w:val="auto"/>
              </w:rPr>
            </w:pPr>
            <w:r>
              <w:rPr>
                <w:rFonts w:ascii="Arial" w:cs="Arial" w:eastAsia="Arial" w:hAnsi="Arial"/>
                <w:sz w:val="18"/>
                <w:szCs w:val="18"/>
                <w:color w:val="auto"/>
              </w:rPr>
              <w:t>Policy loans</w:t>
            </w: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28</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520"/>
              <w:spacing w:after="0"/>
              <w:rPr>
                <w:sz w:val="20"/>
                <w:szCs w:val="20"/>
                <w:color w:val="auto"/>
              </w:rPr>
            </w:pPr>
            <w:r>
              <w:rPr>
                <w:rFonts w:ascii="Arial" w:cs="Arial" w:eastAsia="Arial" w:hAnsi="Arial"/>
                <w:sz w:val="18"/>
                <w:szCs w:val="18"/>
                <w:color w:val="auto"/>
              </w:rPr>
              <w:t>52</w:t>
            </w:r>
          </w:p>
        </w:tc>
        <w:tc>
          <w:tcPr>
            <w:tcW w:w="500" w:type="dxa"/>
            <w:vAlign w:val="bottom"/>
          </w:tcPr>
          <w:p>
            <w:pPr>
              <w:jc w:val="right"/>
              <w:spacing w:after="0"/>
              <w:rPr>
                <w:sz w:val="20"/>
                <w:szCs w:val="20"/>
                <w:color w:val="auto"/>
              </w:rPr>
            </w:pPr>
            <w:r>
              <w:rPr>
                <w:rFonts w:ascii="Arial" w:cs="Arial" w:eastAsia="Arial" w:hAnsi="Arial"/>
                <w:sz w:val="18"/>
                <w:szCs w:val="18"/>
                <w:color w:val="auto"/>
              </w:rPr>
              <w:t>55</w:t>
            </w:r>
          </w:p>
        </w:tc>
        <w:tc>
          <w:tcPr>
            <w:tcW w:w="500" w:type="dxa"/>
            <w:vAlign w:val="bottom"/>
          </w:tcPr>
          <w:p>
            <w:pPr>
              <w:spacing w:after="0"/>
              <w:rPr>
                <w:sz w:val="18"/>
                <w:szCs w:val="18"/>
                <w:color w:val="auto"/>
              </w:rPr>
            </w:pPr>
          </w:p>
        </w:tc>
        <w:tc>
          <w:tcPr>
            <w:tcW w:w="620" w:type="dxa"/>
            <w:vAlign w:val="bottom"/>
            <w:gridSpan w:val="3"/>
          </w:tcPr>
          <w:p>
            <w:pPr>
              <w:jc w:val="right"/>
              <w:ind w:right="100"/>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cash equivalents and short-term investments</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14</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500" w:type="dxa"/>
            <w:vAlign w:val="bottom"/>
            <w:shd w:val="clear" w:color="auto" w:fill="CCEEFF"/>
          </w:tcPr>
          <w:p>
            <w:pPr>
              <w:spacing w:after="0"/>
              <w:rPr>
                <w:sz w:val="18"/>
                <w:szCs w:val="18"/>
                <w:color w:val="auto"/>
              </w:rPr>
            </w:pPr>
          </w:p>
        </w:tc>
        <w:tc>
          <w:tcPr>
            <w:tcW w:w="6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80" w:type="dxa"/>
            <w:vAlign w:val="bottom"/>
            <w:gridSpan w:val="2"/>
            <w:vMerge w:val="restart"/>
          </w:tcPr>
          <w:p>
            <w:pPr>
              <w:ind w:left="420"/>
              <w:spacing w:after="0"/>
              <w:rPr>
                <w:sz w:val="20"/>
                <w:szCs w:val="20"/>
                <w:color w:val="auto"/>
              </w:rPr>
            </w:pPr>
            <w:r>
              <w:rPr>
                <w:rFonts w:ascii="Arial" w:cs="Arial" w:eastAsia="Arial" w:hAnsi="Arial"/>
                <w:sz w:val="18"/>
                <w:szCs w:val="18"/>
                <w:color w:val="auto"/>
              </w:rPr>
              <w:t>Gross investment income before expenses and fees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768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847</w:t>
            </w: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gridSpan w:val="2"/>
          </w:tcPr>
          <w:p>
            <w:pPr>
              <w:jc w:val="right"/>
              <w:ind w:right="520"/>
              <w:spacing w:after="0"/>
              <w:rPr>
                <w:sz w:val="20"/>
                <w:szCs w:val="20"/>
                <w:color w:val="auto"/>
              </w:rPr>
            </w:pPr>
            <w:r>
              <w:rPr>
                <w:rFonts w:ascii="Arial" w:cs="Arial" w:eastAsia="Arial" w:hAnsi="Arial"/>
                <w:sz w:val="18"/>
                <w:szCs w:val="18"/>
                <w:color w:val="auto"/>
              </w:rPr>
              <w:t>803</w:t>
            </w:r>
          </w:p>
        </w:tc>
        <w:tc>
          <w:tcPr>
            <w:tcW w:w="500" w:type="dxa"/>
            <w:vAlign w:val="bottom"/>
          </w:tcPr>
          <w:p>
            <w:pPr>
              <w:jc w:val="right"/>
              <w:spacing w:after="0"/>
              <w:rPr>
                <w:sz w:val="20"/>
                <w:szCs w:val="20"/>
                <w:color w:val="auto"/>
              </w:rPr>
            </w:pPr>
            <w:r>
              <w:rPr>
                <w:rFonts w:ascii="Arial" w:cs="Arial" w:eastAsia="Arial" w:hAnsi="Arial"/>
                <w:sz w:val="18"/>
                <w:szCs w:val="18"/>
                <w:color w:val="auto"/>
              </w:rPr>
              <w:t>1,636</w:t>
            </w:r>
          </w:p>
        </w:tc>
        <w:tc>
          <w:tcPr>
            <w:tcW w:w="500" w:type="dxa"/>
            <w:vAlign w:val="bottom"/>
          </w:tcPr>
          <w:p>
            <w:pPr>
              <w:spacing w:after="0"/>
              <w:rPr>
                <w:sz w:val="19"/>
                <w:szCs w:val="19"/>
                <w:color w:val="auto"/>
              </w:rPr>
            </w:pPr>
          </w:p>
        </w:tc>
        <w:tc>
          <w:tcPr>
            <w:tcW w:w="620" w:type="dxa"/>
            <w:vAlign w:val="bottom"/>
            <w:gridSpan w:val="3"/>
          </w:tcPr>
          <w:p>
            <w:pPr>
              <w:jc w:val="right"/>
              <w:ind w:right="100"/>
              <w:spacing w:after="0"/>
              <w:rPr>
                <w:sz w:val="20"/>
                <w:szCs w:val="20"/>
                <w:color w:val="auto"/>
              </w:rPr>
            </w:pPr>
            <w:r>
              <w:rPr>
                <w:rFonts w:ascii="Arial" w:cs="Arial" w:eastAsia="Arial" w:hAnsi="Arial"/>
                <w:sz w:val="18"/>
                <w:szCs w:val="18"/>
                <w:color w:val="auto"/>
              </w:rPr>
              <w:t>1,535</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Expenses and fees</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(24)</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(22)</w:t>
            </w:r>
          </w:p>
        </w:tc>
        <w:tc>
          <w:tcPr>
            <w:tcW w:w="100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(48)</w:t>
            </w:r>
          </w:p>
        </w:tc>
        <w:tc>
          <w:tcPr>
            <w:tcW w:w="6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80" w:type="dxa"/>
            <w:vAlign w:val="bottom"/>
            <w:gridSpan w:val="2"/>
            <w:vMerge w:val="restart"/>
          </w:tcPr>
          <w:p>
            <w:pPr>
              <w:ind w:left="420"/>
              <w:spacing w:after="0"/>
              <w:rPr>
                <w:sz w:val="20"/>
                <w:szCs w:val="20"/>
                <w:color w:val="auto"/>
              </w:rPr>
            </w:pPr>
            <w:r>
              <w:rPr>
                <w:rFonts w:ascii="Arial" w:cs="Arial" w:eastAsia="Arial" w:hAnsi="Arial"/>
                <w:sz w:val="18"/>
                <w:szCs w:val="18"/>
                <w:color w:val="auto"/>
              </w:rPr>
              <w:t>Net investment income</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680" w:type="dxa"/>
            <w:vAlign w:val="bottom"/>
            <w:gridSpan w:val="2"/>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823</w:t>
            </w:r>
          </w:p>
        </w:tc>
        <w:tc>
          <w:tcPr>
            <w:tcW w:w="5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520"/>
              <w:spacing w:after="0"/>
              <w:rPr>
                <w:sz w:val="20"/>
                <w:szCs w:val="20"/>
                <w:color w:val="auto"/>
              </w:rPr>
            </w:pPr>
            <w:r>
              <w:rPr>
                <w:rFonts w:ascii="Arial" w:cs="Arial" w:eastAsia="Arial" w:hAnsi="Arial"/>
                <w:sz w:val="18"/>
                <w:szCs w:val="18"/>
                <w:color w:val="auto"/>
              </w:rPr>
              <w:t>781</w:t>
            </w:r>
          </w:p>
        </w:tc>
        <w:tc>
          <w:tcPr>
            <w:tcW w:w="500" w:type="dxa"/>
            <w:vAlign w:val="bottom"/>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1,588</w:t>
            </w:r>
          </w:p>
        </w:tc>
        <w:tc>
          <w:tcPr>
            <w:tcW w:w="500" w:type="dxa"/>
            <w:vAlign w:val="bottom"/>
          </w:tcPr>
          <w:p>
            <w:pPr>
              <w:spacing w:after="0"/>
              <w:rPr>
                <w:sz w:val="19"/>
                <w:szCs w:val="19"/>
                <w:color w:val="auto"/>
              </w:rPr>
            </w:pPr>
          </w:p>
        </w:tc>
        <w:tc>
          <w:tcPr>
            <w:tcW w:w="620" w:type="dxa"/>
            <w:vAlign w:val="bottom"/>
            <w:gridSpan w:val="3"/>
          </w:tcPr>
          <w:p>
            <w:pPr>
              <w:jc w:val="right"/>
              <w:ind w:right="100"/>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1,492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3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9"/>
        </w:numPr>
        <w:rPr>
          <w:rFonts w:ascii="Arial" w:cs="Arial" w:eastAsia="Arial" w:hAnsi="Arial"/>
          <w:sz w:val="22"/>
          <w:szCs w:val="22"/>
          <w:color w:val="auto"/>
          <w:vertAlign w:val="superscript"/>
        </w:rPr>
      </w:pPr>
      <w:r>
        <w:rPr>
          <w:rFonts w:ascii="Arial" w:cs="Arial" w:eastAsia="Arial" w:hAnsi="Arial"/>
          <w:sz w:val="18"/>
          <w:szCs w:val="18"/>
          <w:color w:val="auto"/>
        </w:rPr>
        <w:t>See note 7 for additional information related to consolidated securitization entities.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17"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(b) Net Investment Gains (Losses)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net investment gains (losses)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40" w:type="dxa"/>
            <w:vAlign w:val="bottom"/>
            <w:gridSpan w:val="5"/>
          </w:tcPr>
          <w:p>
            <w:pPr>
              <w:jc w:val="right"/>
              <w:ind w:right="480"/>
              <w:spacing w:after="0"/>
              <w:rPr>
                <w:sz w:val="20"/>
                <w:szCs w:val="20"/>
                <w:color w:val="auto"/>
              </w:rPr>
            </w:pPr>
            <w:r>
              <w:rPr>
                <w:rFonts w:ascii="Arial" w:cs="Arial" w:eastAsia="Arial" w:hAnsi="Arial"/>
                <w:sz w:val="14"/>
                <w:szCs w:val="14"/>
                <w:b w:val="1"/>
                <w:bCs w:val="1"/>
                <w:color w:val="auto"/>
                <w:w w:val="90"/>
              </w:rPr>
              <w:t>Three months ended</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gridSpan w:val="6"/>
          </w:tcPr>
          <w:p>
            <w:pPr>
              <w:jc w:val="right"/>
              <w:ind w:right="340"/>
              <w:spacing w:after="0"/>
              <w:rPr>
                <w:sz w:val="20"/>
                <w:szCs w:val="20"/>
                <w:color w:val="auto"/>
              </w:rPr>
            </w:pPr>
            <w:r>
              <w:rPr>
                <w:rFonts w:ascii="Arial" w:cs="Arial" w:eastAsia="Arial" w:hAnsi="Arial"/>
                <w:sz w:val="14"/>
                <w:szCs w:val="14"/>
                <w:b w:val="1"/>
                <w:bCs w:val="1"/>
                <w:color w:val="auto"/>
                <w:w w:val="92"/>
              </w:rPr>
              <w:t>Six months ended</w:t>
            </w:r>
          </w:p>
        </w:tc>
        <w:tc>
          <w:tcPr>
            <w:tcW w:w="0" w:type="dxa"/>
            <w:vAlign w:val="bottom"/>
          </w:tcPr>
          <w:p>
            <w:pPr>
              <w:spacing w:after="0"/>
              <w:rPr>
                <w:sz w:val="1"/>
                <w:szCs w:val="1"/>
                <w:color w:val="auto"/>
              </w:rPr>
            </w:pPr>
          </w:p>
        </w:tc>
      </w:tr>
      <w:tr>
        <w:trPr>
          <w:trHeight w:val="161"/>
        </w:trPr>
        <w:tc>
          <w:tcPr>
            <w:tcW w:w="74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3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June 30,</w:t>
            </w: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4"/>
                <w:szCs w:val="14"/>
                <w:b w:val="1"/>
                <w:bCs w:val="1"/>
                <w:color w:val="auto"/>
                <w:w w:val="85"/>
              </w:rPr>
              <w:t>June 30,</w:t>
            </w:r>
          </w:p>
        </w:tc>
        <w:tc>
          <w:tcPr>
            <w:tcW w:w="4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440" w:type="dxa"/>
            <w:vAlign w:val="bottom"/>
            <w:gridSpan w:val="3"/>
            <w:vMerge w:val="continue"/>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55"/>
              <w:spacing w:after="0" w:line="142" w:lineRule="exact"/>
              <w:rPr>
                <w:sz w:val="20"/>
                <w:szCs w:val="20"/>
                <w:color w:val="auto"/>
              </w:rPr>
            </w:pPr>
            <w:r>
              <w:rPr>
                <w:rFonts w:ascii="Arial" w:cs="Arial" w:eastAsia="Arial" w:hAnsi="Arial"/>
                <w:sz w:val="14"/>
                <w:szCs w:val="14"/>
                <w:b w:val="1"/>
                <w:bCs w:val="1"/>
                <w:color w:val="auto"/>
                <w:w w:val="83"/>
              </w:rPr>
              <w:t>2010</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54"/>
              <w:spacing w:after="0" w:line="142" w:lineRule="exact"/>
              <w:rPr>
                <w:sz w:val="20"/>
                <w:szCs w:val="20"/>
                <w:color w:val="auto"/>
              </w:rPr>
            </w:pPr>
            <w:r>
              <w:rPr>
                <w:rFonts w:ascii="Arial" w:cs="Arial" w:eastAsia="Arial" w:hAnsi="Arial"/>
                <w:sz w:val="14"/>
                <w:szCs w:val="14"/>
                <w:b w:val="1"/>
                <w:bCs w:val="1"/>
                <w:color w:val="auto"/>
                <w:w w:val="83"/>
              </w:rPr>
              <w:t>2009</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2010</w:t>
            </w: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ind w:right="54"/>
              <w:spacing w:after="0" w:line="142" w:lineRule="exact"/>
              <w:rPr>
                <w:sz w:val="20"/>
                <w:szCs w:val="20"/>
                <w:color w:val="auto"/>
              </w:rPr>
            </w:pPr>
            <w:r>
              <w:rPr>
                <w:rFonts w:ascii="Arial" w:cs="Arial" w:eastAsia="Arial" w:hAnsi="Arial"/>
                <w:sz w:val="14"/>
                <w:szCs w:val="14"/>
                <w:b w:val="1"/>
                <w:bCs w:val="1"/>
                <w:color w:val="auto"/>
                <w:w w:val="96"/>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ind w:left="420"/>
              <w:spacing w:after="0"/>
              <w:rPr>
                <w:sz w:val="20"/>
                <w:szCs w:val="20"/>
                <w:color w:val="auto"/>
              </w:rPr>
            </w:pPr>
            <w:r>
              <w:rPr>
                <w:rFonts w:ascii="Arial" w:cs="Arial" w:eastAsia="Arial" w:hAnsi="Arial"/>
                <w:sz w:val="18"/>
                <w:szCs w:val="18"/>
                <w:color w:val="auto"/>
              </w:rPr>
              <w:t>Realized gains on sale</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53</w:t>
            </w:r>
          </w:p>
        </w:tc>
        <w:tc>
          <w:tcPr>
            <w:tcW w:w="5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280"/>
              <w:spacing w:after="0"/>
              <w:rPr>
                <w:sz w:val="20"/>
                <w:szCs w:val="20"/>
                <w:color w:val="auto"/>
              </w:rPr>
            </w:pPr>
            <w:r>
              <w:rPr>
                <w:rFonts w:ascii="Arial" w:cs="Arial" w:eastAsia="Arial" w:hAnsi="Arial"/>
                <w:sz w:val="18"/>
                <w:szCs w:val="18"/>
                <w:color w:val="auto"/>
              </w:rPr>
              <w:t>21</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380" w:type="dxa"/>
            <w:vAlign w:val="bottom"/>
            <w:gridSpan w:val="2"/>
          </w:tcPr>
          <w:p>
            <w:pPr>
              <w:jc w:val="right"/>
              <w:ind w:right="60"/>
              <w:spacing w:after="0"/>
              <w:rPr>
                <w:sz w:val="20"/>
                <w:szCs w:val="20"/>
                <w:color w:val="auto"/>
              </w:rPr>
            </w:pPr>
            <w:r>
              <w:rPr>
                <w:rFonts w:ascii="Arial" w:cs="Arial" w:eastAsia="Arial" w:hAnsi="Arial"/>
                <w:sz w:val="18"/>
                <w:szCs w:val="18"/>
                <w:color w:val="auto"/>
              </w:rPr>
              <w:t>76</w:t>
            </w:r>
          </w:p>
        </w:tc>
        <w:tc>
          <w:tcPr>
            <w:tcW w:w="5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Realized losses on sale</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(36)</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Impairments:</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other-than-temporary impairments</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(24)</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(476)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5"/>
              </w:rPr>
              <w:t>(101)</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7"/>
              </w:rPr>
              <w:t>(1,073)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ind w:left="420"/>
              <w:spacing w:after="0"/>
              <w:rPr>
                <w:sz w:val="20"/>
                <w:szCs w:val="20"/>
                <w:color w:val="auto"/>
              </w:rPr>
            </w:pPr>
            <w:r>
              <w:rPr>
                <w:rFonts w:ascii="Arial" w:cs="Arial" w:eastAsia="Arial" w:hAnsi="Arial"/>
                <w:sz w:val="18"/>
                <w:szCs w:val="18"/>
                <w:color w:val="auto"/>
                <w:w w:val="92"/>
              </w:rPr>
              <w:t>Portion of other-than-temporary impairments recognized in other comprehensive income (loss)</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72"/>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18"/>
                <w:szCs w:val="18"/>
                <w:color w:val="auto"/>
              </w:rPr>
            </w:pPr>
          </w:p>
        </w:tc>
        <w:tc>
          <w:tcPr>
            <w:tcW w:w="700" w:type="dxa"/>
            <w:vAlign w:val="bottom"/>
            <w:gridSpan w:val="2"/>
          </w:tcPr>
          <w:p>
            <w:pPr>
              <w:jc w:val="right"/>
              <w:ind w:right="280"/>
              <w:spacing w:after="0"/>
              <w:rPr>
                <w:sz w:val="20"/>
                <w:szCs w:val="20"/>
                <w:color w:val="auto"/>
              </w:rPr>
            </w:pPr>
            <w:r>
              <w:rPr>
                <w:rFonts w:ascii="Arial" w:cs="Arial" w:eastAsia="Arial" w:hAnsi="Arial"/>
                <w:sz w:val="18"/>
                <w:szCs w:val="18"/>
                <w:color w:val="auto"/>
              </w:rPr>
              <w:t>324</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324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Net other-than-temporary impairments</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(51)</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5"/>
              </w:rPr>
              <w:t>(131)</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(749)</w:t>
            </w:r>
          </w:p>
        </w:tc>
        <w:tc>
          <w:tcPr>
            <w:tcW w:w="0" w:type="dxa"/>
            <w:vAlign w:val="bottom"/>
          </w:tcPr>
          <w:p>
            <w:pPr>
              <w:spacing w:after="0"/>
              <w:rPr>
                <w:sz w:val="1"/>
                <w:szCs w:val="1"/>
                <w:color w:val="auto"/>
              </w:rPr>
            </w:pPr>
          </w:p>
        </w:tc>
      </w:tr>
      <w:tr>
        <w:trPr>
          <w:trHeight w:val="20"/>
        </w:trPr>
        <w:tc>
          <w:tcPr>
            <w:tcW w:w="7440" w:type="dxa"/>
            <w:vAlign w:val="bottom"/>
            <w:gridSpan w:val="3"/>
            <w:vMerge w:val="restart"/>
          </w:tcPr>
          <w:p>
            <w:pPr>
              <w:spacing w:after="0"/>
              <w:rPr>
                <w:sz w:val="20"/>
                <w:szCs w:val="20"/>
                <w:color w:val="auto"/>
              </w:rPr>
            </w:pPr>
            <w:r>
              <w:rPr>
                <w:rFonts w:ascii="Arial" w:cs="Arial" w:eastAsia="Arial" w:hAnsi="Arial"/>
                <w:sz w:val="18"/>
                <w:szCs w:val="18"/>
                <w:color w:val="auto"/>
              </w:rPr>
              <w:t>Trading securities</w:t>
            </w: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440" w:type="dxa"/>
            <w:vAlign w:val="bottom"/>
            <w:gridSpan w:val="3"/>
            <w:vMerge w:val="continue"/>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gridSpan w:val="2"/>
          </w:tcPr>
          <w:p>
            <w:pPr>
              <w:jc w:val="right"/>
              <w:ind w:right="372"/>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19"/>
                <w:szCs w:val="19"/>
                <w:color w:val="auto"/>
              </w:rPr>
            </w:pPr>
          </w:p>
        </w:tc>
        <w:tc>
          <w:tcPr>
            <w:tcW w:w="700" w:type="dxa"/>
            <w:vAlign w:val="bottom"/>
            <w:gridSpan w:val="2"/>
          </w:tcPr>
          <w:p>
            <w:pPr>
              <w:jc w:val="right"/>
              <w:ind w:right="280"/>
              <w:spacing w:after="0"/>
              <w:rPr>
                <w:sz w:val="20"/>
                <w:szCs w:val="20"/>
                <w:color w:val="auto"/>
              </w:rPr>
            </w:pPr>
            <w:r>
              <w:rPr>
                <w:rFonts w:ascii="Arial" w:cs="Arial" w:eastAsia="Arial" w:hAnsi="Arial"/>
                <w:sz w:val="18"/>
                <w:szCs w:val="18"/>
                <w:color w:val="auto"/>
              </w:rPr>
              <w:t>11</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(18)</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 xml:space="preserve">Net gains (losses) related to securitization entities </w:t>
            </w:r>
            <w:r>
              <w:rPr>
                <w:rFonts w:ascii="Arial" w:cs="Arial" w:eastAsia="Arial" w:hAnsi="Arial"/>
                <w:sz w:val="11"/>
                <w:szCs w:val="11"/>
                <w:color w:val="auto"/>
              </w:rPr>
              <w:t>(1)</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72"/>
              <w:spacing w:after="0"/>
              <w:rPr>
                <w:sz w:val="20"/>
                <w:szCs w:val="20"/>
                <w:color w:val="auto"/>
              </w:rPr>
            </w:pPr>
            <w:r>
              <w:rPr>
                <w:rFonts w:ascii="Arial" w:cs="Arial" w:eastAsia="Arial" w:hAnsi="Arial"/>
                <w:sz w:val="18"/>
                <w:szCs w:val="18"/>
                <w:color w:val="auto"/>
              </w:rPr>
              <w:t>(47)</w:t>
            </w:r>
          </w:p>
        </w:tc>
        <w:tc>
          <w:tcPr>
            <w:tcW w:w="120" w:type="dxa"/>
            <w:vAlign w:val="bottom"/>
          </w:tcPr>
          <w:p>
            <w:pPr>
              <w:spacing w:after="0"/>
              <w:rPr>
                <w:sz w:val="18"/>
                <w:szCs w:val="18"/>
                <w:color w:val="auto"/>
              </w:rPr>
            </w:pPr>
          </w:p>
        </w:tc>
        <w:tc>
          <w:tcPr>
            <w:tcW w:w="70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(36)</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Derivative instruments </w:t>
            </w:r>
            <w:r>
              <w:rPr>
                <w:rFonts w:ascii="Arial" w:cs="Arial" w:eastAsia="Arial" w:hAnsi="Arial"/>
                <w:sz w:val="11"/>
                <w:szCs w:val="11"/>
                <w:color w:val="auto"/>
              </w:rPr>
              <w:t>(2)</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(38)</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114</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Other</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2</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280"/>
              <w:spacing w:after="0"/>
              <w:rPr>
                <w:sz w:val="20"/>
                <w:szCs w:val="20"/>
                <w:color w:val="auto"/>
              </w:rPr>
            </w:pPr>
            <w:r>
              <w:rPr>
                <w:rFonts w:ascii="Arial" w:cs="Arial" w:eastAsia="Arial" w:hAnsi="Arial"/>
                <w:sz w:val="18"/>
                <w:szCs w:val="18"/>
                <w:color w:val="auto"/>
              </w:rPr>
              <w:t>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gridSpan w:val="2"/>
          </w:tcPr>
          <w:p>
            <w:pPr>
              <w:jc w:val="right"/>
              <w:ind w:right="60"/>
              <w:spacing w:after="0"/>
              <w:rPr>
                <w:sz w:val="20"/>
                <w:szCs w:val="20"/>
                <w:color w:val="auto"/>
              </w:rPr>
            </w:pPr>
            <w:r>
              <w:rPr>
                <w:rFonts w:ascii="Arial" w:cs="Arial" w:eastAsia="Arial" w:hAnsi="Arial"/>
                <w:sz w:val="18"/>
                <w:szCs w:val="18"/>
                <w:color w:val="auto"/>
              </w:rPr>
              <w:t>22</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Net investment gains (losses)</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(139)</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5"/>
              </w:rPr>
              <w:t>(209)</w:t>
            </w:r>
          </w:p>
        </w:tc>
        <w:tc>
          <w:tcPr>
            <w:tcW w:w="5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0"/>
        </w:numPr>
        <w:rPr>
          <w:rFonts w:ascii="Arial" w:cs="Arial" w:eastAsia="Arial" w:hAnsi="Arial"/>
          <w:sz w:val="22"/>
          <w:szCs w:val="22"/>
          <w:color w:val="auto"/>
          <w:vertAlign w:val="superscript"/>
        </w:rPr>
      </w:pPr>
      <w:r>
        <w:rPr>
          <w:rFonts w:ascii="Arial" w:cs="Arial" w:eastAsia="Arial" w:hAnsi="Arial"/>
          <w:sz w:val="18"/>
          <w:szCs w:val="18"/>
          <w:color w:val="auto"/>
        </w:rPr>
        <w:t>See note 7 for additional information related to consolidated securitization entities.</w:t>
      </w:r>
    </w:p>
    <w:p>
      <w:pPr>
        <w:spacing w:after="0" w:line="7"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10"/>
        </w:numPr>
        <w:rPr>
          <w:rFonts w:ascii="Arial" w:cs="Arial" w:eastAsia="Arial" w:hAnsi="Arial"/>
          <w:sz w:val="22"/>
          <w:szCs w:val="22"/>
          <w:color w:val="auto"/>
          <w:vertAlign w:val="superscript"/>
        </w:rPr>
      </w:pPr>
      <w:r>
        <w:rPr>
          <w:rFonts w:ascii="Arial" w:cs="Arial" w:eastAsia="Arial" w:hAnsi="Arial"/>
          <w:sz w:val="18"/>
          <w:szCs w:val="18"/>
          <w:color w:val="auto"/>
        </w:rPr>
        <w:t>See note 5 for additional information on the impact of derivative instruments included in net investment gains (losses).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-297815</wp:posOffset>
            </wp:positionV>
            <wp:extent cx="72898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459"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The aggregate fair value of securities sold at a loss during the three months ended June 30, 2010 and 2009 was $858 million and $367 million, respectively, which was approximately 96% and 89%, respectively, of book value. The aggregate fair value of securities sold at a loss during the six months ended June 30, 2010 and 2009 was $1,416 million and $737 million, respectively, which was approximately 95% and 87%, respectively, of book value.</w:t>
      </w:r>
    </w:p>
    <w:p>
      <w:pPr>
        <w:spacing w:after="0" w:line="107" w:lineRule="exact"/>
        <w:rPr>
          <w:sz w:val="20"/>
          <w:szCs w:val="20"/>
          <w:color w:val="auto"/>
        </w:rPr>
      </w:pPr>
    </w:p>
    <w:p>
      <w:pPr>
        <w:ind w:right="300" w:firstLine="456"/>
        <w:spacing w:after="0" w:line="332" w:lineRule="auto"/>
        <w:rPr>
          <w:sz w:val="20"/>
          <w:szCs w:val="20"/>
          <w:color w:val="auto"/>
        </w:rPr>
      </w:pPr>
      <w:r>
        <w:rPr>
          <w:rFonts w:ascii="Arial" w:cs="Arial" w:eastAsia="Arial" w:hAnsi="Arial"/>
          <w:sz w:val="16"/>
          <w:szCs w:val="16"/>
          <w:color w:val="auto"/>
        </w:rPr>
        <w:t>The following represents the activity for credit losses recognized in net income (loss) on debt securities where an other-than-temporary impairment was identified and a portion of other-than-temporary impairments was included in other comprehensive income (loss) (“OCI”) as of the periods indicated:</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44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60" w:type="dxa"/>
            <w:vAlign w:val="bottom"/>
            <w:gridSpan w:val="7"/>
          </w:tcPr>
          <w:p>
            <w:pPr>
              <w:jc w:val="center"/>
              <w:ind w:right="380"/>
              <w:spacing w:after="0"/>
              <w:rPr>
                <w:sz w:val="20"/>
                <w:szCs w:val="20"/>
                <w:color w:val="auto"/>
              </w:rPr>
            </w:pPr>
            <w:r>
              <w:rPr>
                <w:rFonts w:ascii="Arial" w:cs="Arial" w:eastAsia="Arial" w:hAnsi="Arial"/>
                <w:sz w:val="14"/>
                <w:szCs w:val="14"/>
                <w:b w:val="1"/>
                <w:bCs w:val="1"/>
                <w:color w:val="auto"/>
                <w:w w:val="87"/>
              </w:rPr>
              <w:t>As of or for the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44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8"/>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three months ended</w:t>
            </w:r>
          </w:p>
        </w:tc>
        <w:tc>
          <w:tcPr>
            <w:tcW w:w="0" w:type="dxa"/>
            <w:vAlign w:val="bottom"/>
          </w:tcPr>
          <w:p>
            <w:pPr>
              <w:spacing w:after="0"/>
              <w:rPr>
                <w:sz w:val="1"/>
                <w:szCs w:val="1"/>
                <w:color w:val="auto"/>
              </w:rPr>
            </w:pPr>
          </w:p>
        </w:tc>
      </w:tr>
      <w:tr>
        <w:trPr>
          <w:trHeight w:val="161"/>
        </w:trPr>
        <w:tc>
          <w:tcPr>
            <w:tcW w:w="77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9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gridSpan w:val="2"/>
          </w:tcPr>
          <w:p>
            <w:pPr>
              <w:jc w:val="center"/>
              <w:ind w:right="20"/>
              <w:spacing w:after="0"/>
              <w:rPr>
                <w:sz w:val="20"/>
                <w:szCs w:val="20"/>
                <w:color w:val="auto"/>
              </w:rPr>
            </w:pPr>
            <w:r>
              <w:rPr>
                <w:rFonts w:ascii="Arial" w:cs="Arial" w:eastAsia="Arial" w:hAnsi="Arial"/>
                <w:sz w:val="14"/>
                <w:szCs w:val="14"/>
                <w:b w:val="1"/>
                <w:bCs w:val="1"/>
                <w:color w:val="auto"/>
                <w:w w:val="85"/>
              </w:rPr>
              <w:t>June 30,</w:t>
            </w:r>
          </w:p>
        </w:tc>
        <w:tc>
          <w:tcPr>
            <w:tcW w:w="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780" w:type="dxa"/>
            <w:vAlign w:val="bottom"/>
            <w:gridSpan w:val="3"/>
            <w:vMerge w:val="continue"/>
          </w:tcPr>
          <w:p>
            <w:pPr>
              <w:spacing w:after="0"/>
              <w:rPr>
                <w:sz w:val="12"/>
                <w:szCs w:val="12"/>
                <w:color w:val="auto"/>
              </w:rPr>
            </w:pPr>
          </w:p>
        </w:tc>
        <w:tc>
          <w:tcPr>
            <w:tcW w:w="1920" w:type="dxa"/>
            <w:vAlign w:val="bottom"/>
          </w:tcPr>
          <w:p>
            <w:pPr>
              <w:spacing w:after="0"/>
              <w:rPr>
                <w:sz w:val="12"/>
                <w:szCs w:val="12"/>
                <w:color w:val="auto"/>
              </w:rPr>
            </w:pPr>
          </w:p>
        </w:tc>
        <w:tc>
          <w:tcPr>
            <w:tcW w:w="540" w:type="dxa"/>
            <w:vAlign w:val="bottom"/>
            <w:gridSpan w:val="3"/>
          </w:tcPr>
          <w:p>
            <w:pPr>
              <w:jc w:val="right"/>
              <w:ind w:right="57"/>
              <w:spacing w:after="0" w:line="142" w:lineRule="exact"/>
              <w:rPr>
                <w:sz w:val="20"/>
                <w:szCs w:val="20"/>
                <w:color w:val="auto"/>
              </w:rPr>
            </w:pPr>
            <w:r>
              <w:rPr>
                <w:rFonts w:ascii="Arial" w:cs="Arial" w:eastAsia="Arial" w:hAnsi="Arial"/>
                <w:sz w:val="14"/>
                <w:szCs w:val="14"/>
                <w:b w:val="1"/>
                <w:bCs w:val="1"/>
                <w:color w:val="auto"/>
              </w:rPr>
              <w:t>2010</w:t>
            </w: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ind w:right="55"/>
              <w:spacing w:after="0" w:line="142" w:lineRule="exact"/>
              <w:rPr>
                <w:sz w:val="20"/>
                <w:szCs w:val="20"/>
                <w:color w:val="auto"/>
              </w:rPr>
            </w:pPr>
            <w:r>
              <w:rPr>
                <w:rFonts w:ascii="Arial" w:cs="Arial" w:eastAsia="Arial" w:hAnsi="Arial"/>
                <w:sz w:val="14"/>
                <w:szCs w:val="14"/>
                <w:b w:val="1"/>
                <w:bCs w:val="1"/>
                <w:color w:val="auto"/>
                <w:w w:val="83"/>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4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Cumulative credit loss beginning balance</w:t>
            </w:r>
          </w:p>
        </w:tc>
        <w:tc>
          <w:tcPr>
            <w:tcW w:w="24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$ 1,025</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ind w:right="40"/>
              <w:spacing w:after="0"/>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tcPr>
          <w:p>
            <w:pPr>
              <w:spacing w:after="0"/>
              <w:rPr>
                <w:sz w:val="20"/>
                <w:szCs w:val="20"/>
                <w:color w:val="auto"/>
              </w:rPr>
            </w:pPr>
            <w:r>
              <w:rPr>
                <w:rFonts w:ascii="Arial" w:cs="Arial" w:eastAsia="Arial" w:hAnsi="Arial"/>
                <w:sz w:val="18"/>
                <w:szCs w:val="18"/>
                <w:color w:val="auto"/>
              </w:rPr>
              <w:t>Impact upon adoption of new accounting guidance</w:t>
            </w:r>
          </w:p>
        </w:tc>
        <w:tc>
          <w:tcPr>
            <w:tcW w:w="1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1,204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Additions:</w:t>
            </w:r>
          </w:p>
        </w:tc>
        <w:tc>
          <w:tcPr>
            <w:tcW w:w="1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tcPr>
          <w:p>
            <w:pPr>
              <w:ind w:left="420"/>
              <w:spacing w:after="0"/>
              <w:rPr>
                <w:sz w:val="20"/>
                <w:szCs w:val="20"/>
                <w:color w:val="auto"/>
              </w:rPr>
            </w:pPr>
            <w:r>
              <w:rPr>
                <w:rFonts w:ascii="Arial" w:cs="Arial" w:eastAsia="Arial" w:hAnsi="Arial"/>
                <w:sz w:val="18"/>
                <w:szCs w:val="18"/>
                <w:color w:val="auto"/>
              </w:rPr>
              <w:t>Other-than-temporary impairments not previously recognized</w:t>
            </w:r>
          </w:p>
        </w:tc>
        <w:tc>
          <w:tcPr>
            <w:tcW w:w="1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gridSpan w:val="2"/>
          </w:tcPr>
          <w:p>
            <w:pPr>
              <w:jc w:val="right"/>
              <w:ind w:right="52"/>
              <w:spacing w:after="0"/>
              <w:rPr>
                <w:sz w:val="20"/>
                <w:szCs w:val="20"/>
                <w:color w:val="auto"/>
              </w:rPr>
            </w:pPr>
            <w:r>
              <w:rPr>
                <w:rFonts w:ascii="Arial" w:cs="Arial" w:eastAsia="Arial" w:hAnsi="Arial"/>
                <w:sz w:val="18"/>
                <w:szCs w:val="18"/>
                <w:color w:val="auto"/>
              </w:rPr>
              <w:t>11</w:t>
            </w:r>
          </w:p>
        </w:tc>
        <w:tc>
          <w:tcPr>
            <w:tcW w:w="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Increases related to other-than-temporary impairments previously recognized</w:t>
            </w:r>
          </w:p>
        </w:tc>
        <w:tc>
          <w:tcPr>
            <w:tcW w:w="1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tcPr>
          <w:p>
            <w:pPr>
              <w:spacing w:after="0"/>
              <w:rPr>
                <w:sz w:val="20"/>
                <w:szCs w:val="20"/>
                <w:color w:val="auto"/>
              </w:rPr>
            </w:pPr>
            <w:r>
              <w:rPr>
                <w:rFonts w:ascii="Arial" w:cs="Arial" w:eastAsia="Arial" w:hAnsi="Arial"/>
                <w:sz w:val="18"/>
                <w:szCs w:val="18"/>
                <w:color w:val="auto"/>
              </w:rPr>
              <w:t>Reductions:</w:t>
            </w:r>
          </w:p>
        </w:tc>
        <w:tc>
          <w:tcPr>
            <w:tcW w:w="1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Securities sold, paid down or disposed</w:t>
            </w:r>
          </w:p>
        </w:tc>
        <w:tc>
          <w:tcPr>
            <w:tcW w:w="1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(90)</w:t>
            </w:r>
          </w:p>
        </w:tc>
        <w:tc>
          <w:tcPr>
            <w:tcW w:w="4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760" w:type="dxa"/>
            <w:vAlign w:val="bottom"/>
            <w:gridSpan w:val="2"/>
          </w:tcPr>
          <w:p>
            <w:pPr>
              <w:ind w:left="420"/>
              <w:spacing w:after="0"/>
              <w:rPr>
                <w:sz w:val="20"/>
                <w:szCs w:val="20"/>
                <w:color w:val="auto"/>
              </w:rPr>
            </w:pPr>
            <w:r>
              <w:rPr>
                <w:rFonts w:ascii="Arial" w:cs="Arial" w:eastAsia="Arial" w:hAnsi="Arial"/>
                <w:sz w:val="18"/>
                <w:szCs w:val="18"/>
                <w:color w:val="auto"/>
              </w:rPr>
              <w:t>Securities where there is intent to sell</w:t>
            </w:r>
          </w:p>
        </w:tc>
        <w:tc>
          <w:tcPr>
            <w:tcW w:w="19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540" w:type="dxa"/>
            <w:vAlign w:val="bottom"/>
            <w:gridSpan w:val="2"/>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Cumulative credit loss ending balance</w:t>
            </w:r>
          </w:p>
        </w:tc>
        <w:tc>
          <w:tcPr>
            <w:tcW w:w="20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978</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ind w:right="40"/>
              <w:spacing w:after="0"/>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1,085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4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2"/>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64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60" w:type="dxa"/>
            <w:vAlign w:val="bottom"/>
            <w:gridSpan w:val="7"/>
          </w:tcPr>
          <w:p>
            <w:pPr>
              <w:jc w:val="center"/>
              <w:ind w:right="200"/>
              <w:spacing w:after="0"/>
              <w:rPr>
                <w:sz w:val="20"/>
                <w:szCs w:val="20"/>
                <w:color w:val="auto"/>
              </w:rPr>
            </w:pPr>
            <w:r>
              <w:rPr>
                <w:rFonts w:ascii="Arial" w:cs="Arial" w:eastAsia="Arial" w:hAnsi="Arial"/>
                <w:sz w:val="14"/>
                <w:szCs w:val="14"/>
                <w:b w:val="1"/>
                <w:bCs w:val="1"/>
                <w:color w:val="auto"/>
                <w:w w:val="85"/>
              </w:rPr>
              <w:t>As of or for the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44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gridSpan w:val="7"/>
          </w:tcPr>
          <w:p>
            <w:pPr>
              <w:jc w:val="center"/>
              <w:ind w:right="200"/>
              <w:spacing w:after="0" w:line="149" w:lineRule="exact"/>
              <w:rPr>
                <w:sz w:val="20"/>
                <w:szCs w:val="20"/>
                <w:color w:val="auto"/>
              </w:rPr>
            </w:pPr>
            <w:r>
              <w:rPr>
                <w:rFonts w:ascii="Arial" w:cs="Arial" w:eastAsia="Arial" w:hAnsi="Arial"/>
                <w:sz w:val="14"/>
                <w:szCs w:val="14"/>
                <w:b w:val="1"/>
                <w:bCs w:val="1"/>
                <w:color w:val="auto"/>
                <w:w w:val="82"/>
              </w:rPr>
              <w:t>six months ended</w:t>
            </w:r>
          </w:p>
        </w:tc>
        <w:tc>
          <w:tcPr>
            <w:tcW w:w="0" w:type="dxa"/>
            <w:vAlign w:val="bottom"/>
          </w:tcPr>
          <w:p>
            <w:pPr>
              <w:spacing w:after="0"/>
              <w:rPr>
                <w:sz w:val="1"/>
                <w:szCs w:val="1"/>
                <w:color w:val="auto"/>
              </w:rPr>
            </w:pPr>
          </w:p>
        </w:tc>
      </w:tr>
      <w:tr>
        <w:trPr>
          <w:trHeight w:val="161"/>
        </w:trPr>
        <w:tc>
          <w:tcPr>
            <w:tcW w:w="77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5"/>
              </w:rPr>
              <w:t>June 30,</w:t>
            </w:r>
          </w:p>
        </w:tc>
        <w:tc>
          <w:tcPr>
            <w:tcW w:w="4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780" w:type="dxa"/>
            <w:vAlign w:val="bottom"/>
            <w:gridSpan w:val="3"/>
            <w:vMerge w:val="continue"/>
          </w:tcPr>
          <w:p>
            <w:pPr>
              <w:spacing w:after="0"/>
              <w:rPr>
                <w:sz w:val="12"/>
                <w:szCs w:val="12"/>
                <w:color w:val="auto"/>
              </w:rPr>
            </w:pPr>
          </w:p>
        </w:tc>
        <w:tc>
          <w:tcPr>
            <w:tcW w:w="1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rPr>
              <w:t>2010</w:t>
            </w: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ind w:right="35"/>
              <w:spacing w:after="0" w:line="142" w:lineRule="exact"/>
              <w:rPr>
                <w:sz w:val="20"/>
                <w:szCs w:val="20"/>
                <w:color w:val="auto"/>
              </w:rPr>
            </w:pPr>
            <w:r>
              <w:rPr>
                <w:rFonts w:ascii="Arial" w:cs="Arial" w:eastAsia="Arial" w:hAnsi="Arial"/>
                <w:sz w:val="14"/>
                <w:szCs w:val="14"/>
                <w:b w:val="1"/>
                <w:bCs w:val="1"/>
                <w:color w:val="auto"/>
                <w:w w:val="89"/>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4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Cumulative credit loss beginning balance</w:t>
            </w:r>
          </w:p>
        </w:tc>
        <w:tc>
          <w:tcPr>
            <w:tcW w:w="3000" w:type="dxa"/>
            <w:vAlign w:val="bottom"/>
            <w:gridSpan w:val="6"/>
            <w:shd w:val="clear" w:color="auto" w:fill="CCEEFF"/>
          </w:tcPr>
          <w:p>
            <w:pPr>
              <w:jc w:val="right"/>
              <w:ind w:right="420"/>
              <w:spacing w:after="0"/>
              <w:rPr>
                <w:sz w:val="20"/>
                <w:szCs w:val="20"/>
                <w:color w:val="auto"/>
              </w:rPr>
            </w:pPr>
            <w:r>
              <w:rPr>
                <w:rFonts w:ascii="Arial" w:cs="Arial" w:eastAsia="Arial" w:hAnsi="Arial"/>
                <w:sz w:val="18"/>
                <w:szCs w:val="18"/>
                <w:color w:val="auto"/>
              </w:rPr>
              <w:t>$1,059</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tcPr>
          <w:p>
            <w:pPr>
              <w:spacing w:after="0"/>
              <w:rPr>
                <w:sz w:val="20"/>
                <w:szCs w:val="20"/>
                <w:color w:val="auto"/>
              </w:rPr>
            </w:pPr>
            <w:r>
              <w:rPr>
                <w:rFonts w:ascii="Arial" w:cs="Arial" w:eastAsia="Arial" w:hAnsi="Arial"/>
                <w:sz w:val="18"/>
                <w:szCs w:val="18"/>
                <w:color w:val="auto"/>
              </w:rPr>
              <w:t>Impact upon adoption of new accounting guidance</w:t>
            </w:r>
          </w:p>
        </w:tc>
        <w:tc>
          <w:tcPr>
            <w:tcW w:w="1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3"/>
          </w:tcPr>
          <w:p>
            <w:pPr>
              <w:jc w:val="right"/>
              <w:ind w:right="5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1,204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Additions:</w:t>
            </w:r>
          </w:p>
        </w:tc>
        <w:tc>
          <w:tcPr>
            <w:tcW w:w="1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tcPr>
          <w:p>
            <w:pPr>
              <w:ind w:left="420"/>
              <w:spacing w:after="0"/>
              <w:rPr>
                <w:sz w:val="20"/>
                <w:szCs w:val="20"/>
                <w:color w:val="auto"/>
              </w:rPr>
            </w:pPr>
            <w:r>
              <w:rPr>
                <w:rFonts w:ascii="Arial" w:cs="Arial" w:eastAsia="Arial" w:hAnsi="Arial"/>
                <w:sz w:val="18"/>
                <w:szCs w:val="18"/>
                <w:color w:val="auto"/>
              </w:rPr>
              <w:t>Other-than-temporary impairments not previously recognized</w:t>
            </w:r>
          </w:p>
        </w:tc>
        <w:tc>
          <w:tcPr>
            <w:tcW w:w="1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3"/>
          </w:tcPr>
          <w:p>
            <w:pPr>
              <w:jc w:val="right"/>
              <w:ind w:right="420"/>
              <w:spacing w:after="0"/>
              <w:rPr>
                <w:sz w:val="20"/>
                <w:szCs w:val="20"/>
                <w:color w:val="auto"/>
              </w:rPr>
            </w:pPr>
            <w:r>
              <w:rPr>
                <w:rFonts w:ascii="Arial" w:cs="Arial" w:eastAsia="Arial" w:hAnsi="Arial"/>
                <w:sz w:val="18"/>
                <w:szCs w:val="18"/>
                <w:color w:val="auto"/>
              </w:rPr>
              <w:t>31</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Increases related to other-than-temporary impairments previously recognized</w:t>
            </w:r>
          </w:p>
        </w:tc>
        <w:tc>
          <w:tcPr>
            <w:tcW w:w="1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78</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tcPr>
          <w:p>
            <w:pPr>
              <w:spacing w:after="0"/>
              <w:rPr>
                <w:sz w:val="20"/>
                <w:szCs w:val="20"/>
                <w:color w:val="auto"/>
              </w:rPr>
            </w:pPr>
            <w:r>
              <w:rPr>
                <w:rFonts w:ascii="Arial" w:cs="Arial" w:eastAsia="Arial" w:hAnsi="Arial"/>
                <w:sz w:val="18"/>
                <w:szCs w:val="18"/>
                <w:color w:val="auto"/>
              </w:rPr>
              <w:t>Reductions:</w:t>
            </w:r>
          </w:p>
        </w:tc>
        <w:tc>
          <w:tcPr>
            <w:tcW w:w="1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Securities sold, paid down or disposed</w:t>
            </w:r>
          </w:p>
        </w:tc>
        <w:tc>
          <w:tcPr>
            <w:tcW w:w="1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(190)</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760" w:type="dxa"/>
            <w:vAlign w:val="bottom"/>
            <w:gridSpan w:val="2"/>
          </w:tcPr>
          <w:p>
            <w:pPr>
              <w:ind w:left="420"/>
              <w:spacing w:after="0"/>
              <w:rPr>
                <w:sz w:val="20"/>
                <w:szCs w:val="20"/>
                <w:color w:val="auto"/>
              </w:rPr>
            </w:pPr>
            <w:r>
              <w:rPr>
                <w:rFonts w:ascii="Arial" w:cs="Arial" w:eastAsia="Arial" w:hAnsi="Arial"/>
                <w:sz w:val="18"/>
                <w:szCs w:val="18"/>
                <w:color w:val="auto"/>
              </w:rPr>
              <w:t>Securities where there is intent to sell</w:t>
            </w:r>
          </w:p>
        </w:tc>
        <w:tc>
          <w:tcPr>
            <w:tcW w:w="19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Cumulative credit loss ending balance</w:t>
            </w:r>
          </w:p>
        </w:tc>
        <w:tc>
          <w:tcPr>
            <w:tcW w:w="21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978</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w w:val="99"/>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1,085</w:t>
            </w:r>
          </w:p>
        </w:tc>
        <w:tc>
          <w:tcPr>
            <w:tcW w:w="0" w:type="dxa"/>
            <w:vAlign w:val="bottom"/>
          </w:tcPr>
          <w:p>
            <w:pPr>
              <w:spacing w:after="0"/>
              <w:rPr>
                <w:sz w:val="1"/>
                <w:szCs w:val="1"/>
                <w:color w:val="auto"/>
              </w:rPr>
            </w:pPr>
          </w:p>
        </w:tc>
      </w:tr>
      <w:tr>
        <w:trPr>
          <w:trHeight w:val="20"/>
        </w:trPr>
        <w:tc>
          <w:tcPr>
            <w:tcW w:w="7780" w:type="dxa"/>
            <w:vAlign w:val="bottom"/>
            <w:gridSpan w:val="3"/>
            <w:vMerge w:val="restart"/>
          </w:tcPr>
          <w:p>
            <w:pPr>
              <w:jc w:val="right"/>
              <w:ind w:right="1980"/>
              <w:spacing w:after="0"/>
              <w:rPr>
                <w:sz w:val="20"/>
                <w:szCs w:val="20"/>
                <w:color w:val="auto"/>
              </w:rPr>
            </w:pPr>
            <w:r>
              <w:rPr>
                <w:rFonts w:ascii="Arial" w:cs="Arial" w:eastAsia="Arial" w:hAnsi="Arial"/>
                <w:sz w:val="18"/>
                <w:szCs w:val="18"/>
                <w:color w:val="auto"/>
              </w:rPr>
              <w:t>14</w:t>
            </w:r>
          </w:p>
        </w:tc>
        <w:tc>
          <w:tcPr>
            <w:tcW w:w="19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7780" w:type="dxa"/>
            <w:vAlign w:val="bottom"/>
            <w:gridSpan w:val="3"/>
            <w:vMerge w:val="continue"/>
          </w:tcPr>
          <w:p>
            <w:pPr>
              <w:spacing w:after="0"/>
              <w:rPr>
                <w:sz w:val="24"/>
                <w:szCs w:val="24"/>
                <w:color w:val="auto"/>
              </w:rPr>
            </w:pPr>
          </w:p>
        </w:tc>
        <w:tc>
          <w:tcPr>
            <w:tcW w:w="1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 Unrealized Investment Gains and Losses</w:t>
      </w:r>
    </w:p>
    <w:p>
      <w:pPr>
        <w:spacing w:after="0" w:line="90" w:lineRule="exact"/>
        <w:rPr>
          <w:sz w:val="20"/>
          <w:szCs w:val="20"/>
          <w:color w:val="auto"/>
        </w:rPr>
      </w:pPr>
    </w:p>
    <w:p>
      <w:pPr>
        <w:jc w:val="both"/>
        <w:ind w:right="100" w:firstLine="456"/>
        <w:spacing w:after="0" w:line="256" w:lineRule="auto"/>
        <w:rPr>
          <w:sz w:val="20"/>
          <w:szCs w:val="20"/>
          <w:color w:val="auto"/>
        </w:rPr>
      </w:pPr>
      <w:r>
        <w:rPr>
          <w:rFonts w:ascii="Arial" w:cs="Arial" w:eastAsia="Arial" w:hAnsi="Arial"/>
          <w:sz w:val="18"/>
          <w:szCs w:val="18"/>
          <w:color w:val="auto"/>
        </w:rPr>
        <w:t>Net unrealized gains and losses on investment securities classified as available-for-sale and other invested assets are reduced by deferred income taxes and adjustments to present value of future profits, deferred acquisition costs and sales inducements that would have resulted had such gains and losses been realized. Net unrealized gains and losses on available-for-sale investment securities reflected as a separate component of accumulated other comprehensive income (loss) were as follows as of the dates indicated:</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900" w:type="dxa"/>
            <w:vAlign w:val="bottom"/>
            <w:gridSpan w:val="3"/>
          </w:tcPr>
          <w:p>
            <w:pPr>
              <w:ind w:left="20"/>
              <w:spacing w:after="0"/>
              <w:rPr>
                <w:sz w:val="20"/>
                <w:szCs w:val="20"/>
                <w:color w:val="auto"/>
              </w:rPr>
            </w:pPr>
            <w:r>
              <w:rPr>
                <w:rFonts w:ascii="Arial" w:cs="Arial" w:eastAsia="Arial" w:hAnsi="Arial"/>
                <w:sz w:val="14"/>
                <w:szCs w:val="14"/>
                <w:b w:val="1"/>
                <w:bCs w:val="1"/>
                <w:color w:val="auto"/>
              </w:rPr>
              <w:t>June 30, 2010</w:t>
            </w:r>
          </w:p>
        </w:tc>
        <w:tc>
          <w:tcPr>
            <w:tcW w:w="1200" w:type="dxa"/>
            <w:vAlign w:val="bottom"/>
            <w:gridSpan w:val="3"/>
          </w:tcPr>
          <w:p>
            <w:pPr>
              <w:spacing w:after="0"/>
              <w:rPr>
                <w:sz w:val="20"/>
                <w:szCs w:val="20"/>
                <w:color w:val="auto"/>
              </w:rPr>
            </w:pPr>
            <w:r>
              <w:rPr>
                <w:rFonts w:ascii="Arial" w:cs="Arial" w:eastAsia="Arial" w:hAnsi="Arial"/>
                <w:sz w:val="14"/>
                <w:szCs w:val="14"/>
                <w:b w:val="1"/>
                <w:bCs w:val="1"/>
                <w:color w:val="auto"/>
                <w:w w:val="93"/>
              </w:rPr>
              <w:t>December 31, 2009</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9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unrealized gains (losses) on investment securities:</w:t>
            </w:r>
          </w:p>
        </w:tc>
        <w:tc>
          <w:tcPr>
            <w:tcW w:w="2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00" w:type="dxa"/>
            <w:vAlign w:val="bottom"/>
            <w:gridSpan w:val="2"/>
          </w:tcPr>
          <w:p>
            <w:pPr>
              <w:ind w:left="420"/>
              <w:spacing w:after="0"/>
              <w:rPr>
                <w:sz w:val="20"/>
                <w:szCs w:val="20"/>
                <w:color w:val="auto"/>
              </w:rPr>
            </w:pPr>
            <w:r>
              <w:rPr>
                <w:rFonts w:ascii="Arial" w:cs="Arial" w:eastAsia="Arial" w:hAnsi="Arial"/>
                <w:sz w:val="18"/>
                <w:szCs w:val="18"/>
                <w:color w:val="auto"/>
              </w:rPr>
              <w:t>Fixed maturity securities</w:t>
            </w: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296</w:t>
            </w:r>
          </w:p>
        </w:tc>
        <w:tc>
          <w:tcPr>
            <w:tcW w:w="1100" w:type="dxa"/>
            <w:vAlign w:val="bottom"/>
          </w:tcPr>
          <w:p>
            <w:pPr>
              <w:spacing w:after="0"/>
              <w:rPr>
                <w:sz w:val="18"/>
                <w:szCs w:val="18"/>
                <w:color w:val="auto"/>
              </w:rPr>
            </w:pPr>
          </w:p>
        </w:tc>
        <w:tc>
          <w:tcPr>
            <w:tcW w:w="360" w:type="dxa"/>
            <w:vAlign w:val="bottom"/>
          </w:tcPr>
          <w:p>
            <w:pPr>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(2,245)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Equity securities</w:t>
            </w:r>
          </w:p>
        </w:tc>
        <w:tc>
          <w:tcPr>
            <w:tcW w:w="2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00" w:type="dxa"/>
            <w:vAlign w:val="bottom"/>
            <w:gridSpan w:val="2"/>
          </w:tcPr>
          <w:p>
            <w:pPr>
              <w:ind w:left="420"/>
              <w:spacing w:after="0"/>
              <w:rPr>
                <w:sz w:val="20"/>
                <w:szCs w:val="20"/>
                <w:color w:val="auto"/>
              </w:rPr>
            </w:pPr>
            <w:r>
              <w:rPr>
                <w:rFonts w:ascii="Arial" w:cs="Arial" w:eastAsia="Arial" w:hAnsi="Arial"/>
                <w:sz w:val="18"/>
                <w:szCs w:val="18"/>
                <w:color w:val="auto"/>
              </w:rPr>
              <w:t>Other invested assets</w:t>
            </w:r>
          </w:p>
        </w:tc>
        <w:tc>
          <w:tcPr>
            <w:tcW w:w="280" w:type="dxa"/>
            <w:vAlign w:val="bottom"/>
          </w:tcPr>
          <w:p>
            <w:pPr>
              <w:spacing w:after="0"/>
              <w:rPr>
                <w:sz w:val="18"/>
                <w:szCs w:val="18"/>
                <w:color w:val="auto"/>
              </w:rPr>
            </w:pPr>
          </w:p>
        </w:tc>
        <w:tc>
          <w:tcPr>
            <w:tcW w:w="1620" w:type="dxa"/>
            <w:vAlign w:val="bottom"/>
            <w:gridSpan w:val="2"/>
          </w:tcPr>
          <w:p>
            <w:pPr>
              <w:jc w:val="right"/>
              <w:ind w:right="1040"/>
              <w:spacing w:after="0"/>
              <w:rPr>
                <w:sz w:val="20"/>
                <w:szCs w:val="20"/>
                <w:color w:val="auto"/>
              </w:rPr>
            </w:pPr>
            <w:r>
              <w:rPr>
                <w:rFonts w:ascii="Arial" w:cs="Arial" w:eastAsia="Arial" w:hAnsi="Arial"/>
                <w:sz w:val="18"/>
                <w:szCs w:val="18"/>
                <w:color w:val="auto"/>
              </w:rPr>
              <w:t>(27)</w:t>
            </w:r>
          </w:p>
        </w:tc>
        <w:tc>
          <w:tcPr>
            <w:tcW w:w="36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98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10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3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Subtotal</w:t>
            </w:r>
          </w:p>
        </w:tc>
        <w:tc>
          <w:tcPr>
            <w:tcW w:w="2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w:t>
            </w:r>
          </w:p>
        </w:tc>
        <w:tc>
          <w:tcPr>
            <w:tcW w:w="1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00" w:type="dxa"/>
            <w:vAlign w:val="bottom"/>
            <w:gridSpan w:val="2"/>
          </w:tcPr>
          <w:p>
            <w:pPr>
              <w:spacing w:after="0"/>
              <w:rPr>
                <w:sz w:val="20"/>
                <w:szCs w:val="20"/>
                <w:color w:val="auto"/>
              </w:rPr>
            </w:pPr>
            <w:r>
              <w:rPr>
                <w:rFonts w:ascii="Arial" w:cs="Arial" w:eastAsia="Arial" w:hAnsi="Arial"/>
                <w:sz w:val="18"/>
                <w:szCs w:val="18"/>
                <w:color w:val="auto"/>
              </w:rPr>
              <w:t>Adjustments to present value of future profits, deferred acquisition costs and sales inducements</w:t>
            </w:r>
          </w:p>
        </w:tc>
        <w:tc>
          <w:tcPr>
            <w:tcW w:w="280" w:type="dxa"/>
            <w:vAlign w:val="bottom"/>
          </w:tcPr>
          <w:p>
            <w:pPr>
              <w:spacing w:after="0"/>
              <w:rPr>
                <w:sz w:val="18"/>
                <w:szCs w:val="18"/>
                <w:color w:val="auto"/>
              </w:rPr>
            </w:pPr>
          </w:p>
        </w:tc>
        <w:tc>
          <w:tcPr>
            <w:tcW w:w="1620" w:type="dxa"/>
            <w:vAlign w:val="bottom"/>
            <w:gridSpan w:val="2"/>
          </w:tcPr>
          <w:p>
            <w:pPr>
              <w:jc w:val="right"/>
              <w:ind w:right="1040"/>
              <w:spacing w:after="0"/>
              <w:rPr>
                <w:sz w:val="20"/>
                <w:szCs w:val="20"/>
                <w:color w:val="auto"/>
              </w:rPr>
            </w:pPr>
            <w:r>
              <w:rPr>
                <w:rFonts w:ascii="Arial" w:cs="Arial" w:eastAsia="Arial" w:hAnsi="Arial"/>
                <w:sz w:val="18"/>
                <w:szCs w:val="18"/>
                <w:color w:val="auto"/>
              </w:rPr>
              <w:t>(162)</w:t>
            </w:r>
          </w:p>
        </w:tc>
        <w:tc>
          <w:tcPr>
            <w:tcW w:w="36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taxes, net</w:t>
            </w:r>
          </w:p>
        </w:tc>
        <w:tc>
          <w:tcPr>
            <w:tcW w:w="28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040"/>
              <w:spacing w:after="0"/>
              <w:rPr>
                <w:sz w:val="20"/>
                <w:szCs w:val="20"/>
                <w:color w:val="auto"/>
              </w:rPr>
            </w:pPr>
            <w:r>
              <w:rPr>
                <w:rFonts w:ascii="Arial" w:cs="Arial" w:eastAsia="Arial" w:hAnsi="Arial"/>
                <w:sz w:val="18"/>
                <w:szCs w:val="18"/>
                <w:color w:val="auto"/>
              </w:rPr>
              <w:t>(37)</w:t>
            </w: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757</w:t>
            </w:r>
          </w:p>
        </w:tc>
        <w:tc>
          <w:tcPr>
            <w:tcW w:w="0" w:type="dxa"/>
            <w:vAlign w:val="bottom"/>
          </w:tcPr>
          <w:p>
            <w:pPr>
              <w:spacing w:after="0"/>
              <w:rPr>
                <w:sz w:val="1"/>
                <w:szCs w:val="1"/>
                <w:color w:val="auto"/>
              </w:rPr>
            </w:pPr>
          </w:p>
        </w:tc>
      </w:tr>
      <w:tr>
        <w:trPr>
          <w:trHeight w:val="20"/>
        </w:trPr>
        <w:tc>
          <w:tcPr>
            <w:tcW w:w="8320" w:type="dxa"/>
            <w:vAlign w:val="bottom"/>
            <w:gridSpan w:val="3"/>
            <w:vMerge w:val="restart"/>
          </w:tcPr>
          <w:p>
            <w:pPr>
              <w:spacing w:after="0"/>
              <w:rPr>
                <w:sz w:val="20"/>
                <w:szCs w:val="20"/>
                <w:color w:val="auto"/>
              </w:rPr>
            </w:pPr>
            <w:r>
              <w:rPr>
                <w:rFonts w:ascii="Arial" w:cs="Arial" w:eastAsia="Arial" w:hAnsi="Arial"/>
                <w:sz w:val="18"/>
                <w:szCs w:val="18"/>
                <w:color w:val="auto"/>
              </w:rPr>
              <w:t>Net unrealized investment gains (losses)</w:t>
            </w:r>
          </w:p>
        </w:tc>
        <w:tc>
          <w:tcPr>
            <w:tcW w:w="2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8320" w:type="dxa"/>
            <w:vAlign w:val="bottom"/>
            <w:gridSpan w:val="3"/>
            <w:vMerge w:val="continue"/>
          </w:tcPr>
          <w:p>
            <w:pPr>
              <w:spacing w:after="0"/>
              <w:rPr>
                <w:sz w:val="19"/>
                <w:szCs w:val="19"/>
                <w:color w:val="auto"/>
              </w:rPr>
            </w:pPr>
          </w:p>
        </w:tc>
        <w:tc>
          <w:tcPr>
            <w:tcW w:w="28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77</w:t>
            </w:r>
          </w:p>
        </w:tc>
        <w:tc>
          <w:tcPr>
            <w:tcW w:w="1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(1,359)</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net unrealized investment gains (losses) attributable to noncontrolling interests</w:t>
            </w:r>
          </w:p>
        </w:tc>
        <w:tc>
          <w:tcPr>
            <w:tcW w:w="2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15"/>
        </w:trPr>
        <w:tc>
          <w:tcPr>
            <w:tcW w:w="8320" w:type="dxa"/>
            <w:vAlign w:val="bottom"/>
            <w:gridSpan w:val="3"/>
          </w:tcPr>
          <w:p>
            <w:pPr>
              <w:spacing w:after="0"/>
              <w:rPr>
                <w:sz w:val="20"/>
                <w:szCs w:val="20"/>
                <w:color w:val="auto"/>
              </w:rPr>
            </w:pPr>
            <w:r>
              <w:rPr>
                <w:rFonts w:ascii="Arial" w:cs="Arial" w:eastAsia="Arial" w:hAnsi="Arial"/>
                <w:sz w:val="18"/>
                <w:szCs w:val="18"/>
                <w:color w:val="auto"/>
              </w:rPr>
              <w:t>Net unrealized investment gains (losses) attributable to Genworth</w:t>
            </w:r>
          </w:p>
        </w:tc>
        <w:tc>
          <w:tcPr>
            <w:tcW w:w="28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11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300" w:type="dxa"/>
            <w:vAlign w:val="bottom"/>
            <w:gridSpan w:val="2"/>
          </w:tcPr>
          <w:p>
            <w:pPr>
              <w:ind w:left="200"/>
              <w:spacing w:after="0"/>
              <w:rPr>
                <w:sz w:val="20"/>
                <w:szCs w:val="20"/>
                <w:color w:val="auto"/>
              </w:rPr>
            </w:pPr>
            <w:r>
              <w:rPr>
                <w:rFonts w:ascii="Arial" w:cs="Arial" w:eastAsia="Arial" w:hAnsi="Arial"/>
                <w:sz w:val="18"/>
                <w:szCs w:val="18"/>
                <w:color w:val="auto"/>
              </w:rPr>
              <w:t>Financial, Inc.</w:t>
            </w: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29</w:t>
            </w:r>
          </w:p>
        </w:tc>
        <w:tc>
          <w:tcPr>
            <w:tcW w:w="1100" w:type="dxa"/>
            <w:vAlign w:val="bottom"/>
          </w:tcPr>
          <w:p>
            <w:pPr>
              <w:spacing w:after="0"/>
              <w:rPr>
                <w:sz w:val="19"/>
                <w:szCs w:val="19"/>
                <w:color w:val="auto"/>
              </w:rPr>
            </w:pPr>
          </w:p>
        </w:tc>
        <w:tc>
          <w:tcPr>
            <w:tcW w:w="360" w:type="dxa"/>
            <w:vAlign w:val="bottom"/>
          </w:tcPr>
          <w:p>
            <w:pPr>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(1,398)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9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jc w:val="both"/>
        <w:ind w:right="40" w:firstLine="456"/>
        <w:spacing w:after="0" w:line="268" w:lineRule="auto"/>
        <w:rPr>
          <w:sz w:val="20"/>
          <w:szCs w:val="20"/>
          <w:color w:val="auto"/>
        </w:rPr>
      </w:pPr>
      <w:r>
        <w:rPr>
          <w:rFonts w:ascii="Arial" w:cs="Arial" w:eastAsia="Arial" w:hAnsi="Arial"/>
          <w:sz w:val="18"/>
          <w:szCs w:val="18"/>
          <w:color w:val="auto"/>
        </w:rPr>
        <w:t>The change in net unrealized gains (losses) on available-for-sale securities reported in accumulated other comprehensive income (loss) was as follows as of or for the periods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87"/>
              </w:rPr>
              <w:t>As of or for the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86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0" w:type="dxa"/>
            <w:vAlign w:val="bottom"/>
            <w:gridSpan w:val="5"/>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three months ended</w:t>
            </w:r>
          </w:p>
        </w:tc>
        <w:tc>
          <w:tcPr>
            <w:tcW w:w="0" w:type="dxa"/>
            <w:vAlign w:val="bottom"/>
          </w:tcPr>
          <w:p>
            <w:pPr>
              <w:spacing w:after="0"/>
              <w:rPr>
                <w:sz w:val="1"/>
                <w:szCs w:val="1"/>
                <w:color w:val="auto"/>
              </w:rPr>
            </w:pPr>
          </w:p>
        </w:tc>
      </w:tr>
      <w:tr>
        <w:trPr>
          <w:trHeight w:val="161"/>
        </w:trPr>
        <w:tc>
          <w:tcPr>
            <w:tcW w:w="82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40" w:type="dxa"/>
            <w:vAlign w:val="bottom"/>
            <w:gridSpan w:val="3"/>
          </w:tcPr>
          <w:p>
            <w:pPr>
              <w:jc w:val="center"/>
              <w:ind w:right="660"/>
              <w:spacing w:after="0"/>
              <w:rPr>
                <w:sz w:val="20"/>
                <w:szCs w:val="20"/>
                <w:color w:val="auto"/>
              </w:rPr>
            </w:pPr>
            <w:r>
              <w:rPr>
                <w:rFonts w:ascii="Arial" w:cs="Arial" w:eastAsia="Arial" w:hAnsi="Arial"/>
                <w:sz w:val="14"/>
                <w:szCs w:val="14"/>
                <w:b w:val="1"/>
                <w:bCs w:val="1"/>
                <w:color w:val="auto"/>
                <w:w w:val="85"/>
              </w:rPr>
              <w:t>June 30,</w:t>
            </w:r>
          </w:p>
        </w:tc>
        <w:tc>
          <w:tcPr>
            <w:tcW w:w="0" w:type="dxa"/>
            <w:vAlign w:val="bottom"/>
          </w:tcPr>
          <w:p>
            <w:pPr>
              <w:spacing w:after="0"/>
              <w:rPr>
                <w:sz w:val="1"/>
                <w:szCs w:val="1"/>
                <w:color w:val="auto"/>
              </w:rPr>
            </w:pPr>
          </w:p>
        </w:tc>
      </w:tr>
      <w:tr>
        <w:trPr>
          <w:trHeight w:val="142"/>
        </w:trPr>
        <w:tc>
          <w:tcPr>
            <w:tcW w:w="8200" w:type="dxa"/>
            <w:vAlign w:val="bottom"/>
            <w:gridSpan w:val="3"/>
            <w:vMerge w:val="continue"/>
          </w:tcPr>
          <w:p>
            <w:pPr>
              <w:spacing w:after="0"/>
              <w:rPr>
                <w:sz w:val="12"/>
                <w:szCs w:val="12"/>
                <w:color w:val="auto"/>
              </w:rPr>
            </w:pPr>
          </w:p>
        </w:tc>
        <w:tc>
          <w:tcPr>
            <w:tcW w:w="15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jc w:val="right"/>
              <w:ind w:right="36"/>
              <w:spacing w:after="0" w:line="142" w:lineRule="exact"/>
              <w:rPr>
                <w:sz w:val="20"/>
                <w:szCs w:val="20"/>
                <w:color w:val="auto"/>
              </w:rPr>
            </w:pPr>
            <w:r>
              <w:rPr>
                <w:rFonts w:ascii="Arial" w:cs="Arial" w:eastAsia="Arial" w:hAnsi="Arial"/>
                <w:sz w:val="14"/>
                <w:szCs w:val="14"/>
                <w:b w:val="1"/>
                <w:bCs w:val="1"/>
                <w:color w:val="auto"/>
                <w:w w:val="83"/>
              </w:rPr>
              <w:t>2010</w:t>
            </w:r>
          </w:p>
        </w:tc>
        <w:tc>
          <w:tcPr>
            <w:tcW w:w="6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gridSpan w:val="2"/>
          </w:tcPr>
          <w:p>
            <w:pPr>
              <w:jc w:val="right"/>
              <w:ind w:right="52"/>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8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320" w:type="dxa"/>
            <w:vAlign w:val="bottom"/>
            <w:shd w:val="clear" w:color="auto" w:fill="CCEEFF"/>
          </w:tcPr>
          <w:p>
            <w:pPr>
              <w:spacing w:after="0"/>
              <w:rPr>
                <w:sz w:val="20"/>
                <w:szCs w:val="20"/>
                <w:color w:val="auto"/>
              </w:rPr>
            </w:pPr>
            <w:r>
              <w:rPr>
                <w:rFonts w:ascii="Arial" w:cs="Arial" w:eastAsia="Arial" w:hAnsi="Arial"/>
                <w:sz w:val="18"/>
                <w:szCs w:val="18"/>
                <w:color w:val="auto"/>
                <w:w w:val="87"/>
              </w:rPr>
              <w:t>Beginning balance</w:t>
            </w:r>
          </w:p>
        </w:tc>
        <w:tc>
          <w:tcPr>
            <w:tcW w:w="686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(860)</w:t>
            </w:r>
          </w:p>
        </w:tc>
        <w:tc>
          <w:tcPr>
            <w:tcW w:w="11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$(4,095)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gridSpan w:val="2"/>
          </w:tcPr>
          <w:p>
            <w:pPr>
              <w:spacing w:after="0"/>
              <w:rPr>
                <w:sz w:val="20"/>
                <w:szCs w:val="20"/>
                <w:color w:val="auto"/>
              </w:rPr>
            </w:pPr>
            <w:r>
              <w:rPr>
                <w:rFonts w:ascii="Arial" w:cs="Arial" w:eastAsia="Arial" w:hAnsi="Arial"/>
                <w:sz w:val="18"/>
                <w:szCs w:val="18"/>
                <w:color w:val="auto"/>
              </w:rPr>
              <w:t>Cumulative effect of change in accounting</w:t>
            </w:r>
          </w:p>
        </w:tc>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140" w:type="dxa"/>
            <w:vAlign w:val="bottom"/>
            <w:gridSpan w:val="3"/>
          </w:tcPr>
          <w:p>
            <w:pPr>
              <w:jc w:val="right"/>
              <w:ind w:right="40"/>
              <w:spacing w:after="0"/>
              <w:rPr>
                <w:sz w:val="20"/>
                <w:szCs w:val="20"/>
                <w:color w:val="auto"/>
              </w:rPr>
            </w:pPr>
            <w:r>
              <w:rPr>
                <w:rFonts w:ascii="Arial" w:cs="Arial" w:eastAsia="Arial" w:hAnsi="Arial"/>
                <w:sz w:val="18"/>
                <w:szCs w:val="18"/>
                <w:color w:val="auto"/>
              </w:rPr>
              <w:t>(349)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Unrealized gains (losses) arising during the period:</w:t>
            </w:r>
          </w:p>
        </w:tc>
        <w:tc>
          <w:tcPr>
            <w:tcW w:w="1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gridSpan w:val="2"/>
          </w:tcPr>
          <w:p>
            <w:pPr>
              <w:ind w:left="420"/>
              <w:spacing w:after="0"/>
              <w:rPr>
                <w:sz w:val="20"/>
                <w:szCs w:val="20"/>
                <w:color w:val="auto"/>
              </w:rPr>
            </w:pPr>
            <w:r>
              <w:rPr>
                <w:rFonts w:ascii="Arial" w:cs="Arial" w:eastAsia="Arial" w:hAnsi="Arial"/>
                <w:sz w:val="18"/>
                <w:szCs w:val="18"/>
                <w:color w:val="auto"/>
              </w:rPr>
              <w:t>Unrealized gains (losses) on investment securities</w:t>
            </w:r>
          </w:p>
        </w:tc>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gridSpan w:val="2"/>
          </w:tcPr>
          <w:p>
            <w:pPr>
              <w:jc w:val="right"/>
              <w:ind w:right="60"/>
              <w:spacing w:after="0"/>
              <w:rPr>
                <w:sz w:val="20"/>
                <w:szCs w:val="20"/>
                <w:color w:val="auto"/>
              </w:rPr>
            </w:pPr>
            <w:r>
              <w:rPr>
                <w:rFonts w:ascii="Arial" w:cs="Arial" w:eastAsia="Arial" w:hAnsi="Arial"/>
                <w:sz w:val="18"/>
                <w:szCs w:val="18"/>
                <w:color w:val="auto"/>
                <w:w w:val="84"/>
              </w:rPr>
              <w:t>1,498</w:t>
            </w: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2,261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Adjustment to deferred acquisition costs</w:t>
            </w:r>
          </w:p>
        </w:tc>
        <w:tc>
          <w:tcPr>
            <w:tcW w:w="1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11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gridSpan w:val="2"/>
          </w:tcPr>
          <w:p>
            <w:pPr>
              <w:ind w:left="420"/>
              <w:spacing w:after="0"/>
              <w:rPr>
                <w:sz w:val="20"/>
                <w:szCs w:val="20"/>
                <w:color w:val="auto"/>
              </w:rPr>
            </w:pPr>
            <w:r>
              <w:rPr>
                <w:rFonts w:ascii="Arial" w:cs="Arial" w:eastAsia="Arial" w:hAnsi="Arial"/>
                <w:sz w:val="18"/>
                <w:szCs w:val="18"/>
                <w:color w:val="auto"/>
              </w:rPr>
              <w:t>Adjustment to present value of future profits</w:t>
            </w:r>
          </w:p>
        </w:tc>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(51)</w:t>
            </w:r>
          </w:p>
        </w:tc>
        <w:tc>
          <w:tcPr>
            <w:tcW w:w="1140" w:type="dxa"/>
            <w:vAlign w:val="bottom"/>
            <w:gridSpan w:val="3"/>
          </w:tcPr>
          <w:p>
            <w:pPr>
              <w:jc w:val="right"/>
              <w:ind w:right="40"/>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Adjustment to sales inducements</w:t>
            </w:r>
          </w:p>
        </w:tc>
        <w:tc>
          <w:tcPr>
            <w:tcW w:w="1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180" w:type="dxa"/>
            <w:vAlign w:val="bottom"/>
            <w:gridSpan w:val="2"/>
          </w:tcPr>
          <w:p>
            <w:pPr>
              <w:ind w:left="420"/>
              <w:spacing w:after="0"/>
              <w:rPr>
                <w:sz w:val="20"/>
                <w:szCs w:val="20"/>
                <w:color w:val="auto"/>
              </w:rPr>
            </w:pPr>
            <w:r>
              <w:rPr>
                <w:rFonts w:ascii="Arial" w:cs="Arial" w:eastAsia="Arial" w:hAnsi="Arial"/>
                <w:sz w:val="18"/>
                <w:szCs w:val="18"/>
                <w:color w:val="auto"/>
              </w:rPr>
              <w:t>Provision for income taxes</w:t>
            </w:r>
          </w:p>
        </w:tc>
        <w:tc>
          <w:tcPr>
            <w:tcW w:w="1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(480)</w:t>
            </w:r>
          </w:p>
        </w:tc>
        <w:tc>
          <w:tcPr>
            <w:tcW w:w="1140" w:type="dxa"/>
            <w:vAlign w:val="bottom"/>
            <w:gridSpan w:val="3"/>
          </w:tcPr>
          <w:p>
            <w:pPr>
              <w:jc w:val="right"/>
              <w:ind w:right="40"/>
              <w:spacing w:after="0"/>
              <w:rPr>
                <w:sz w:val="20"/>
                <w:szCs w:val="20"/>
                <w:color w:val="auto"/>
              </w:rPr>
            </w:pPr>
            <w:r>
              <w:rPr>
                <w:rFonts w:ascii="Arial" w:cs="Arial" w:eastAsia="Arial" w:hAnsi="Arial"/>
                <w:sz w:val="18"/>
                <w:szCs w:val="18"/>
                <w:color w:val="auto"/>
              </w:rPr>
              <w:t>(714)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Change in unrealized gains (losses) on investment securities</w:t>
            </w:r>
          </w:p>
        </w:tc>
        <w:tc>
          <w:tcPr>
            <w:tcW w:w="15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877</w:t>
            </w:r>
          </w:p>
        </w:tc>
        <w:tc>
          <w:tcPr>
            <w:tcW w:w="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1,305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180" w:type="dxa"/>
            <w:vAlign w:val="bottom"/>
            <w:gridSpan w:val="2"/>
          </w:tcPr>
          <w:p>
            <w:pPr>
              <w:spacing w:after="0"/>
              <w:rPr>
                <w:sz w:val="20"/>
                <w:szCs w:val="20"/>
                <w:color w:val="auto"/>
              </w:rPr>
            </w:pPr>
            <w:r>
              <w:rPr>
                <w:rFonts w:ascii="Arial" w:cs="Arial" w:eastAsia="Arial" w:hAnsi="Arial"/>
                <w:sz w:val="18"/>
                <w:szCs w:val="18"/>
                <w:color w:val="auto"/>
              </w:rPr>
              <w:t>Reclassification adjustments to net investment (gains) losses, net of taxes of $(11) and $(63)</w:t>
            </w:r>
          </w:p>
        </w:tc>
        <w:tc>
          <w:tcPr>
            <w:tcW w:w="15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w:t>
            </w:r>
          </w:p>
        </w:tc>
        <w:tc>
          <w:tcPr>
            <w:tcW w:w="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 in net unrealized investment gains (losses)</w:t>
            </w:r>
          </w:p>
        </w:tc>
        <w:tc>
          <w:tcPr>
            <w:tcW w:w="1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899</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1,072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180" w:type="dxa"/>
            <w:vAlign w:val="bottom"/>
            <w:gridSpan w:val="2"/>
          </w:tcPr>
          <w:p>
            <w:pPr>
              <w:spacing w:after="0"/>
              <w:rPr>
                <w:sz w:val="20"/>
                <w:szCs w:val="20"/>
                <w:color w:val="auto"/>
              </w:rPr>
            </w:pPr>
            <w:r>
              <w:rPr>
                <w:rFonts w:ascii="Arial" w:cs="Arial" w:eastAsia="Arial" w:hAnsi="Arial"/>
                <w:sz w:val="18"/>
                <w:szCs w:val="18"/>
                <w:color w:val="auto"/>
              </w:rPr>
              <w:t>Less: change in net unrealized investment gains (losses) attributable to noncontrolling interests</w:t>
            </w:r>
          </w:p>
        </w:tc>
        <w:tc>
          <w:tcPr>
            <w:tcW w:w="15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6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Ending balance</w:t>
            </w:r>
          </w:p>
        </w:tc>
        <w:tc>
          <w:tcPr>
            <w:tcW w:w="1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w:t>
            </w:r>
          </w:p>
        </w:tc>
        <w:tc>
          <w:tcPr>
            <w:tcW w:w="11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(3,023)</w:t>
            </w:r>
          </w:p>
        </w:tc>
        <w:tc>
          <w:tcPr>
            <w:tcW w:w="0" w:type="dxa"/>
            <w:vAlign w:val="bottom"/>
          </w:tcPr>
          <w:p>
            <w:pPr>
              <w:spacing w:after="0"/>
              <w:rPr>
                <w:sz w:val="1"/>
                <w:szCs w:val="1"/>
                <w:color w:val="auto"/>
              </w:rPr>
            </w:pPr>
          </w:p>
        </w:tc>
      </w:tr>
      <w:tr>
        <w:trPr>
          <w:trHeight w:val="20"/>
        </w:trPr>
        <w:tc>
          <w:tcPr>
            <w:tcW w:w="8200" w:type="dxa"/>
            <w:vAlign w:val="bottom"/>
            <w:gridSpan w:val="3"/>
            <w:vMerge w:val="restart"/>
          </w:tcPr>
          <w:p>
            <w:pPr>
              <w:jc w:val="right"/>
              <w:ind w:right="2400"/>
              <w:spacing w:after="0"/>
              <w:rPr>
                <w:sz w:val="20"/>
                <w:szCs w:val="20"/>
                <w:color w:val="auto"/>
              </w:rPr>
            </w:pPr>
            <w:r>
              <w:rPr>
                <w:rFonts w:ascii="Arial" w:cs="Arial" w:eastAsia="Arial" w:hAnsi="Arial"/>
                <w:sz w:val="18"/>
                <w:szCs w:val="18"/>
                <w:color w:val="auto"/>
              </w:rPr>
              <w:t>15</w:t>
            </w:r>
          </w:p>
        </w:tc>
        <w:tc>
          <w:tcPr>
            <w:tcW w:w="1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8200" w:type="dxa"/>
            <w:vAlign w:val="bottom"/>
            <w:gridSpan w:val="3"/>
            <w:vMerge w:val="continue"/>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6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87"/>
              </w:rPr>
              <w:t>As of or for the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88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60" w:type="dxa"/>
            <w:vAlign w:val="bottom"/>
            <w:gridSpan w:val="5"/>
          </w:tcPr>
          <w:p>
            <w:pPr>
              <w:jc w:val="center"/>
              <w:ind w:right="200"/>
              <w:spacing w:after="0" w:line="149" w:lineRule="exact"/>
              <w:rPr>
                <w:sz w:val="20"/>
                <w:szCs w:val="20"/>
                <w:color w:val="auto"/>
              </w:rPr>
            </w:pPr>
            <w:r>
              <w:rPr>
                <w:rFonts w:ascii="Arial" w:cs="Arial" w:eastAsia="Arial" w:hAnsi="Arial"/>
                <w:sz w:val="14"/>
                <w:szCs w:val="14"/>
                <w:b w:val="1"/>
                <w:bCs w:val="1"/>
                <w:color w:val="auto"/>
                <w:w w:val="83"/>
              </w:rPr>
              <w:t>six months ended</w:t>
            </w:r>
          </w:p>
        </w:tc>
        <w:tc>
          <w:tcPr>
            <w:tcW w:w="0" w:type="dxa"/>
            <w:vAlign w:val="bottom"/>
          </w:tcPr>
          <w:p>
            <w:pPr>
              <w:spacing w:after="0"/>
              <w:rPr>
                <w:sz w:val="1"/>
                <w:szCs w:val="1"/>
                <w:color w:val="auto"/>
              </w:rPr>
            </w:pPr>
          </w:p>
        </w:tc>
      </w:tr>
      <w:tr>
        <w:trPr>
          <w:trHeight w:val="161"/>
        </w:trPr>
        <w:tc>
          <w:tcPr>
            <w:tcW w:w="82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6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85"/>
              </w:rPr>
              <w:t>June 30,</w:t>
            </w:r>
          </w:p>
        </w:tc>
        <w:tc>
          <w:tcPr>
            <w:tcW w:w="0" w:type="dxa"/>
            <w:vAlign w:val="bottom"/>
          </w:tcPr>
          <w:p>
            <w:pPr>
              <w:spacing w:after="0"/>
              <w:rPr>
                <w:sz w:val="1"/>
                <w:szCs w:val="1"/>
                <w:color w:val="auto"/>
              </w:rPr>
            </w:pPr>
          </w:p>
        </w:tc>
      </w:tr>
      <w:tr>
        <w:trPr>
          <w:trHeight w:val="142"/>
        </w:trPr>
        <w:tc>
          <w:tcPr>
            <w:tcW w:w="8220" w:type="dxa"/>
            <w:vAlign w:val="bottom"/>
            <w:gridSpan w:val="3"/>
            <w:vMerge w:val="continue"/>
          </w:tcPr>
          <w:p>
            <w:pPr>
              <w:spacing w:after="0"/>
              <w:rPr>
                <w:sz w:val="12"/>
                <w:szCs w:val="12"/>
                <w:color w:val="auto"/>
              </w:rPr>
            </w:pPr>
          </w:p>
        </w:tc>
        <w:tc>
          <w:tcPr>
            <w:tcW w:w="15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ind w:right="57"/>
              <w:spacing w:after="0" w:line="142" w:lineRule="exact"/>
              <w:rPr>
                <w:sz w:val="20"/>
                <w:szCs w:val="20"/>
                <w:color w:val="auto"/>
              </w:rPr>
            </w:pPr>
            <w:r>
              <w:rPr>
                <w:rFonts w:ascii="Arial" w:cs="Arial" w:eastAsia="Arial" w:hAnsi="Arial"/>
                <w:sz w:val="14"/>
                <w:szCs w:val="14"/>
                <w:b w:val="1"/>
                <w:bCs w:val="1"/>
                <w:color w:val="auto"/>
                <w:w w:val="96"/>
              </w:rPr>
              <w:t>2010</w:t>
            </w:r>
          </w:p>
        </w:tc>
        <w:tc>
          <w:tcPr>
            <w:tcW w:w="24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gridSpan w:val="2"/>
          </w:tcPr>
          <w:p>
            <w:pPr>
              <w:jc w:val="right"/>
              <w:ind w:right="52"/>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320" w:type="dxa"/>
            <w:vAlign w:val="bottom"/>
            <w:shd w:val="clear" w:color="auto" w:fill="CCEEFF"/>
          </w:tcPr>
          <w:p>
            <w:pPr>
              <w:spacing w:after="0"/>
              <w:rPr>
                <w:sz w:val="20"/>
                <w:szCs w:val="20"/>
                <w:color w:val="auto"/>
              </w:rPr>
            </w:pPr>
            <w:r>
              <w:rPr>
                <w:rFonts w:ascii="Arial" w:cs="Arial" w:eastAsia="Arial" w:hAnsi="Arial"/>
                <w:sz w:val="18"/>
                <w:szCs w:val="18"/>
                <w:color w:val="auto"/>
                <w:w w:val="87"/>
              </w:rPr>
              <w:t>Beginning balance</w:t>
            </w:r>
          </w:p>
        </w:tc>
        <w:tc>
          <w:tcPr>
            <w:tcW w:w="68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7"/>
              </w:rPr>
              <w:t>(1,398)</w:t>
            </w:r>
          </w:p>
        </w:tc>
        <w:tc>
          <w:tcPr>
            <w:tcW w:w="8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$(4,038)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gridSpan w:val="2"/>
          </w:tcPr>
          <w:p>
            <w:pPr>
              <w:spacing w:after="0"/>
              <w:rPr>
                <w:sz w:val="20"/>
                <w:szCs w:val="20"/>
                <w:color w:val="auto"/>
              </w:rPr>
            </w:pPr>
            <w:r>
              <w:rPr>
                <w:rFonts w:ascii="Arial" w:cs="Arial" w:eastAsia="Arial" w:hAnsi="Arial"/>
                <w:sz w:val="18"/>
                <w:szCs w:val="18"/>
                <w:color w:val="auto"/>
              </w:rPr>
              <w:t>Cumulative effect of change in accounting</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91</w:t>
            </w:r>
          </w:p>
        </w:tc>
        <w:tc>
          <w:tcPr>
            <w:tcW w:w="860" w:type="dxa"/>
            <w:vAlign w:val="bottom"/>
            <w:gridSpan w:val="3"/>
          </w:tcPr>
          <w:p>
            <w:pPr>
              <w:jc w:val="right"/>
              <w:ind w:right="40"/>
              <w:spacing w:after="0"/>
              <w:rPr>
                <w:sz w:val="20"/>
                <w:szCs w:val="20"/>
                <w:color w:val="auto"/>
              </w:rPr>
            </w:pPr>
            <w:r>
              <w:rPr>
                <w:rFonts w:ascii="Arial" w:cs="Arial" w:eastAsia="Arial" w:hAnsi="Arial"/>
                <w:sz w:val="18"/>
                <w:szCs w:val="18"/>
                <w:color w:val="auto"/>
              </w:rPr>
              <w:t>(349)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Unrealized gains (losses) arising during the period:</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gridSpan w:val="2"/>
          </w:tcPr>
          <w:p>
            <w:pPr>
              <w:ind w:left="420"/>
              <w:spacing w:after="0"/>
              <w:rPr>
                <w:sz w:val="20"/>
                <w:szCs w:val="20"/>
                <w:color w:val="auto"/>
              </w:rPr>
            </w:pPr>
            <w:r>
              <w:rPr>
                <w:rFonts w:ascii="Arial" w:cs="Arial" w:eastAsia="Arial" w:hAnsi="Arial"/>
                <w:sz w:val="18"/>
                <w:szCs w:val="18"/>
                <w:color w:val="auto"/>
              </w:rPr>
              <w:t>Unrealized gains (losses) on investment securities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2,261</w:t>
            </w:r>
          </w:p>
        </w:tc>
        <w:tc>
          <w:tcPr>
            <w:tcW w:w="860" w:type="dxa"/>
            <w:vAlign w:val="bottom"/>
            <w:gridSpan w:val="3"/>
          </w:tcPr>
          <w:p>
            <w:pPr>
              <w:jc w:val="right"/>
              <w:ind w:right="100"/>
              <w:spacing w:after="0"/>
              <w:rPr>
                <w:sz w:val="20"/>
                <w:szCs w:val="20"/>
                <w:color w:val="auto"/>
              </w:rPr>
            </w:pPr>
            <w:r>
              <w:rPr>
                <w:rFonts w:ascii="Arial" w:cs="Arial" w:eastAsia="Arial" w:hAnsi="Arial"/>
                <w:sz w:val="18"/>
                <w:szCs w:val="18"/>
                <w:color w:val="auto"/>
              </w:rPr>
              <w:t>1,558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Adjustment to deferred acquisition costs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(193)</w:t>
            </w:r>
          </w:p>
        </w:tc>
        <w:tc>
          <w:tcPr>
            <w:tcW w:w="8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gridSpan w:val="2"/>
          </w:tcPr>
          <w:p>
            <w:pPr>
              <w:ind w:left="420"/>
              <w:spacing w:after="0"/>
              <w:rPr>
                <w:sz w:val="20"/>
                <w:szCs w:val="20"/>
                <w:color w:val="auto"/>
              </w:rPr>
            </w:pPr>
            <w:r>
              <w:rPr>
                <w:rFonts w:ascii="Arial" w:cs="Arial" w:eastAsia="Arial" w:hAnsi="Arial"/>
                <w:sz w:val="18"/>
                <w:szCs w:val="18"/>
                <w:color w:val="auto"/>
              </w:rPr>
              <w:t>Adjustment to present value of future profits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8"/>
                <w:szCs w:val="18"/>
                <w:color w:val="auto"/>
              </w:rPr>
              <w:t>(81)</w:t>
            </w:r>
          </w:p>
        </w:tc>
        <w:tc>
          <w:tcPr>
            <w:tcW w:w="860" w:type="dxa"/>
            <w:vAlign w:val="bottom"/>
            <w:gridSpan w:val="3"/>
          </w:tcPr>
          <w:p>
            <w:pPr>
              <w:jc w:val="right"/>
              <w:ind w:right="40"/>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Adjustment to sales inducements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(26)</w:t>
            </w:r>
          </w:p>
        </w:tc>
        <w:tc>
          <w:tcPr>
            <w:tcW w:w="2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200" w:type="dxa"/>
            <w:vAlign w:val="bottom"/>
            <w:gridSpan w:val="2"/>
          </w:tcPr>
          <w:p>
            <w:pPr>
              <w:ind w:left="420"/>
              <w:spacing w:after="0"/>
              <w:rPr>
                <w:sz w:val="20"/>
                <w:szCs w:val="20"/>
                <w:color w:val="auto"/>
              </w:rPr>
            </w:pPr>
            <w:r>
              <w:rPr>
                <w:rFonts w:ascii="Arial" w:cs="Arial" w:eastAsia="Arial" w:hAnsi="Arial"/>
                <w:sz w:val="18"/>
                <w:szCs w:val="18"/>
                <w:color w:val="auto"/>
              </w:rPr>
              <w:t>Provision for income taxes</w:t>
            </w:r>
          </w:p>
        </w:tc>
        <w:tc>
          <w:tcPr>
            <w:tcW w:w="1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8"/>
                <w:szCs w:val="18"/>
                <w:color w:val="auto"/>
              </w:rPr>
              <w:t>(700)</w:t>
            </w:r>
          </w:p>
        </w:tc>
        <w:tc>
          <w:tcPr>
            <w:tcW w:w="860" w:type="dxa"/>
            <w:vAlign w:val="bottom"/>
            <w:gridSpan w:val="3"/>
          </w:tcPr>
          <w:p>
            <w:pPr>
              <w:jc w:val="right"/>
              <w:ind w:right="40"/>
              <w:spacing w:after="0"/>
              <w:rPr>
                <w:sz w:val="20"/>
                <w:szCs w:val="20"/>
                <w:color w:val="auto"/>
              </w:rPr>
            </w:pPr>
            <w:r>
              <w:rPr>
                <w:rFonts w:ascii="Arial" w:cs="Arial" w:eastAsia="Arial" w:hAnsi="Arial"/>
                <w:sz w:val="18"/>
                <w:szCs w:val="18"/>
                <w:color w:val="auto"/>
              </w:rPr>
              <w:t>(467)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Change in unrealized gains (losses) on investment securities</w:t>
            </w:r>
          </w:p>
        </w:tc>
        <w:tc>
          <w:tcPr>
            <w:tcW w:w="15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1,261</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200" w:type="dxa"/>
            <w:vAlign w:val="bottom"/>
            <w:gridSpan w:val="2"/>
          </w:tcPr>
          <w:p>
            <w:pPr>
              <w:spacing w:after="0"/>
              <w:rPr>
                <w:sz w:val="20"/>
                <w:szCs w:val="20"/>
                <w:color w:val="auto"/>
              </w:rPr>
            </w:pPr>
            <w:r>
              <w:rPr>
                <w:rFonts w:ascii="Arial" w:cs="Arial" w:eastAsia="Arial" w:hAnsi="Arial"/>
                <w:sz w:val="18"/>
                <w:szCs w:val="18"/>
                <w:color w:val="auto"/>
              </w:rPr>
              <w:t>Reclassification adjustments to net investment (gains) losses, net of taxes of $(45) and $(284)</w:t>
            </w:r>
          </w:p>
        </w:tc>
        <w:tc>
          <w:tcPr>
            <w:tcW w:w="15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 in net unrealized investment gains (losses)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1,436</w:t>
            </w:r>
          </w:p>
        </w:tc>
        <w:tc>
          <w:tcPr>
            <w:tcW w:w="8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1,015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200" w:type="dxa"/>
            <w:vAlign w:val="bottom"/>
            <w:gridSpan w:val="2"/>
          </w:tcPr>
          <w:p>
            <w:pPr>
              <w:spacing w:after="0"/>
              <w:rPr>
                <w:sz w:val="20"/>
                <w:szCs w:val="20"/>
                <w:color w:val="auto"/>
              </w:rPr>
            </w:pPr>
            <w:r>
              <w:rPr>
                <w:rFonts w:ascii="Arial" w:cs="Arial" w:eastAsia="Arial" w:hAnsi="Arial"/>
                <w:sz w:val="18"/>
                <w:szCs w:val="18"/>
                <w:color w:val="auto"/>
              </w:rPr>
              <w:t>Less: change in net unrealized investment gains (losses) attributable to noncontrolling interests</w:t>
            </w:r>
          </w:p>
        </w:tc>
        <w:tc>
          <w:tcPr>
            <w:tcW w:w="15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6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Ending balance</w:t>
            </w:r>
          </w:p>
        </w:tc>
        <w:tc>
          <w:tcPr>
            <w:tcW w:w="1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29</w:t>
            </w:r>
          </w:p>
        </w:tc>
        <w:tc>
          <w:tcPr>
            <w:tcW w:w="8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(3,023)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8"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(d) Fixed Maturity and Equity Securities</w:t>
      </w:r>
    </w:p>
    <w:p>
      <w:pPr>
        <w:spacing w:after="0" w:line="90" w:lineRule="exact"/>
        <w:rPr>
          <w:sz w:val="20"/>
          <w:szCs w:val="20"/>
          <w:color w:val="auto"/>
        </w:rPr>
      </w:pPr>
    </w:p>
    <w:p>
      <w:pPr>
        <w:ind w:right="520" w:firstLine="456"/>
        <w:spacing w:after="0" w:line="268" w:lineRule="auto"/>
        <w:rPr>
          <w:sz w:val="20"/>
          <w:szCs w:val="20"/>
          <w:color w:val="auto"/>
        </w:rPr>
      </w:pPr>
      <w:r>
        <w:rPr>
          <w:rFonts w:ascii="Arial" w:cs="Arial" w:eastAsia="Arial" w:hAnsi="Arial"/>
          <w:sz w:val="18"/>
          <w:szCs w:val="18"/>
          <w:color w:val="auto"/>
        </w:rPr>
        <w:t>As of June 30, 2010, the amortized cost or cost, gross unrealized gains (losses) and fair value of our fixed maturity and equity securities classified as available-for-sale were as follows:</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68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6"/>
              </w:rPr>
              <w:t>Amortized</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60" w:type="dxa"/>
            <w:vAlign w:val="bottom"/>
            <w:gridSpan w:val="5"/>
          </w:tcPr>
          <w:p>
            <w:pPr>
              <w:jc w:val="right"/>
              <w:ind w:right="720"/>
              <w:spacing w:after="0"/>
              <w:rPr>
                <w:sz w:val="20"/>
                <w:szCs w:val="20"/>
                <w:color w:val="auto"/>
              </w:rPr>
            </w:pPr>
            <w:r>
              <w:rPr>
                <w:rFonts w:ascii="Arial" w:cs="Arial" w:eastAsia="Arial" w:hAnsi="Arial"/>
                <w:sz w:val="14"/>
                <w:szCs w:val="14"/>
                <w:b w:val="1"/>
                <w:bCs w:val="1"/>
                <w:color w:val="auto"/>
                <w:w w:val="98"/>
              </w:rPr>
              <w:t>Gross unrealized gains</w:t>
            </w:r>
          </w:p>
        </w:tc>
        <w:tc>
          <w:tcPr>
            <w:tcW w:w="100" w:type="dxa"/>
            <w:vAlign w:val="bottom"/>
          </w:tcPr>
          <w:p>
            <w:pPr>
              <w:spacing w:after="0"/>
              <w:rPr>
                <w:sz w:val="14"/>
                <w:szCs w:val="14"/>
                <w:color w:val="auto"/>
              </w:rPr>
            </w:pPr>
          </w:p>
        </w:tc>
        <w:tc>
          <w:tcPr>
            <w:tcW w:w="2260" w:type="dxa"/>
            <w:vAlign w:val="bottom"/>
            <w:gridSpan w:val="5"/>
          </w:tcPr>
          <w:p>
            <w:pPr>
              <w:jc w:val="right"/>
              <w:ind w:right="640"/>
              <w:spacing w:after="0"/>
              <w:rPr>
                <w:sz w:val="20"/>
                <w:szCs w:val="20"/>
                <w:color w:val="auto"/>
              </w:rPr>
            </w:pPr>
            <w:r>
              <w:rPr>
                <w:rFonts w:ascii="Arial" w:cs="Arial" w:eastAsia="Arial" w:hAnsi="Arial"/>
                <w:sz w:val="14"/>
                <w:szCs w:val="14"/>
                <w:b w:val="1"/>
                <w:bCs w:val="1"/>
                <w:color w:val="auto"/>
                <w:w w:val="99"/>
              </w:rPr>
              <w:t>Gross unrealized losses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3560" w:type="dxa"/>
            <w:vAlign w:val="bottom"/>
          </w:tcPr>
          <w:p>
            <w:pPr>
              <w:spacing w:after="0"/>
              <w:rPr>
                <w:sz w:val="11"/>
                <w:szCs w:val="11"/>
                <w:color w:val="auto"/>
              </w:rPr>
            </w:pPr>
          </w:p>
        </w:tc>
        <w:tc>
          <w:tcPr>
            <w:tcW w:w="680" w:type="dxa"/>
            <w:vAlign w:val="bottom"/>
            <w:gridSpan w:val="3"/>
            <w:vMerge w:val="continue"/>
          </w:tcPr>
          <w:p>
            <w:pPr>
              <w:spacing w:after="0"/>
              <w:rPr>
                <w:sz w:val="11"/>
                <w:szCs w:val="11"/>
                <w:color w:val="auto"/>
              </w:rPr>
            </w:pPr>
          </w:p>
        </w:tc>
        <w:tc>
          <w:tcPr>
            <w:tcW w:w="320" w:type="dxa"/>
            <w:vAlign w:val="bottom"/>
          </w:tcPr>
          <w:p>
            <w:pPr>
              <w:spacing w:after="0"/>
              <w:rPr>
                <w:sz w:val="11"/>
                <w:szCs w:val="11"/>
                <w:color w:val="auto"/>
              </w:rPr>
            </w:pPr>
          </w:p>
        </w:tc>
        <w:tc>
          <w:tcPr>
            <w:tcW w:w="1280" w:type="dxa"/>
            <w:vAlign w:val="bottom"/>
            <w:tcBorders>
              <w:top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Not other-than-</w:t>
            </w:r>
          </w:p>
        </w:tc>
        <w:tc>
          <w:tcPr>
            <w:tcW w:w="70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9"/>
              </w:rPr>
              <w:t>Other-than-</w:t>
            </w:r>
          </w:p>
        </w:tc>
        <w:tc>
          <w:tcPr>
            <w:tcW w:w="380" w:type="dxa"/>
            <w:vAlign w:val="bottom"/>
          </w:tcPr>
          <w:p>
            <w:pPr>
              <w:spacing w:after="0"/>
              <w:rPr>
                <w:sz w:val="11"/>
                <w:szCs w:val="11"/>
                <w:color w:val="auto"/>
              </w:rPr>
            </w:pPr>
          </w:p>
        </w:tc>
        <w:tc>
          <w:tcPr>
            <w:tcW w:w="1400" w:type="dxa"/>
            <w:vAlign w:val="bottom"/>
            <w:tcBorders>
              <w:top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Not other-than-</w:t>
            </w:r>
          </w:p>
        </w:tc>
        <w:tc>
          <w:tcPr>
            <w:tcW w:w="70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9"/>
              </w:rPr>
              <w:t>Other-than-</w:t>
            </w: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3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1"/>
              </w:rPr>
              <w:t>cost or</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tcPr>
          <w:p>
            <w:pPr>
              <w:jc w:val="right"/>
              <w:ind w:right="480"/>
              <w:spacing w:after="0" w:line="149" w:lineRule="exact"/>
              <w:rPr>
                <w:sz w:val="20"/>
                <w:szCs w:val="20"/>
                <w:color w:val="auto"/>
              </w:rPr>
            </w:pPr>
            <w:r>
              <w:rPr>
                <w:rFonts w:ascii="Arial" w:cs="Arial" w:eastAsia="Arial" w:hAnsi="Arial"/>
                <w:sz w:val="14"/>
                <w:szCs w:val="14"/>
                <w:b w:val="1"/>
                <w:bCs w:val="1"/>
                <w:color w:val="auto"/>
                <w:w w:val="89"/>
              </w:rPr>
              <w:t>temporarily</w:t>
            </w:r>
          </w:p>
        </w:tc>
        <w:tc>
          <w:tcPr>
            <w:tcW w:w="10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temporarily</w:t>
            </w:r>
          </w:p>
        </w:tc>
        <w:tc>
          <w:tcPr>
            <w:tcW w:w="100" w:type="dxa"/>
            <w:vAlign w:val="bottom"/>
          </w:tcPr>
          <w:p>
            <w:pPr>
              <w:spacing w:after="0"/>
              <w:rPr>
                <w:sz w:val="12"/>
                <w:szCs w:val="12"/>
                <w:color w:val="auto"/>
              </w:rPr>
            </w:pPr>
          </w:p>
        </w:tc>
        <w:tc>
          <w:tcPr>
            <w:tcW w:w="1300" w:type="dxa"/>
            <w:vAlign w:val="bottom"/>
            <w:gridSpan w:val="2"/>
          </w:tcPr>
          <w:p>
            <w:pPr>
              <w:jc w:val="right"/>
              <w:ind w:right="600"/>
              <w:spacing w:after="0" w:line="149" w:lineRule="exact"/>
              <w:rPr>
                <w:sz w:val="20"/>
                <w:szCs w:val="20"/>
                <w:color w:val="auto"/>
              </w:rPr>
            </w:pPr>
            <w:r>
              <w:rPr>
                <w:rFonts w:ascii="Arial" w:cs="Arial" w:eastAsia="Arial" w:hAnsi="Arial"/>
                <w:sz w:val="14"/>
                <w:szCs w:val="14"/>
                <w:b w:val="1"/>
                <w:bCs w:val="1"/>
                <w:color w:val="auto"/>
                <w:w w:val="89"/>
              </w:rPr>
              <w:t>temporarily</w:t>
            </w:r>
          </w:p>
        </w:tc>
        <w:tc>
          <w:tcPr>
            <w:tcW w:w="9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temporarily</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ind w:right="75"/>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61"/>
        </w:trPr>
        <w:tc>
          <w:tcPr>
            <w:tcW w:w="490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5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76"/>
              </w:rPr>
              <w:t>cost</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rPr>
              <w:t>impaired</w:t>
            </w:r>
          </w:p>
        </w:tc>
        <w:tc>
          <w:tcPr>
            <w:tcW w:w="80" w:type="dxa"/>
            <w:vAlign w:val="bottom"/>
          </w:tcPr>
          <w:p>
            <w:pPr>
              <w:spacing w:after="0"/>
              <w:rPr>
                <w:sz w:val="14"/>
                <w:szCs w:val="14"/>
                <w:color w:val="auto"/>
              </w:rPr>
            </w:pPr>
          </w:p>
        </w:tc>
        <w:tc>
          <w:tcPr>
            <w:tcW w:w="100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w w:val="89"/>
              </w:rPr>
              <w:t>impaired</w:t>
            </w:r>
          </w:p>
        </w:tc>
        <w:tc>
          <w:tcPr>
            <w:tcW w:w="100" w:type="dxa"/>
            <w:vAlign w:val="bottom"/>
          </w:tcPr>
          <w:p>
            <w:pPr>
              <w:spacing w:after="0"/>
              <w:rPr>
                <w:sz w:val="14"/>
                <w:szCs w:val="14"/>
                <w:color w:val="auto"/>
              </w:rPr>
            </w:pPr>
          </w:p>
        </w:tc>
        <w:tc>
          <w:tcPr>
            <w:tcW w:w="130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rPr>
              <w:t>impaired</w:t>
            </w:r>
          </w:p>
        </w:tc>
        <w:tc>
          <w:tcPr>
            <w:tcW w:w="80" w:type="dxa"/>
            <w:vAlign w:val="bottom"/>
          </w:tcPr>
          <w:p>
            <w:pPr>
              <w:spacing w:after="0"/>
              <w:rPr>
                <w:sz w:val="14"/>
                <w:szCs w:val="14"/>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5"/>
              </w:rPr>
              <w:t>impaired</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jc w:val="right"/>
              <w:ind w:right="55"/>
              <w:spacing w:after="0"/>
              <w:rPr>
                <w:sz w:val="20"/>
                <w:szCs w:val="20"/>
                <w:color w:val="auto"/>
              </w:rPr>
            </w:pPr>
            <w:r>
              <w:rPr>
                <w:rFonts w:ascii="Arial" w:cs="Arial" w:eastAsia="Arial" w:hAnsi="Arial"/>
                <w:sz w:val="14"/>
                <w:szCs w:val="14"/>
                <w:b w:val="1"/>
                <w:bCs w:val="1"/>
                <w:color w:val="auto"/>
                <w:w w:val="89"/>
              </w:rPr>
              <w:t>value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U.S. government, agencies and government-sponsored</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880" w:type="dxa"/>
            <w:vAlign w:val="bottom"/>
            <w:gridSpan w:val="2"/>
          </w:tcPr>
          <w:p>
            <w:pPr>
              <w:ind w:left="640"/>
              <w:spacing w:after="0"/>
              <w:rPr>
                <w:sz w:val="20"/>
                <w:szCs w:val="20"/>
                <w:color w:val="auto"/>
              </w:rPr>
            </w:pPr>
            <w:r>
              <w:rPr>
                <w:rFonts w:ascii="Arial" w:cs="Arial" w:eastAsia="Arial" w:hAnsi="Arial"/>
                <w:sz w:val="18"/>
                <w:szCs w:val="18"/>
                <w:color w:val="auto"/>
              </w:rPr>
              <w:t>enterprises</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rPr>
              <w:t>3,422</w:t>
            </w:r>
          </w:p>
        </w:tc>
        <w:tc>
          <w:tcPr>
            <w:tcW w:w="420" w:type="dxa"/>
            <w:vAlign w:val="bottom"/>
            <w:gridSpan w:val="2"/>
          </w:tcPr>
          <w:p>
            <w:pPr>
              <w:ind w:left="320"/>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262</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3,684</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Tax-exempt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1,407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39</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(96)</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Government—non-U.S.</w:t>
            </w:r>
          </w:p>
        </w:tc>
        <w:tc>
          <w:tcPr>
            <w:tcW w:w="100" w:type="dxa"/>
            <w:vAlign w:val="bottom"/>
          </w:tcPr>
          <w:p>
            <w:pPr>
              <w:spacing w:after="0"/>
              <w:rPr>
                <w:sz w:val="18"/>
                <w:szCs w:val="18"/>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rPr>
              <w:t>2,023</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126</w:t>
            </w:r>
          </w:p>
        </w:tc>
        <w:tc>
          <w:tcPr>
            <w:tcW w:w="80" w:type="dxa"/>
            <w:vAlign w:val="bottom"/>
          </w:tcPr>
          <w:p>
            <w:pPr>
              <w:spacing w:after="0"/>
              <w:rPr>
                <w:sz w:val="18"/>
                <w:szCs w:val="18"/>
                <w:color w:val="auto"/>
              </w:rPr>
            </w:pPr>
          </w:p>
        </w:tc>
        <w:tc>
          <w:tcPr>
            <w:tcW w:w="100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2,146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U.S. corporate</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0"/>
              </w:rPr>
              <w:t>22,529</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1,332</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(489)</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23,378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Corporate—non-U.S.</w:t>
            </w:r>
          </w:p>
        </w:tc>
        <w:tc>
          <w:tcPr>
            <w:tcW w:w="100" w:type="dxa"/>
            <w:vAlign w:val="bottom"/>
          </w:tcPr>
          <w:p>
            <w:pPr>
              <w:spacing w:after="0"/>
              <w:rPr>
                <w:sz w:val="18"/>
                <w:szCs w:val="18"/>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w w:val="90"/>
              </w:rPr>
              <w:t>12,572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494</w:t>
            </w:r>
          </w:p>
        </w:tc>
        <w:tc>
          <w:tcPr>
            <w:tcW w:w="8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(279)</w:t>
            </w:r>
          </w:p>
        </w:tc>
        <w:tc>
          <w:tcPr>
            <w:tcW w:w="80" w:type="dxa"/>
            <w:vAlign w:val="bottom"/>
          </w:tcPr>
          <w:p>
            <w:pPr>
              <w:spacing w:after="0"/>
              <w:rPr>
                <w:sz w:val="18"/>
                <w:szCs w:val="18"/>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12,799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Residential mortgage-backed</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4,395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160</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(347)</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Commercial mortgage-backed</w:t>
            </w:r>
          </w:p>
        </w:tc>
        <w:tc>
          <w:tcPr>
            <w:tcW w:w="100" w:type="dxa"/>
            <w:vAlign w:val="bottom"/>
          </w:tcPr>
          <w:p>
            <w:pPr>
              <w:spacing w:after="0"/>
              <w:rPr>
                <w:sz w:val="18"/>
                <w:szCs w:val="18"/>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rPr>
              <w:t>4,117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152</w:t>
            </w:r>
          </w:p>
        </w:tc>
        <w:tc>
          <w:tcPr>
            <w:tcW w:w="8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(488)</w:t>
            </w:r>
          </w:p>
        </w:tc>
        <w:tc>
          <w:tcPr>
            <w:tcW w:w="8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(62)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3,726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Other asset-backed</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2,640</w:t>
            </w: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18</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(297)</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fixed maturity securities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488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w w:val="90"/>
              </w:rPr>
              <w:t>53,105</w:t>
            </w: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2,583</w:t>
            </w:r>
          </w:p>
        </w:tc>
        <w:tc>
          <w:tcPr>
            <w:tcW w:w="80" w:type="dxa"/>
            <w:vAlign w:val="bottom"/>
          </w:tcPr>
          <w:p>
            <w:pPr>
              <w:spacing w:after="0"/>
              <w:rPr>
                <w:sz w:val="19"/>
                <w:szCs w:val="19"/>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19"/>
                <w:szCs w:val="19"/>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(1,999)</w:t>
            </w:r>
          </w:p>
        </w:tc>
        <w:tc>
          <w:tcPr>
            <w:tcW w:w="80" w:type="dxa"/>
            <w:vAlign w:val="bottom"/>
          </w:tcPr>
          <w:p>
            <w:pPr>
              <w:spacing w:after="0"/>
              <w:rPr>
                <w:sz w:val="19"/>
                <w:szCs w:val="19"/>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(337)</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53,386</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w:t>
            </w: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13</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(6)</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available-for-sale securities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4880" w:type="dxa"/>
            <w:vAlign w:val="bottom"/>
            <w:gridSpan w:val="2"/>
            <w:vMerge w:val="continue"/>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20" w:type="dxa"/>
            <w:vAlign w:val="bottom"/>
          </w:tcPr>
          <w:p>
            <w:pPr>
              <w:jc w:val="right"/>
              <w:spacing w:after="0"/>
              <w:rPr>
                <w:sz w:val="20"/>
                <w:szCs w:val="20"/>
                <w:color w:val="auto"/>
              </w:rPr>
            </w:pPr>
            <w:r>
              <w:rPr>
                <w:rFonts w:ascii="Arial" w:cs="Arial" w:eastAsia="Arial" w:hAnsi="Arial"/>
                <w:sz w:val="18"/>
                <w:szCs w:val="18"/>
                <w:color w:val="auto"/>
                <w:w w:val="90"/>
              </w:rPr>
              <w:t>53,297</w:t>
            </w:r>
          </w:p>
        </w:tc>
        <w:tc>
          <w:tcPr>
            <w:tcW w:w="60" w:type="dxa"/>
            <w:vAlign w:val="bottom"/>
          </w:tcPr>
          <w:p>
            <w:pPr>
              <w:spacing w:after="0"/>
              <w:rPr>
                <w:sz w:val="19"/>
                <w:szCs w:val="19"/>
                <w:color w:val="auto"/>
              </w:rPr>
            </w:pPr>
          </w:p>
        </w:tc>
        <w:tc>
          <w:tcPr>
            <w:tcW w:w="420" w:type="dxa"/>
            <w:vAlign w:val="bottom"/>
            <w:gridSpan w:val="2"/>
          </w:tcPr>
          <w:p>
            <w:pPr>
              <w:ind w:left="320"/>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2,596</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(2,005)</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(337)</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53,585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vMerge w:val="restart"/>
          </w:tcPr>
          <w:p>
            <w:pPr>
              <w:jc w:val="right"/>
              <w:ind w:right="12"/>
              <w:spacing w:after="0"/>
              <w:rPr>
                <w:sz w:val="20"/>
                <w:szCs w:val="20"/>
                <w:color w:val="auto"/>
              </w:rPr>
            </w:pPr>
            <w:r>
              <w:rPr>
                <w:rFonts w:ascii="Arial" w:cs="Arial" w:eastAsia="Arial" w:hAnsi="Arial"/>
                <w:sz w:val="18"/>
                <w:szCs w:val="18"/>
                <w:color w:val="auto"/>
                <w:w w:val="99"/>
              </w:rPr>
              <w:t>16</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As of December 31, 2009, the amortized cost or cost, gross unrealized gains (losses) and fair value of our fixed maturity and equity securities classified as available-for-sale were as follows:</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080" w:type="dxa"/>
            <w:vAlign w:val="bottom"/>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Amortized</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80" w:type="dxa"/>
            <w:vAlign w:val="bottom"/>
            <w:gridSpan w:val="5"/>
          </w:tcPr>
          <w:p>
            <w:pPr>
              <w:jc w:val="right"/>
              <w:ind w:right="294"/>
              <w:spacing w:after="0"/>
              <w:rPr>
                <w:sz w:val="20"/>
                <w:szCs w:val="20"/>
                <w:color w:val="auto"/>
              </w:rPr>
            </w:pPr>
            <w:r>
              <w:rPr>
                <w:rFonts w:ascii="Arial" w:cs="Arial" w:eastAsia="Arial" w:hAnsi="Arial"/>
                <w:sz w:val="14"/>
                <w:szCs w:val="14"/>
                <w:b w:val="1"/>
                <w:bCs w:val="1"/>
                <w:color w:val="auto"/>
              </w:rPr>
              <w:t>Gross unrealized gains</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20" w:type="dxa"/>
            <w:vAlign w:val="bottom"/>
            <w:gridSpan w:val="6"/>
          </w:tcPr>
          <w:p>
            <w:pPr>
              <w:jc w:val="right"/>
              <w:ind w:right="740"/>
              <w:spacing w:after="0"/>
              <w:rPr>
                <w:sz w:val="20"/>
                <w:szCs w:val="20"/>
                <w:color w:val="auto"/>
              </w:rPr>
            </w:pPr>
            <w:r>
              <w:rPr>
                <w:rFonts w:ascii="Arial" w:cs="Arial" w:eastAsia="Arial" w:hAnsi="Arial"/>
                <w:sz w:val="14"/>
                <w:szCs w:val="14"/>
                <w:b w:val="1"/>
                <w:bCs w:val="1"/>
                <w:color w:val="auto"/>
              </w:rPr>
              <w:t>Gross unrealized losses</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3080" w:type="dxa"/>
            <w:vAlign w:val="bottom"/>
          </w:tcPr>
          <w:p>
            <w:pPr>
              <w:spacing w:after="0"/>
              <w:rPr>
                <w:sz w:val="11"/>
                <w:szCs w:val="11"/>
                <w:color w:val="auto"/>
              </w:rPr>
            </w:pPr>
          </w:p>
        </w:tc>
        <w:tc>
          <w:tcPr>
            <w:tcW w:w="840" w:type="dxa"/>
            <w:vAlign w:val="bottom"/>
            <w:gridSpan w:val="3"/>
            <w:vMerge w:val="continue"/>
          </w:tcPr>
          <w:p>
            <w:pPr>
              <w:spacing w:after="0"/>
              <w:rPr>
                <w:sz w:val="11"/>
                <w:szCs w:val="11"/>
                <w:color w:val="auto"/>
              </w:rPr>
            </w:pPr>
          </w:p>
        </w:tc>
        <w:tc>
          <w:tcPr>
            <w:tcW w:w="240" w:type="dxa"/>
            <w:vAlign w:val="bottom"/>
          </w:tcPr>
          <w:p>
            <w:pPr>
              <w:spacing w:after="0"/>
              <w:rPr>
                <w:sz w:val="11"/>
                <w:szCs w:val="11"/>
                <w:color w:val="auto"/>
              </w:rPr>
            </w:pPr>
          </w:p>
        </w:tc>
        <w:tc>
          <w:tcPr>
            <w:tcW w:w="1140" w:type="dxa"/>
            <w:vAlign w:val="bottom"/>
            <w:tcBorders>
              <w:top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Not other-than-</w:t>
            </w:r>
          </w:p>
        </w:tc>
        <w:tc>
          <w:tcPr>
            <w:tcW w:w="24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9"/>
              </w:rPr>
              <w:t>Other-than-</w:t>
            </w:r>
          </w:p>
        </w:tc>
        <w:tc>
          <w:tcPr>
            <w:tcW w:w="500" w:type="dxa"/>
            <w:vAlign w:val="bottom"/>
          </w:tcPr>
          <w:p>
            <w:pPr>
              <w:spacing w:after="0"/>
              <w:rPr>
                <w:sz w:val="11"/>
                <w:szCs w:val="11"/>
                <w:color w:val="auto"/>
              </w:rPr>
            </w:pPr>
          </w:p>
        </w:tc>
        <w:tc>
          <w:tcPr>
            <w:tcW w:w="1220" w:type="dxa"/>
            <w:vAlign w:val="bottom"/>
            <w:tcBorders>
              <w:top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Not other-than-</w:t>
            </w:r>
          </w:p>
        </w:tc>
        <w:tc>
          <w:tcPr>
            <w:tcW w:w="26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9"/>
              </w:rPr>
              <w:t>Other-than-</w:t>
            </w: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cost or</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right"/>
              <w:ind w:right="340"/>
              <w:spacing w:after="0" w:line="149" w:lineRule="exact"/>
              <w:rPr>
                <w:sz w:val="20"/>
                <w:szCs w:val="20"/>
                <w:color w:val="auto"/>
              </w:rPr>
            </w:pPr>
            <w:r>
              <w:rPr>
                <w:rFonts w:ascii="Arial" w:cs="Arial" w:eastAsia="Arial" w:hAnsi="Arial"/>
                <w:sz w:val="14"/>
                <w:szCs w:val="14"/>
                <w:b w:val="1"/>
                <w:bCs w:val="1"/>
                <w:color w:val="auto"/>
                <w:w w:val="89"/>
              </w:rPr>
              <w:t>temporarily</w:t>
            </w:r>
          </w:p>
        </w:tc>
        <w:tc>
          <w:tcPr>
            <w:tcW w:w="240" w:type="dxa"/>
            <w:vAlign w:val="bottom"/>
          </w:tcPr>
          <w:p>
            <w:pPr>
              <w:spacing w:after="0"/>
              <w:rPr>
                <w:sz w:val="12"/>
                <w:szCs w:val="12"/>
                <w:color w:val="auto"/>
              </w:rPr>
            </w:pPr>
          </w:p>
        </w:tc>
        <w:tc>
          <w:tcPr>
            <w:tcW w:w="70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9"/>
              </w:rPr>
              <w:t>temporarily</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right"/>
              <w:ind w:right="440"/>
              <w:spacing w:after="0" w:line="149" w:lineRule="exact"/>
              <w:rPr>
                <w:sz w:val="20"/>
                <w:szCs w:val="20"/>
                <w:color w:val="auto"/>
              </w:rPr>
            </w:pPr>
            <w:r>
              <w:rPr>
                <w:rFonts w:ascii="Arial" w:cs="Arial" w:eastAsia="Arial" w:hAnsi="Arial"/>
                <w:sz w:val="14"/>
                <w:szCs w:val="14"/>
                <w:b w:val="1"/>
                <w:bCs w:val="1"/>
                <w:color w:val="auto"/>
                <w:w w:val="89"/>
              </w:rPr>
              <w:t>temporarily</w:t>
            </w:r>
          </w:p>
        </w:tc>
        <w:tc>
          <w:tcPr>
            <w:tcW w:w="260" w:type="dxa"/>
            <w:vAlign w:val="bottom"/>
          </w:tcPr>
          <w:p>
            <w:pPr>
              <w:spacing w:after="0"/>
              <w:rPr>
                <w:sz w:val="12"/>
                <w:szCs w:val="12"/>
                <w:color w:val="auto"/>
              </w:rPr>
            </w:pPr>
          </w:p>
        </w:tc>
        <w:tc>
          <w:tcPr>
            <w:tcW w:w="102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temporarily</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ind w:right="75"/>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61"/>
        </w:trPr>
        <w:tc>
          <w:tcPr>
            <w:tcW w:w="44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7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3"/>
              </w:rPr>
              <w:t>cost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impaired</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b w:val="1"/>
                <w:bCs w:val="1"/>
                <w:color w:val="auto"/>
                <w:w w:val="85"/>
              </w:rPr>
              <w:t>impaired</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impaired</w:t>
            </w: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85"/>
              </w:rPr>
              <w:t>impaired</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jc w:val="right"/>
              <w:ind w:right="55"/>
              <w:spacing w:after="0"/>
              <w:rPr>
                <w:sz w:val="20"/>
                <w:szCs w:val="20"/>
                <w:color w:val="auto"/>
              </w:rPr>
            </w:pPr>
            <w:r>
              <w:rPr>
                <w:rFonts w:ascii="Arial" w:cs="Arial" w:eastAsia="Arial" w:hAnsi="Arial"/>
                <w:sz w:val="14"/>
                <w:szCs w:val="14"/>
                <w:b w:val="1"/>
                <w:bCs w:val="1"/>
                <w:color w:val="auto"/>
                <w:w w:val="89"/>
              </w:rPr>
              <w:t>value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400" w:type="dxa"/>
            <w:vAlign w:val="bottom"/>
            <w:gridSpan w:val="2"/>
          </w:tcPr>
          <w:p>
            <w:pPr>
              <w:ind w:left="420"/>
              <w:spacing w:after="0"/>
              <w:rPr>
                <w:sz w:val="20"/>
                <w:szCs w:val="20"/>
                <w:color w:val="auto"/>
              </w:rPr>
            </w:pPr>
            <w:r>
              <w:rPr>
                <w:rFonts w:ascii="Arial" w:cs="Arial" w:eastAsia="Arial" w:hAnsi="Arial"/>
                <w:sz w:val="18"/>
                <w:szCs w:val="18"/>
                <w:color w:val="auto"/>
              </w:rPr>
              <w:t>U.S. government, agencies and government-</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400" w:type="dxa"/>
            <w:vAlign w:val="bottom"/>
            <w:gridSpan w:val="2"/>
          </w:tcPr>
          <w:p>
            <w:pPr>
              <w:ind w:left="640"/>
              <w:spacing w:after="0"/>
              <w:rPr>
                <w:sz w:val="20"/>
                <w:szCs w:val="20"/>
                <w:color w:val="auto"/>
              </w:rPr>
            </w:pPr>
            <w:r>
              <w:rPr>
                <w:rFonts w:ascii="Arial" w:cs="Arial" w:eastAsia="Arial" w:hAnsi="Arial"/>
                <w:sz w:val="18"/>
                <w:szCs w:val="18"/>
                <w:color w:val="auto"/>
              </w:rPr>
              <w:t>sponsored enterprises</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2,673</w:t>
            </w:r>
          </w:p>
        </w:tc>
        <w:tc>
          <w:tcPr>
            <w:tcW w:w="340" w:type="dxa"/>
            <w:vAlign w:val="bottom"/>
            <w:gridSpan w:val="2"/>
          </w:tcPr>
          <w:p>
            <w:pPr>
              <w:ind w:left="24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25</w:t>
            </w:r>
          </w:p>
        </w:tc>
        <w:tc>
          <w:tcPr>
            <w:tcW w:w="340" w:type="dxa"/>
            <w:vAlign w:val="bottom"/>
            <w:gridSpan w:val="2"/>
          </w:tcPr>
          <w:p>
            <w:pPr>
              <w:ind w:left="240"/>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580" w:type="dxa"/>
            <w:vAlign w:val="bottom"/>
            <w:gridSpan w:val="2"/>
          </w:tcPr>
          <w:p>
            <w:pPr>
              <w:ind w:left="500"/>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(96)</w:t>
            </w:r>
          </w:p>
        </w:tc>
        <w:tc>
          <w:tcPr>
            <w:tcW w:w="340" w:type="dxa"/>
            <w:vAlign w:val="bottom"/>
            <w:gridSpan w:val="2"/>
          </w:tcPr>
          <w:p>
            <w:pPr>
              <w:ind w:left="260"/>
              <w:spacing w:after="0"/>
              <w:rPr>
                <w:sz w:val="20"/>
                <w:szCs w:val="20"/>
                <w:color w:val="auto"/>
              </w:rPr>
            </w:pPr>
            <w:r>
              <w:rPr>
                <w:rFonts w:ascii="Arial" w:cs="Arial" w:eastAsia="Arial" w:hAnsi="Arial"/>
                <w:sz w:val="15"/>
                <w:szCs w:val="15"/>
                <w:color w:val="auto"/>
                <w:w w:val="71"/>
              </w:rPr>
              <w:t>$</w:t>
            </w:r>
          </w:p>
        </w:tc>
        <w:tc>
          <w:tcPr>
            <w:tcW w:w="94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2,602</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4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Tax-exempt</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1,606</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42</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(104)</w:t>
            </w: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ind w:left="420"/>
              <w:spacing w:after="0"/>
              <w:rPr>
                <w:sz w:val="20"/>
                <w:szCs w:val="20"/>
                <w:color w:val="auto"/>
              </w:rPr>
            </w:pPr>
            <w:r>
              <w:rPr>
                <w:rFonts w:ascii="Arial" w:cs="Arial" w:eastAsia="Arial" w:hAnsi="Arial"/>
                <w:sz w:val="18"/>
                <w:szCs w:val="18"/>
                <w:color w:val="auto"/>
              </w:rPr>
              <w:t>Government—non-U.S.</w:t>
            </w:r>
          </w:p>
        </w:tc>
        <w:tc>
          <w:tcPr>
            <w:tcW w:w="10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2,310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96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(22)</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2,384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U.S. corporate</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0"/>
              </w:rPr>
              <w:t>21,598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628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(814)</w:t>
            </w: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21,412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ind w:left="420"/>
              <w:spacing w:after="0"/>
              <w:rPr>
                <w:sz w:val="20"/>
                <w:szCs w:val="20"/>
                <w:color w:val="auto"/>
              </w:rPr>
            </w:pPr>
            <w:r>
              <w:rPr>
                <w:rFonts w:ascii="Arial" w:cs="Arial" w:eastAsia="Arial" w:hAnsi="Arial"/>
                <w:sz w:val="18"/>
                <w:szCs w:val="18"/>
                <w:color w:val="auto"/>
              </w:rPr>
              <w:t>Corporate—non-U.S.</w:t>
            </w:r>
          </w:p>
        </w:tc>
        <w:tc>
          <w:tcPr>
            <w:tcW w:w="10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w w:val="90"/>
              </w:rPr>
              <w:t>12,530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366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w:t>
            </w: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(356)</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12,551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Residential mortgage-backed</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3,989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41</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(484)</w:t>
            </w: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(326)</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tcPr>
          <w:p>
            <w:pPr>
              <w:ind w:left="420"/>
              <w:spacing w:after="0"/>
              <w:rPr>
                <w:sz w:val="20"/>
                <w:szCs w:val="20"/>
                <w:color w:val="auto"/>
              </w:rPr>
            </w:pPr>
            <w:r>
              <w:rPr>
                <w:rFonts w:ascii="Arial" w:cs="Arial" w:eastAsia="Arial" w:hAnsi="Arial"/>
                <w:sz w:val="18"/>
                <w:szCs w:val="18"/>
                <w:color w:val="auto"/>
              </w:rPr>
              <w:t>Commercial mortgage-backed</w:t>
            </w:r>
          </w:p>
        </w:tc>
        <w:tc>
          <w:tcPr>
            <w:tcW w:w="10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4,404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44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w:t>
            </w: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(738)</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8"/>
                <w:szCs w:val="18"/>
                <w:color w:val="auto"/>
              </w:rPr>
              <w:t>(97)</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3,617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Other asset-backed</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2,887</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(466)</w:t>
            </w: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(14)</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fixed maturity securities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440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w w:val="90"/>
              </w:rPr>
              <w:t>51,997</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1,250</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25</w:t>
            </w:r>
          </w:p>
        </w:tc>
        <w:tc>
          <w:tcPr>
            <w:tcW w:w="5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(3,080)</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8"/>
                <w:szCs w:val="18"/>
                <w:color w:val="auto"/>
              </w:rPr>
              <w:t>(440)</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49,752</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w:t>
            </w: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available-for-sale securities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4400" w:type="dxa"/>
            <w:vAlign w:val="bottom"/>
            <w:gridSpan w:val="2"/>
            <w:vMerge w:val="continue"/>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20" w:type="dxa"/>
            <w:vAlign w:val="bottom"/>
          </w:tcPr>
          <w:p>
            <w:pPr>
              <w:jc w:val="right"/>
              <w:spacing w:after="0"/>
              <w:rPr>
                <w:sz w:val="20"/>
                <w:szCs w:val="20"/>
                <w:color w:val="auto"/>
              </w:rPr>
            </w:pPr>
            <w:r>
              <w:rPr>
                <w:rFonts w:ascii="Arial" w:cs="Arial" w:eastAsia="Arial" w:hAnsi="Arial"/>
                <w:sz w:val="18"/>
                <w:szCs w:val="18"/>
                <w:color w:val="auto"/>
                <w:w w:val="90"/>
              </w:rPr>
              <w:t>52,136</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1,273</w:t>
            </w:r>
          </w:p>
        </w:tc>
        <w:tc>
          <w:tcPr>
            <w:tcW w:w="340" w:type="dxa"/>
            <w:vAlign w:val="bottom"/>
            <w:gridSpan w:val="2"/>
          </w:tcPr>
          <w:p>
            <w:pPr>
              <w:ind w:left="240"/>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25</w:t>
            </w:r>
          </w:p>
        </w:tc>
        <w:tc>
          <w:tcPr>
            <w:tcW w:w="580" w:type="dxa"/>
            <w:vAlign w:val="bottom"/>
            <w:gridSpan w:val="2"/>
          </w:tcPr>
          <w:p>
            <w:pPr>
              <w:ind w:left="500"/>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(3,083)</w:t>
            </w:r>
          </w:p>
        </w:tc>
        <w:tc>
          <w:tcPr>
            <w:tcW w:w="340" w:type="dxa"/>
            <w:vAlign w:val="bottom"/>
            <w:gridSpan w:val="2"/>
          </w:tcPr>
          <w:p>
            <w:pPr>
              <w:ind w:left="260"/>
              <w:spacing w:after="0"/>
              <w:rPr>
                <w:sz w:val="20"/>
                <w:szCs w:val="20"/>
                <w:color w:val="auto"/>
              </w:rPr>
            </w:pPr>
            <w:r>
              <w:rPr>
                <w:rFonts w:ascii="Arial" w:cs="Arial" w:eastAsia="Arial" w:hAnsi="Arial"/>
                <w:sz w:val="15"/>
                <w:szCs w:val="15"/>
                <w:color w:val="auto"/>
                <w:w w:val="71"/>
              </w:rPr>
              <w:t>$</w:t>
            </w:r>
          </w:p>
        </w:tc>
        <w:tc>
          <w:tcPr>
            <w:tcW w:w="940" w:type="dxa"/>
            <w:vAlign w:val="bottom"/>
            <w:gridSpan w:val="2"/>
          </w:tcPr>
          <w:p>
            <w:pPr>
              <w:jc w:val="right"/>
              <w:ind w:right="260"/>
              <w:spacing w:after="0"/>
              <w:rPr>
                <w:sz w:val="20"/>
                <w:szCs w:val="20"/>
                <w:color w:val="auto"/>
              </w:rPr>
            </w:pPr>
            <w:r>
              <w:rPr>
                <w:rFonts w:ascii="Arial" w:cs="Arial" w:eastAsia="Arial" w:hAnsi="Arial"/>
                <w:sz w:val="18"/>
                <w:szCs w:val="18"/>
                <w:color w:val="auto"/>
              </w:rPr>
              <w:t>(440)</w:t>
            </w:r>
          </w:p>
        </w:tc>
        <w:tc>
          <w:tcPr>
            <w:tcW w:w="36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49,911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jc w:val="right"/>
              <w:ind w:right="516"/>
              <w:spacing w:after="0"/>
              <w:rPr>
                <w:sz w:val="20"/>
                <w:szCs w:val="20"/>
                <w:color w:val="auto"/>
              </w:rPr>
            </w:pPr>
            <w:r>
              <w:rPr>
                <w:rFonts w:ascii="Arial" w:cs="Arial" w:eastAsia="Arial" w:hAnsi="Arial"/>
                <w:sz w:val="18"/>
                <w:szCs w:val="18"/>
                <w:color w:val="auto"/>
                <w:w w:val="89"/>
              </w:rPr>
              <w:t>17</w:t>
            </w: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The following table presents the gross unrealized losses and fair values of our investment securities, aggregated by investment type and length of time that individual investment securities have been in a continuous unrealized loss position, as of June 30, 2010:</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2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4"/>
                <w:szCs w:val="14"/>
                <w:b w:val="1"/>
                <w:bCs w:val="1"/>
                <w:color w:val="auto"/>
                <w:w w:val="91"/>
              </w:rPr>
              <w:t>Less than 12 months</w:t>
            </w:r>
          </w:p>
        </w:tc>
        <w:tc>
          <w:tcPr>
            <w:tcW w:w="64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4"/>
                <w:szCs w:val="14"/>
                <w:b w:val="1"/>
                <w:bCs w:val="1"/>
                <w:color w:val="auto"/>
                <w:w w:val="96"/>
              </w:rPr>
              <w:t>12 months or more</w:t>
            </w:r>
          </w:p>
        </w:tc>
        <w:tc>
          <w:tcPr>
            <w:tcW w:w="6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2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2"/>
          </w:tcPr>
          <w:p>
            <w:pPr>
              <w:jc w:val="right"/>
              <w:ind w:right="660"/>
              <w:spacing w:after="0" w:line="129" w:lineRule="exact"/>
              <w:rPr>
                <w:sz w:val="20"/>
                <w:szCs w:val="20"/>
                <w:color w:val="auto"/>
              </w:rPr>
            </w:pPr>
            <w:r>
              <w:rPr>
                <w:rFonts w:ascii="Arial" w:cs="Arial" w:eastAsia="Arial" w:hAnsi="Arial"/>
                <w:sz w:val="14"/>
                <w:szCs w:val="14"/>
                <w:b w:val="1"/>
                <w:bCs w:val="1"/>
                <w:color w:val="auto"/>
                <w:w w:val="83"/>
              </w:rPr>
              <w:t>Gross</w:t>
            </w: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gridSpan w:val="2"/>
          </w:tcPr>
          <w:p>
            <w:pPr>
              <w:jc w:val="right"/>
              <w:ind w:right="660"/>
              <w:spacing w:after="0" w:line="129" w:lineRule="exact"/>
              <w:rPr>
                <w:sz w:val="20"/>
                <w:szCs w:val="20"/>
                <w:color w:val="auto"/>
              </w:rPr>
            </w:pPr>
            <w:r>
              <w:rPr>
                <w:rFonts w:ascii="Arial" w:cs="Arial" w:eastAsia="Arial" w:hAnsi="Arial"/>
                <w:sz w:val="14"/>
                <w:szCs w:val="14"/>
                <w:b w:val="1"/>
                <w:bCs w:val="1"/>
                <w:color w:val="auto"/>
                <w:w w:val="83"/>
              </w:rPr>
              <w:t>Gross</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gridSpan w:val="2"/>
          </w:tcPr>
          <w:p>
            <w:pPr>
              <w:jc w:val="right"/>
              <w:ind w:right="260"/>
              <w:spacing w:after="0" w:line="149" w:lineRule="exact"/>
              <w:rPr>
                <w:sz w:val="20"/>
                <w:szCs w:val="20"/>
                <w:color w:val="auto"/>
              </w:rPr>
            </w:pPr>
            <w:r>
              <w:rPr>
                <w:rFonts w:ascii="Arial" w:cs="Arial" w:eastAsia="Arial" w:hAnsi="Arial"/>
                <w:sz w:val="14"/>
                <w:szCs w:val="14"/>
                <w:b w:val="1"/>
                <w:bCs w:val="1"/>
                <w:color w:val="auto"/>
              </w:rPr>
              <w:t>Fair</w:t>
            </w:r>
          </w:p>
        </w:tc>
        <w:tc>
          <w:tcPr>
            <w:tcW w:w="280" w:type="dxa"/>
            <w:vAlign w:val="bottom"/>
          </w:tcPr>
          <w:p>
            <w:pPr>
              <w:spacing w:after="0"/>
              <w:rPr>
                <w:sz w:val="12"/>
                <w:szCs w:val="12"/>
                <w:color w:val="auto"/>
              </w:rPr>
            </w:pPr>
          </w:p>
        </w:tc>
        <w:tc>
          <w:tcPr>
            <w:tcW w:w="11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unrealized</w:t>
            </w:r>
          </w:p>
        </w:tc>
        <w:tc>
          <w:tcPr>
            <w:tcW w:w="8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Number of</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3"/>
              </w:rPr>
              <w:t>Fair</w:t>
            </w:r>
          </w:p>
        </w:tc>
        <w:tc>
          <w:tcPr>
            <w:tcW w:w="280" w:type="dxa"/>
            <w:vAlign w:val="bottom"/>
          </w:tcPr>
          <w:p>
            <w:pPr>
              <w:spacing w:after="0"/>
              <w:rPr>
                <w:sz w:val="12"/>
                <w:szCs w:val="12"/>
                <w:color w:val="auto"/>
              </w:rPr>
            </w:pPr>
          </w:p>
        </w:tc>
        <w:tc>
          <w:tcPr>
            <w:tcW w:w="112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unrealized</w:t>
            </w: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88"/>
              </w:rPr>
              <w:t>Number of</w:t>
            </w:r>
          </w:p>
        </w:tc>
        <w:tc>
          <w:tcPr>
            <w:tcW w:w="0" w:type="dxa"/>
            <w:vAlign w:val="bottom"/>
          </w:tcPr>
          <w:p>
            <w:pPr>
              <w:spacing w:after="0"/>
              <w:rPr>
                <w:sz w:val="1"/>
                <w:szCs w:val="1"/>
                <w:color w:val="auto"/>
              </w:rPr>
            </w:pPr>
          </w:p>
        </w:tc>
      </w:tr>
      <w:tr>
        <w:trPr>
          <w:trHeight w:val="161"/>
        </w:trPr>
        <w:tc>
          <w:tcPr>
            <w:tcW w:w="4520" w:type="dxa"/>
            <w:vAlign w:val="bottom"/>
            <w:gridSpan w:val="3"/>
          </w:tcPr>
          <w:p>
            <w:pPr>
              <w:spacing w:after="0"/>
              <w:rPr>
                <w:sz w:val="20"/>
                <w:szCs w:val="20"/>
                <w:color w:val="auto"/>
              </w:rPr>
            </w:pPr>
            <w:r>
              <w:rPr>
                <w:rFonts w:ascii="Arial" w:cs="Arial" w:eastAsia="Arial" w:hAnsi="Arial"/>
                <w:sz w:val="14"/>
                <w:szCs w:val="14"/>
                <w:b w:val="1"/>
                <w:bCs w:val="1"/>
                <w:color w:val="auto"/>
              </w:rPr>
              <w:t>(Dollar amounts in millions)</w:t>
            </w: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78"/>
              </w:rPr>
              <w:t>value</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w w:val="73"/>
              </w:rPr>
              <w:t>losses</w:t>
            </w:r>
          </w:p>
        </w:tc>
        <w:tc>
          <w:tcPr>
            <w:tcW w:w="8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2"/>
              </w:rPr>
              <w:t>securities</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value</w:t>
            </w: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w w:val="77"/>
              </w:rPr>
              <w:t>losses</w:t>
            </w:r>
          </w:p>
        </w:tc>
        <w:tc>
          <w:tcPr>
            <w:tcW w:w="66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w w:val="88"/>
              </w:rPr>
              <w:t>securities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Description of Securities</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tcPr>
          <w:p>
            <w:pPr>
              <w:spacing w:after="0"/>
              <w:rPr>
                <w:sz w:val="20"/>
                <w:szCs w:val="20"/>
                <w:color w:val="auto"/>
              </w:rPr>
            </w:pPr>
            <w:r>
              <w:rPr>
                <w:rFonts w:ascii="Arial" w:cs="Arial" w:eastAsia="Arial" w:hAnsi="Arial"/>
                <w:sz w:val="18"/>
                <w:szCs w:val="18"/>
                <w:color w:val="auto"/>
              </w:rPr>
              <w:t>Fixed maturity securities:</w:t>
            </w: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Tax-exempt</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106</w:t>
            </w:r>
          </w:p>
        </w:tc>
        <w:tc>
          <w:tcPr>
            <w:tcW w:w="40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(3)</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272</w:t>
            </w:r>
          </w:p>
        </w:tc>
        <w:tc>
          <w:tcPr>
            <w:tcW w:w="3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(93)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tcPr>
          <w:p>
            <w:pPr>
              <w:ind w:left="420"/>
              <w:spacing w:after="0"/>
              <w:rPr>
                <w:sz w:val="20"/>
                <w:szCs w:val="20"/>
                <w:color w:val="auto"/>
              </w:rPr>
            </w:pPr>
            <w:r>
              <w:rPr>
                <w:rFonts w:ascii="Arial" w:cs="Arial" w:eastAsia="Arial" w:hAnsi="Arial"/>
                <w:sz w:val="18"/>
                <w:szCs w:val="18"/>
                <w:color w:val="auto"/>
              </w:rPr>
              <w:t>Government—non-U.S.</w:t>
            </w: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rPr>
              <w:t>69</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(1)</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30</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8"/>
                <w:szCs w:val="18"/>
                <w:color w:val="auto"/>
              </w:rPr>
              <w:t>34</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(2)</w:t>
            </w:r>
          </w:p>
        </w:tc>
        <w:tc>
          <w:tcPr>
            <w:tcW w:w="640" w:type="dxa"/>
            <w:vAlign w:val="bottom"/>
          </w:tcPr>
          <w:p>
            <w:pPr>
              <w:jc w:val="right"/>
              <w:spacing w:after="0"/>
              <w:rPr>
                <w:sz w:val="20"/>
                <w:szCs w:val="20"/>
                <w:color w:val="auto"/>
              </w:rPr>
            </w:pPr>
            <w:r>
              <w:rPr>
                <w:rFonts w:ascii="Arial" w:cs="Arial" w:eastAsia="Arial" w:hAnsi="Arial"/>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U.S. corporate</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4"/>
              </w:rPr>
              <w:t>1,257</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(47)</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168</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8"/>
              </w:rPr>
              <w:t>3,596</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(443)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tcPr>
          <w:p>
            <w:pPr>
              <w:ind w:left="420"/>
              <w:spacing w:after="0"/>
              <w:rPr>
                <w:sz w:val="20"/>
                <w:szCs w:val="20"/>
                <w:color w:val="auto"/>
              </w:rPr>
            </w:pPr>
            <w:r>
              <w:rPr>
                <w:rFonts w:ascii="Arial" w:cs="Arial" w:eastAsia="Arial" w:hAnsi="Arial"/>
                <w:sz w:val="18"/>
                <w:szCs w:val="18"/>
                <w:color w:val="auto"/>
              </w:rPr>
              <w:t>Corporate—non-U.S.</w:t>
            </w: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rPr>
              <w:t>926</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(32)</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163</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8"/>
                <w:szCs w:val="18"/>
                <w:color w:val="auto"/>
                <w:w w:val="88"/>
              </w:rPr>
              <w:t>1,774</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(247)</w:t>
            </w:r>
          </w:p>
        </w:tc>
        <w:tc>
          <w:tcPr>
            <w:tcW w:w="640" w:type="dxa"/>
            <w:vAlign w:val="bottom"/>
          </w:tcPr>
          <w:p>
            <w:pPr>
              <w:jc w:val="right"/>
              <w:spacing w:after="0"/>
              <w:rPr>
                <w:sz w:val="20"/>
                <w:szCs w:val="20"/>
                <w:color w:val="auto"/>
              </w:rPr>
            </w:pPr>
            <w:r>
              <w:rPr>
                <w:rFonts w:ascii="Arial" w:cs="Arial" w:eastAsia="Arial" w:hAnsi="Arial"/>
                <w:sz w:val="18"/>
                <w:szCs w:val="18"/>
                <w:color w:val="auto"/>
              </w:rPr>
              <w:t>161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Residential mortgage-backed</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291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(5)</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76</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8"/>
              </w:rPr>
              <w:t>1,097</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(603)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tcPr>
          <w:p>
            <w:pPr>
              <w:ind w:left="420"/>
              <w:spacing w:after="0"/>
              <w:rPr>
                <w:sz w:val="20"/>
                <w:szCs w:val="20"/>
                <w:color w:val="auto"/>
              </w:rPr>
            </w:pPr>
            <w:r>
              <w:rPr>
                <w:rFonts w:ascii="Arial" w:cs="Arial" w:eastAsia="Arial" w:hAnsi="Arial"/>
                <w:sz w:val="18"/>
                <w:szCs w:val="18"/>
                <w:color w:val="auto"/>
              </w:rPr>
              <w:t>Commercial mortgage-backed</w:t>
            </w: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rPr>
              <w:t>79</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(4)</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11</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8"/>
                <w:szCs w:val="18"/>
                <w:color w:val="auto"/>
                <w:w w:val="88"/>
              </w:rPr>
              <w:t>1,282</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(546)</w:t>
            </w:r>
          </w:p>
        </w:tc>
        <w:tc>
          <w:tcPr>
            <w:tcW w:w="640" w:type="dxa"/>
            <w:vAlign w:val="bottom"/>
          </w:tcPr>
          <w:p>
            <w:pPr>
              <w:jc w:val="right"/>
              <w:spacing w:after="0"/>
              <w:rPr>
                <w:sz w:val="20"/>
                <w:szCs w:val="20"/>
                <w:color w:val="auto"/>
              </w:rPr>
            </w:pPr>
            <w:r>
              <w:rPr>
                <w:rFonts w:ascii="Arial" w:cs="Arial" w:eastAsia="Arial" w:hAnsi="Arial"/>
                <w:sz w:val="18"/>
                <w:szCs w:val="18"/>
                <w:color w:val="auto"/>
              </w:rPr>
              <w:t>277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Other asset-backed</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413</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28</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969</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(309)</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00" w:type="dxa"/>
            <w:vAlign w:val="bottom"/>
            <w:gridSpan w:val="2"/>
            <w:vMerge w:val="restart"/>
          </w:tcPr>
          <w:p>
            <w:pPr>
              <w:ind w:left="420"/>
              <w:spacing w:after="0"/>
              <w:rPr>
                <w:sz w:val="20"/>
                <w:szCs w:val="20"/>
                <w:color w:val="auto"/>
              </w:rPr>
            </w:pPr>
            <w:r>
              <w:rPr>
                <w:rFonts w:ascii="Arial" w:cs="Arial" w:eastAsia="Arial" w:hAnsi="Arial"/>
                <w:sz w:val="18"/>
                <w:szCs w:val="18"/>
                <w:color w:val="auto"/>
              </w:rPr>
              <w:t>Subtotal, fixed maturity securities</w:t>
            </w:r>
          </w:p>
        </w:tc>
        <w:tc>
          <w:tcPr>
            <w:tcW w:w="1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4500" w:type="dxa"/>
            <w:vAlign w:val="bottom"/>
            <w:gridSpan w:val="2"/>
            <w:vMerge w:val="continue"/>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w w:val="84"/>
              </w:rPr>
              <w:t>3,141</w:t>
            </w: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(93)</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509</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8"/>
                <w:szCs w:val="18"/>
                <w:color w:val="auto"/>
                <w:w w:val="88"/>
              </w:rPr>
              <w:t>9,024</w:t>
            </w: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w w:val="94"/>
              </w:rPr>
              <w:t>(2,243)</w:t>
            </w: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1,449</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(5)</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41</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20" w:type="dxa"/>
            <w:vAlign w:val="bottom"/>
            <w:gridSpan w:val="3"/>
            <w:vMerge w:val="restart"/>
          </w:tcPr>
          <w:p>
            <w:pPr>
              <w:spacing w:after="0"/>
              <w:rPr>
                <w:sz w:val="20"/>
                <w:szCs w:val="20"/>
                <w:color w:val="auto"/>
              </w:rPr>
            </w:pPr>
            <w:r>
              <w:rPr>
                <w:rFonts w:ascii="Arial" w:cs="Arial" w:eastAsia="Arial" w:hAnsi="Arial"/>
                <w:sz w:val="18"/>
                <w:szCs w:val="18"/>
                <w:color w:val="auto"/>
              </w:rPr>
              <w:t>Total for securities in an unrealized loss position</w:t>
            </w:r>
          </w:p>
        </w:tc>
        <w:tc>
          <w:tcPr>
            <w:tcW w:w="1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520" w:type="dxa"/>
            <w:vAlign w:val="bottom"/>
            <w:gridSpan w:val="3"/>
            <w:vMerge w:val="continue"/>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w w:val="84"/>
              </w:rPr>
              <w:t>3,192</w:t>
            </w:r>
          </w:p>
        </w:tc>
        <w:tc>
          <w:tcPr>
            <w:tcW w:w="400" w:type="dxa"/>
            <w:vAlign w:val="bottom"/>
            <w:gridSpan w:val="2"/>
          </w:tcPr>
          <w:p>
            <w:pPr>
              <w:ind w:left="28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(98)</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550</w:t>
            </w:r>
          </w:p>
        </w:tc>
        <w:tc>
          <w:tcPr>
            <w:tcW w:w="3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560" w:type="dxa"/>
            <w:vAlign w:val="bottom"/>
            <w:gridSpan w:val="2"/>
          </w:tcPr>
          <w:p>
            <w:pPr>
              <w:jc w:val="right"/>
              <w:ind w:right="140"/>
              <w:spacing w:after="0"/>
              <w:rPr>
                <w:sz w:val="20"/>
                <w:szCs w:val="20"/>
                <w:color w:val="auto"/>
              </w:rPr>
            </w:pPr>
            <w:r>
              <w:rPr>
                <w:rFonts w:ascii="Arial" w:cs="Arial" w:eastAsia="Arial" w:hAnsi="Arial"/>
                <w:sz w:val="18"/>
                <w:szCs w:val="18"/>
                <w:color w:val="auto"/>
                <w:w w:val="88"/>
              </w:rPr>
              <w:t>9,031</w:t>
            </w:r>
          </w:p>
        </w:tc>
        <w:tc>
          <w:tcPr>
            <w:tcW w:w="380" w:type="dxa"/>
            <w:vAlign w:val="bottom"/>
            <w:gridSpan w:val="2"/>
          </w:tcPr>
          <w:p>
            <w:pPr>
              <w:ind w:left="28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w w:val="94"/>
              </w:rPr>
              <w:t>(2,244)</w:t>
            </w: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1,457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4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Below cost—fixed maturity securities:</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tcPr>
          <w:p>
            <w:pPr>
              <w:ind w:left="420"/>
              <w:spacing w:after="0"/>
              <w:rPr>
                <w:sz w:val="20"/>
                <w:szCs w:val="20"/>
                <w:color w:val="auto"/>
              </w:rPr>
            </w:pPr>
            <w:r>
              <w:rPr>
                <w:rFonts w:ascii="Arial" w:cs="Arial" w:eastAsia="Arial" w:hAnsi="Arial"/>
                <w:sz w:val="18"/>
                <w:szCs w:val="18"/>
                <w:color w:val="auto"/>
              </w:rPr>
              <w:t>&lt;20% Below cost</w:t>
            </w:r>
          </w:p>
        </w:tc>
        <w:tc>
          <w:tcPr>
            <w:tcW w:w="1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w w:val="84"/>
              </w:rPr>
              <w:t>3,089</w:t>
            </w:r>
          </w:p>
        </w:tc>
        <w:tc>
          <w:tcPr>
            <w:tcW w:w="400" w:type="dxa"/>
            <w:vAlign w:val="bottom"/>
            <w:gridSpan w:val="2"/>
          </w:tcPr>
          <w:p>
            <w:pPr>
              <w:ind w:left="28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(71)</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469</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40"/>
              <w:spacing w:after="0"/>
              <w:rPr>
                <w:sz w:val="20"/>
                <w:szCs w:val="20"/>
                <w:color w:val="auto"/>
              </w:rPr>
            </w:pPr>
            <w:r>
              <w:rPr>
                <w:rFonts w:ascii="Arial" w:cs="Arial" w:eastAsia="Arial" w:hAnsi="Arial"/>
                <w:sz w:val="18"/>
                <w:szCs w:val="18"/>
                <w:color w:val="auto"/>
                <w:w w:val="88"/>
              </w:rPr>
              <w:t>6,602</w:t>
            </w:r>
          </w:p>
        </w:tc>
        <w:tc>
          <w:tcPr>
            <w:tcW w:w="380" w:type="dxa"/>
            <w:vAlign w:val="bottom"/>
            <w:gridSpan w:val="2"/>
          </w:tcPr>
          <w:p>
            <w:pPr>
              <w:ind w:left="28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(515)</w:t>
            </w:r>
          </w:p>
        </w:tc>
        <w:tc>
          <w:tcPr>
            <w:tcW w:w="640" w:type="dxa"/>
            <w:vAlign w:val="bottom"/>
          </w:tcPr>
          <w:p>
            <w:pPr>
              <w:jc w:val="right"/>
              <w:spacing w:after="0"/>
              <w:rPr>
                <w:sz w:val="20"/>
                <w:szCs w:val="20"/>
                <w:color w:val="auto"/>
              </w:rPr>
            </w:pPr>
            <w:r>
              <w:rPr>
                <w:rFonts w:ascii="Arial" w:cs="Arial" w:eastAsia="Arial" w:hAnsi="Arial"/>
                <w:sz w:val="18"/>
                <w:szCs w:val="18"/>
                <w:color w:val="auto"/>
              </w:rPr>
              <w:t>763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20-50% Below cost</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(20)</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22</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8"/>
              </w:rPr>
              <w:t>2,069</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4"/>
              </w:rPr>
              <w:t>(1,006)</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tcPr>
          <w:p>
            <w:pPr>
              <w:ind w:left="420"/>
              <w:spacing w:after="0"/>
              <w:rPr>
                <w:sz w:val="20"/>
                <w:szCs w:val="20"/>
                <w:color w:val="auto"/>
              </w:rPr>
            </w:pPr>
            <w:r>
              <w:rPr>
                <w:rFonts w:ascii="Arial" w:cs="Arial" w:eastAsia="Arial" w:hAnsi="Arial"/>
                <w:sz w:val="18"/>
                <w:szCs w:val="18"/>
                <w:color w:val="auto"/>
              </w:rPr>
              <w:t>&gt;50% Below cost</w:t>
            </w: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rPr>
              <w:t>1</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(2)</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18</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8"/>
                <w:szCs w:val="18"/>
                <w:color w:val="auto"/>
              </w:rPr>
              <w:t>353</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(722)</w:t>
            </w:r>
          </w:p>
        </w:tc>
        <w:tc>
          <w:tcPr>
            <w:tcW w:w="640" w:type="dxa"/>
            <w:vAlign w:val="bottom"/>
          </w:tcPr>
          <w:p>
            <w:pPr>
              <w:jc w:val="right"/>
              <w:spacing w:after="0"/>
              <w:rPr>
                <w:sz w:val="20"/>
                <w:szCs w:val="20"/>
                <w:color w:val="auto"/>
              </w:rPr>
            </w:pPr>
            <w:r>
              <w:rPr>
                <w:rFonts w:ascii="Arial" w:cs="Arial" w:eastAsia="Arial" w:hAnsi="Arial"/>
                <w:sz w:val="18"/>
                <w:szCs w:val="18"/>
                <w:color w:val="auto"/>
              </w:rPr>
              <w:t>280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fixed maturity securities</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4"/>
              </w:rPr>
              <w:t>3,141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(93)</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509</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8"/>
              </w:rPr>
              <w:t>9,024</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4"/>
              </w:rPr>
              <w:t>(2,243)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4520" w:type="dxa"/>
            <w:vAlign w:val="bottom"/>
            <w:gridSpan w:val="3"/>
          </w:tcPr>
          <w:p>
            <w:pPr>
              <w:spacing w:after="0"/>
              <w:rPr>
                <w:sz w:val="20"/>
                <w:szCs w:val="20"/>
                <w:color w:val="auto"/>
              </w:rPr>
            </w:pPr>
            <w:r>
              <w:rPr>
                <w:rFonts w:ascii="Arial" w:cs="Arial" w:eastAsia="Arial" w:hAnsi="Arial"/>
                <w:sz w:val="18"/>
                <w:szCs w:val="18"/>
                <w:color w:val="auto"/>
              </w:rPr>
              <w:t>% Below cost—equity securities:</w:t>
            </w:r>
          </w:p>
        </w:tc>
        <w:tc>
          <w:tcPr>
            <w:tcW w:w="1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5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&lt;20% Below cost</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46</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40</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tcPr>
          <w:p>
            <w:pPr>
              <w:ind w:left="420"/>
              <w:spacing w:after="0"/>
              <w:rPr>
                <w:sz w:val="20"/>
                <w:szCs w:val="20"/>
                <w:color w:val="auto"/>
              </w:rPr>
            </w:pPr>
            <w:r>
              <w:rPr>
                <w:rFonts w:ascii="Arial" w:cs="Arial" w:eastAsia="Arial" w:hAnsi="Arial"/>
                <w:sz w:val="18"/>
                <w:szCs w:val="18"/>
                <w:color w:val="auto"/>
              </w:rPr>
              <w:t>20-50% Below cost</w:t>
            </w: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rPr>
              <w:t>5</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(3)</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60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equity securities</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(5)</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41</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20" w:type="dxa"/>
            <w:vAlign w:val="bottom"/>
            <w:gridSpan w:val="3"/>
            <w:vMerge w:val="restart"/>
          </w:tcPr>
          <w:p>
            <w:pPr>
              <w:spacing w:after="0"/>
              <w:rPr>
                <w:sz w:val="20"/>
                <w:szCs w:val="20"/>
                <w:color w:val="auto"/>
              </w:rPr>
            </w:pPr>
            <w:r>
              <w:rPr>
                <w:rFonts w:ascii="Arial" w:cs="Arial" w:eastAsia="Arial" w:hAnsi="Arial"/>
                <w:sz w:val="18"/>
                <w:szCs w:val="18"/>
                <w:color w:val="auto"/>
              </w:rPr>
              <w:t>Total for securities in an unrealized loss position</w:t>
            </w:r>
          </w:p>
        </w:tc>
        <w:tc>
          <w:tcPr>
            <w:tcW w:w="1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520" w:type="dxa"/>
            <w:vAlign w:val="bottom"/>
            <w:gridSpan w:val="3"/>
            <w:vMerge w:val="continue"/>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w w:val="84"/>
              </w:rPr>
              <w:t>3,192</w:t>
            </w:r>
          </w:p>
        </w:tc>
        <w:tc>
          <w:tcPr>
            <w:tcW w:w="400" w:type="dxa"/>
            <w:vAlign w:val="bottom"/>
            <w:gridSpan w:val="2"/>
          </w:tcPr>
          <w:p>
            <w:pPr>
              <w:ind w:left="28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(98)</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550</w:t>
            </w:r>
          </w:p>
        </w:tc>
        <w:tc>
          <w:tcPr>
            <w:tcW w:w="3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560" w:type="dxa"/>
            <w:vAlign w:val="bottom"/>
            <w:gridSpan w:val="2"/>
          </w:tcPr>
          <w:p>
            <w:pPr>
              <w:jc w:val="right"/>
              <w:ind w:right="140"/>
              <w:spacing w:after="0"/>
              <w:rPr>
                <w:sz w:val="20"/>
                <w:szCs w:val="20"/>
                <w:color w:val="auto"/>
              </w:rPr>
            </w:pPr>
            <w:r>
              <w:rPr>
                <w:rFonts w:ascii="Arial" w:cs="Arial" w:eastAsia="Arial" w:hAnsi="Arial"/>
                <w:sz w:val="18"/>
                <w:szCs w:val="18"/>
                <w:color w:val="auto"/>
                <w:w w:val="88"/>
              </w:rPr>
              <w:t>9,031</w:t>
            </w:r>
          </w:p>
        </w:tc>
        <w:tc>
          <w:tcPr>
            <w:tcW w:w="380" w:type="dxa"/>
            <w:vAlign w:val="bottom"/>
            <w:gridSpan w:val="2"/>
          </w:tcPr>
          <w:p>
            <w:pPr>
              <w:ind w:left="28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w w:val="94"/>
              </w:rPr>
              <w:t>(2,244)</w:t>
            </w: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1,457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vMerge w:val="restart"/>
          </w:tcPr>
          <w:p>
            <w:pPr>
              <w:spacing w:after="0"/>
              <w:rPr>
                <w:sz w:val="8"/>
                <w:szCs w:val="8"/>
                <w:color w:val="auto"/>
              </w:rPr>
            </w:pPr>
          </w:p>
        </w:tc>
        <w:tc>
          <w:tcPr>
            <w:tcW w:w="1720" w:type="dxa"/>
            <w:vAlign w:val="bottom"/>
          </w:tcPr>
          <w:p>
            <w:pPr>
              <w:spacing w:after="0"/>
              <w:rPr>
                <w:sz w:val="8"/>
                <w:szCs w:val="8"/>
                <w:color w:val="auto"/>
              </w:rPr>
            </w:pPr>
          </w:p>
        </w:tc>
        <w:tc>
          <w:tcPr>
            <w:tcW w:w="27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8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52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500" w:type="dxa"/>
            <w:vAlign w:val="bottom"/>
          </w:tcPr>
          <w:p>
            <w:pPr>
              <w:spacing w:after="0"/>
              <w:rPr>
                <w:sz w:val="8"/>
                <w:szCs w:val="8"/>
                <w:color w:val="auto"/>
              </w:rPr>
            </w:pPr>
          </w:p>
        </w:tc>
        <w:tc>
          <w:tcPr>
            <w:tcW w:w="52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Investment grade</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4"/>
              </w:rPr>
              <w:t>2,564</w:t>
            </w:r>
          </w:p>
        </w:tc>
        <w:tc>
          <w:tcPr>
            <w:tcW w:w="40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(81)</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422</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8"/>
              </w:rPr>
              <w:t>7,203</w:t>
            </w:r>
          </w:p>
        </w:tc>
        <w:tc>
          <w:tcPr>
            <w:tcW w:w="3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4"/>
              </w:rPr>
              <w:t>(1,386)</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tcPr>
          <w:p>
            <w:pPr>
              <w:spacing w:after="0"/>
              <w:rPr>
                <w:sz w:val="20"/>
                <w:szCs w:val="20"/>
                <w:color w:val="auto"/>
              </w:rPr>
            </w:pPr>
            <w:r>
              <w:rPr>
                <w:rFonts w:ascii="Arial" w:cs="Arial" w:eastAsia="Arial" w:hAnsi="Arial"/>
                <w:sz w:val="18"/>
                <w:szCs w:val="18"/>
                <w:color w:val="auto"/>
              </w:rPr>
              <w:t>Below investment grade</w:t>
            </w: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rPr>
              <w:t>628</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(17)</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128</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8"/>
                <w:szCs w:val="18"/>
                <w:color w:val="auto"/>
                <w:w w:val="88"/>
              </w:rPr>
              <w:t>1,828</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60"/>
              <w:spacing w:after="0"/>
              <w:rPr>
                <w:sz w:val="20"/>
                <w:szCs w:val="20"/>
                <w:color w:val="auto"/>
              </w:rPr>
            </w:pPr>
            <w:r>
              <w:rPr>
                <w:rFonts w:ascii="Arial" w:cs="Arial" w:eastAsia="Arial" w:hAnsi="Arial"/>
                <w:sz w:val="18"/>
                <w:szCs w:val="18"/>
                <w:color w:val="auto"/>
              </w:rPr>
              <w:t>(858)</w:t>
            </w:r>
          </w:p>
        </w:tc>
        <w:tc>
          <w:tcPr>
            <w:tcW w:w="640" w:type="dxa"/>
            <w:vAlign w:val="bottom"/>
          </w:tcPr>
          <w:p>
            <w:pPr>
              <w:jc w:val="right"/>
              <w:spacing w:after="0"/>
              <w:rPr>
                <w:sz w:val="20"/>
                <w:szCs w:val="20"/>
                <w:color w:val="auto"/>
              </w:rPr>
            </w:pPr>
            <w:r>
              <w:rPr>
                <w:rFonts w:ascii="Arial" w:cs="Arial" w:eastAsia="Arial" w:hAnsi="Arial"/>
                <w:sz w:val="18"/>
                <w:szCs w:val="18"/>
                <w:color w:val="auto"/>
              </w:rPr>
              <w:t>498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7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for securities in an unrealized loss position</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4"/>
              </w:rPr>
              <w:t>3,192</w:t>
            </w:r>
          </w:p>
        </w:tc>
        <w:tc>
          <w:tcPr>
            <w:tcW w:w="40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(98)</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550</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8"/>
              </w:rPr>
              <w:t>9,031</w:t>
            </w:r>
          </w:p>
        </w:tc>
        <w:tc>
          <w:tcPr>
            <w:tcW w:w="3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4"/>
              </w:rPr>
              <w:t>(2,244)</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160" w:firstLine="456"/>
        <w:spacing w:after="0" w:line="255" w:lineRule="auto"/>
        <w:rPr>
          <w:sz w:val="20"/>
          <w:szCs w:val="20"/>
          <w:color w:val="auto"/>
        </w:rPr>
      </w:pPr>
      <w:r>
        <w:rPr>
          <w:rFonts w:ascii="Arial" w:cs="Arial" w:eastAsia="Arial" w:hAnsi="Arial"/>
          <w:sz w:val="18"/>
          <w:szCs w:val="18"/>
          <w:color w:val="auto"/>
        </w:rPr>
        <w:t>The investment securities in an unrealized loss position as of June 30, 2010 consisted of 2,007 securities and accounted for unrealized losses of $2,342 million. Of these unrealized losses of $2,342 million, 63% were investment grade (rated “AAA” through “BBB-”) and 25% were less than 20% below cost. The securities less than 20% below cost were primarily attributable to credit spreads that have widened since acquisition for certain mortgage-backed and asset-backed securities and corporate securities in the finance and insurance sector. Included in these unrealized losses as of June 30, 2010 was $337 million of unrealized losses on other-than-</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459"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color w:val="auto"/>
        </w:rPr>
        <w:t>temporarily impaired securities. Of the total unrealized losses on other-than-temporarily impaired securities, $332 million have been in an unrealized loss position for more than 12 months.</w:t>
      </w:r>
    </w:p>
    <w:p>
      <w:pPr>
        <w:spacing w:after="0" w:line="132"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Of the unrealized losses of $2,342 million, $1,468 million were related to structured securities and $552 million were related to corporate securities in the finance and insurance sector. Of the remaining gross unrealized losses of $322 million, $99 million were related to tax-exempt and government—non-U.S. securities and $223 million were primarily related to other corporate securities that were spread evenly across all other sectors with no individual sector exceeding $40 million.</w:t>
      </w:r>
    </w:p>
    <w:p>
      <w:pPr>
        <w:spacing w:after="0" w:line="143"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Of the $1,468 million unrealized losses in structured securities, 41% were in residential mortgage-backed securities and 37% were in commercial mortgage-backed securities with the remainder in other asset-backed securities. Approximately 54% of the total unrealized losses in structured securities were on securities that have retained investment grade ratings. Most of these securities have been in an unrealized loss position for 12 months or more. Given ongoing concern about the housing market and unemployment, the fair value of these securities has declined due to credit spreads that have widened since acquisition. We examined the performance of the underlying collateral and developed our estimate of cash flows expected to be collected. In doing so, we identified certain securities where the non-credit portion of other-than-temporary impairments was recorded in OCI. Based on this evaluation, we determined that the unrealized losses on our mortgage-backed and asset-backed securities represented temporary impairments as of June 30, 2010.</w:t>
      </w:r>
    </w:p>
    <w:p>
      <w:pPr>
        <w:spacing w:after="0" w:line="118"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Of the $552 million unrealized losses in the finance and insurance sector, most have been in an unrealized loss position for 12 months or more. Most of these securities have retained a credit rating of investment grade. A portion of the unrealized losses included securities where an other-than-temporary impairment was recorded in OCI. Given the current market conditions, including current financial industry events and uncertainty around global economic conditions, the fair value of these securities has declined due to credit spreads that have widened since acquisition. In our examination of these securities, we considered all available evidence, including the issuers’ financial condition and current industry events to develop our conclusion on the amount and timing of the cash flows expected to be collected. Based on this evaluation, we determined that the unrealized losses on these securities represented temporary impairments as of June 30, 2010. A subset of the securities issued by banks and other financial institutions represent investments in financial hybrid securities on which a debt impairment model was employed. Most of these securities retain a credit rating of investment grade. The majority of these securities were issued by foreign financial institutions. The fair value of these securities has been impacted by credit spreads that have widened since acquisition and reflect uncertainty surrounding the extent and duration of government involvement, potential capital restructuring of these institutions, and continued but diminishing risk that income payments may be deferred. The remaining unrealized losses in our U.S. and non-U.S. corporate securities were evenly distributed across all other major industry types that comprise our corporate bond holdings.</w:t>
      </w:r>
    </w:p>
    <w:p>
      <w:pPr>
        <w:spacing w:after="0" w:line="124"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Of the investment securities in an unrealized loss position for 12 months or more as of June 30, 2010, 686 securities were 20% or more below cost, of which 357 securities were also below investment grade (rated “BB+” and below) and accounted for unrealized losses of $747 million. These securities were primarily structured securities or securities issued by corporations in the finance and insurance sector. Included in this amount are other-than-temporarily impaired securities where the non-credit loss of $260 million was recorded in OCI.</w:t>
      </w:r>
    </w:p>
    <w:p>
      <w:pPr>
        <w:spacing w:after="0" w:line="143"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While certain securities included in the preceding table were considered other-than-temporarily impaired, we expect to recover the new amortized cost based on our estimate of cash flows to be collected. We do not intend to sell and it is not more likely than not that we will be required to sell these securities prior to recovering our amortized cost.</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60" w:firstLine="456"/>
        <w:spacing w:after="0" w:line="291" w:lineRule="auto"/>
        <w:rPr>
          <w:sz w:val="20"/>
          <w:szCs w:val="20"/>
          <w:color w:val="auto"/>
        </w:rPr>
      </w:pPr>
      <w:r>
        <w:rPr>
          <w:rFonts w:ascii="Arial" w:cs="Arial" w:eastAsia="Arial" w:hAnsi="Arial"/>
          <w:sz w:val="16"/>
          <w:szCs w:val="16"/>
          <w:color w:val="auto"/>
        </w:rPr>
        <w:t>Despite the considerable analysis and rigor employed on our structured securities, it is at least reasonably possible that the underlying collateral of these investments will perform worse than current market expectations. Such events may lead to adverse changes in cash flows on our holdings of asset-backed and mortgage-backed securities and potential future write-downs within our portfolio of mortgage-backed and asset-backed securities. We expect our investments in corporate securities will continue to perform in accordance with our conclusions about the amount and timing of estimated cash flows. Although we do not anticipate such events, it is at least reasonably possible that issuers of our investments in corporate securities will perform worse than current expectations. Such events may lead us to recognize potential future write-downs within our portfolio of corporate securities.</w:t>
      </w:r>
    </w:p>
    <w:p>
      <w:pPr>
        <w:spacing w:after="0" w:line="120"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The following table presents the gross unrealized losses and fair values of our investment securities, aggregated by investment type and length of time that individual investment securities have been in a continuous unrealized loss position, as of December 31, 2009:</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gridSpan w:val="4"/>
          </w:tcPr>
          <w:p>
            <w:pPr>
              <w:jc w:val="right"/>
              <w:ind w:right="40"/>
              <w:spacing w:after="0"/>
              <w:rPr>
                <w:sz w:val="20"/>
                <w:szCs w:val="20"/>
                <w:color w:val="auto"/>
              </w:rPr>
            </w:pPr>
            <w:r>
              <w:rPr>
                <w:rFonts w:ascii="Arial" w:cs="Arial" w:eastAsia="Arial" w:hAnsi="Arial"/>
                <w:sz w:val="14"/>
                <w:szCs w:val="14"/>
                <w:b w:val="1"/>
                <w:bCs w:val="1"/>
                <w:color w:val="auto"/>
                <w:w w:val="94"/>
              </w:rPr>
              <w:t>Less than 12 months</w:t>
            </w:r>
          </w:p>
        </w:tc>
        <w:tc>
          <w:tcPr>
            <w:tcW w:w="64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4"/>
                <w:szCs w:val="14"/>
                <w:b w:val="1"/>
                <w:bCs w:val="1"/>
                <w:color w:val="auto"/>
                <w:w w:val="92"/>
              </w:rPr>
              <w:t>12 months or more</w:t>
            </w:r>
          </w:p>
        </w:tc>
        <w:tc>
          <w:tcPr>
            <w:tcW w:w="6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3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gridSpan w:val="2"/>
          </w:tcPr>
          <w:p>
            <w:pPr>
              <w:jc w:val="right"/>
              <w:ind w:right="580"/>
              <w:spacing w:after="0" w:line="129" w:lineRule="exact"/>
              <w:rPr>
                <w:sz w:val="20"/>
                <w:szCs w:val="20"/>
                <w:color w:val="auto"/>
              </w:rPr>
            </w:pPr>
            <w:r>
              <w:rPr>
                <w:rFonts w:ascii="Arial" w:cs="Arial" w:eastAsia="Arial" w:hAnsi="Arial"/>
                <w:sz w:val="14"/>
                <w:szCs w:val="14"/>
                <w:b w:val="1"/>
                <w:bCs w:val="1"/>
                <w:color w:val="auto"/>
                <w:w w:val="83"/>
              </w:rPr>
              <w:t>Gross</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gridSpan w:val="2"/>
          </w:tcPr>
          <w:p>
            <w:pPr>
              <w:jc w:val="right"/>
              <w:ind w:right="580"/>
              <w:spacing w:after="0" w:line="129" w:lineRule="exact"/>
              <w:rPr>
                <w:sz w:val="20"/>
                <w:szCs w:val="20"/>
                <w:color w:val="auto"/>
              </w:rPr>
            </w:pPr>
            <w:r>
              <w:rPr>
                <w:rFonts w:ascii="Arial" w:cs="Arial" w:eastAsia="Arial" w:hAnsi="Arial"/>
                <w:sz w:val="14"/>
                <w:szCs w:val="14"/>
                <w:b w:val="1"/>
                <w:bCs w:val="1"/>
                <w:color w:val="auto"/>
                <w:w w:val="83"/>
              </w:rPr>
              <w:t>Gross</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500" w:type="dxa"/>
            <w:vAlign w:val="bottom"/>
          </w:tcPr>
          <w:p>
            <w:pPr>
              <w:jc w:val="right"/>
              <w:ind w:right="56"/>
              <w:spacing w:after="0" w:line="149" w:lineRule="exact"/>
              <w:rPr>
                <w:sz w:val="20"/>
                <w:szCs w:val="20"/>
                <w:color w:val="auto"/>
              </w:rPr>
            </w:pPr>
            <w:r>
              <w:rPr>
                <w:rFonts w:ascii="Arial" w:cs="Arial" w:eastAsia="Arial" w:hAnsi="Arial"/>
                <w:sz w:val="14"/>
                <w:szCs w:val="14"/>
                <w:b w:val="1"/>
                <w:bCs w:val="1"/>
                <w:color w:val="auto"/>
              </w:rPr>
              <w:t>Fair</w:t>
            </w:r>
          </w:p>
        </w:tc>
        <w:tc>
          <w:tcPr>
            <w:tcW w:w="320" w:type="dxa"/>
            <w:vAlign w:val="bottom"/>
          </w:tcPr>
          <w:p>
            <w:pPr>
              <w:spacing w:after="0"/>
              <w:rPr>
                <w:sz w:val="12"/>
                <w:szCs w:val="12"/>
                <w:color w:val="auto"/>
              </w:rPr>
            </w:pPr>
          </w:p>
        </w:tc>
        <w:tc>
          <w:tcPr>
            <w:tcW w:w="10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unrealized</w:t>
            </w: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8"/>
              </w:rPr>
              <w:t>Number of</w:t>
            </w: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Fair</w:t>
            </w:r>
          </w:p>
        </w:tc>
        <w:tc>
          <w:tcPr>
            <w:tcW w:w="260" w:type="dxa"/>
            <w:vAlign w:val="bottom"/>
          </w:tcPr>
          <w:p>
            <w:pPr>
              <w:spacing w:after="0"/>
              <w:rPr>
                <w:sz w:val="12"/>
                <w:szCs w:val="12"/>
                <w:color w:val="auto"/>
              </w:rPr>
            </w:pPr>
          </w:p>
        </w:tc>
        <w:tc>
          <w:tcPr>
            <w:tcW w:w="10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unrealized</w:t>
            </w: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88"/>
              </w:rPr>
              <w:t>Number of</w:t>
            </w:r>
          </w:p>
        </w:tc>
        <w:tc>
          <w:tcPr>
            <w:tcW w:w="0" w:type="dxa"/>
            <w:vAlign w:val="bottom"/>
          </w:tcPr>
          <w:p>
            <w:pPr>
              <w:spacing w:after="0"/>
              <w:rPr>
                <w:sz w:val="1"/>
                <w:szCs w:val="1"/>
                <w:color w:val="auto"/>
              </w:rPr>
            </w:pPr>
          </w:p>
        </w:tc>
      </w:tr>
      <w:tr>
        <w:trPr>
          <w:trHeight w:val="161"/>
        </w:trPr>
        <w:tc>
          <w:tcPr>
            <w:tcW w:w="5360" w:type="dxa"/>
            <w:vAlign w:val="bottom"/>
            <w:gridSpan w:val="3"/>
          </w:tcPr>
          <w:p>
            <w:pPr>
              <w:spacing w:after="0"/>
              <w:rPr>
                <w:sz w:val="20"/>
                <w:szCs w:val="20"/>
                <w:color w:val="auto"/>
              </w:rPr>
            </w:pPr>
            <w:r>
              <w:rPr>
                <w:rFonts w:ascii="Arial" w:cs="Arial" w:eastAsia="Arial" w:hAnsi="Arial"/>
                <w:sz w:val="14"/>
                <w:szCs w:val="14"/>
                <w:b w:val="1"/>
                <w:bCs w:val="1"/>
                <w:color w:val="auto"/>
              </w:rPr>
              <w:t>(Dollar amounts in millions)</w:t>
            </w:r>
          </w:p>
        </w:tc>
        <w:tc>
          <w:tcPr>
            <w:tcW w:w="600" w:type="dxa"/>
            <w:vAlign w:val="bottom"/>
          </w:tcPr>
          <w:p>
            <w:pPr>
              <w:spacing w:after="0"/>
              <w:rPr>
                <w:sz w:val="14"/>
                <w:szCs w:val="14"/>
                <w:color w:val="auto"/>
              </w:rPr>
            </w:pPr>
          </w:p>
        </w:tc>
        <w:tc>
          <w:tcPr>
            <w:tcW w:w="500" w:type="dxa"/>
            <w:vAlign w:val="bottom"/>
          </w:tcPr>
          <w:p>
            <w:pPr>
              <w:jc w:val="right"/>
              <w:ind w:right="16"/>
              <w:spacing w:after="0"/>
              <w:rPr>
                <w:sz w:val="20"/>
                <w:szCs w:val="20"/>
                <w:color w:val="auto"/>
              </w:rPr>
            </w:pPr>
            <w:r>
              <w:rPr>
                <w:rFonts w:ascii="Arial" w:cs="Arial" w:eastAsia="Arial" w:hAnsi="Arial"/>
                <w:sz w:val="14"/>
                <w:szCs w:val="14"/>
                <w:b w:val="1"/>
                <w:bCs w:val="1"/>
                <w:color w:val="auto"/>
              </w:rPr>
              <w:t>value</w:t>
            </w: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w w:val="77"/>
              </w:rPr>
              <w:t>losses</w:t>
            </w:r>
          </w:p>
        </w:tc>
        <w:tc>
          <w:tcPr>
            <w:tcW w:w="640" w:type="dxa"/>
            <w:vAlign w:val="bottom"/>
          </w:tcPr>
          <w:p>
            <w:pPr>
              <w:jc w:val="right"/>
              <w:spacing w:after="0"/>
              <w:rPr>
                <w:sz w:val="20"/>
                <w:szCs w:val="20"/>
                <w:color w:val="auto"/>
              </w:rPr>
            </w:pPr>
            <w:r>
              <w:rPr>
                <w:rFonts w:ascii="Arial" w:cs="Arial" w:eastAsia="Arial" w:hAnsi="Arial"/>
                <w:sz w:val="14"/>
                <w:szCs w:val="14"/>
                <w:b w:val="1"/>
                <w:bCs w:val="1"/>
                <w:color w:val="auto"/>
                <w:w w:val="85"/>
              </w:rPr>
              <w:t>securities</w:t>
            </w: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3"/>
              </w:rPr>
              <w:t>value</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w w:val="77"/>
              </w:rPr>
              <w:t>losses</w:t>
            </w:r>
          </w:p>
        </w:tc>
        <w:tc>
          <w:tcPr>
            <w:tcW w:w="66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w w:val="88"/>
              </w:rPr>
              <w:t>securities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36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Description of Securities</w:t>
            </w:r>
          </w:p>
        </w:tc>
        <w:tc>
          <w:tcPr>
            <w:tcW w:w="6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tcPr>
          <w:p>
            <w:pPr>
              <w:spacing w:after="0"/>
              <w:rPr>
                <w:sz w:val="20"/>
                <w:szCs w:val="20"/>
                <w:color w:val="auto"/>
              </w:rPr>
            </w:pPr>
            <w:r>
              <w:rPr>
                <w:rFonts w:ascii="Arial" w:cs="Arial" w:eastAsia="Arial" w:hAnsi="Arial"/>
                <w:sz w:val="18"/>
                <w:szCs w:val="18"/>
                <w:color w:val="auto"/>
              </w:rPr>
              <w:t>Fixed maturity securities:</w:t>
            </w:r>
          </w:p>
        </w:tc>
        <w:tc>
          <w:tcPr>
            <w:tcW w:w="6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w w:val="91"/>
              </w:rPr>
              <w:t>U.S. government, agencies and government-sponsored enterprises</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$1,759</w:t>
            </w:r>
          </w:p>
        </w:tc>
        <w:tc>
          <w:tcPr>
            <w:tcW w:w="4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99"/>
              </w:rPr>
              <w:t>$</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(95)</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w:t>
            </w:r>
          </w:p>
        </w:tc>
        <w:tc>
          <w:tcPr>
            <w:tcW w:w="3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tcPr>
          <w:p>
            <w:pPr>
              <w:ind w:left="420"/>
              <w:spacing w:after="0"/>
              <w:rPr>
                <w:sz w:val="20"/>
                <w:szCs w:val="20"/>
                <w:color w:val="auto"/>
              </w:rPr>
            </w:pPr>
            <w:r>
              <w:rPr>
                <w:rFonts w:ascii="Arial" w:cs="Arial" w:eastAsia="Arial" w:hAnsi="Arial"/>
                <w:sz w:val="18"/>
                <w:szCs w:val="18"/>
                <w:color w:val="auto"/>
              </w:rPr>
              <w:t>Tax-exempt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152</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(6)</w:t>
            </w:r>
          </w:p>
        </w:tc>
        <w:tc>
          <w:tcPr>
            <w:tcW w:w="640" w:type="dxa"/>
            <w:vAlign w:val="bottom"/>
          </w:tcPr>
          <w:p>
            <w:pPr>
              <w:jc w:val="right"/>
              <w:spacing w:after="0"/>
              <w:rPr>
                <w:sz w:val="20"/>
                <w:szCs w:val="20"/>
                <w:color w:val="auto"/>
              </w:rPr>
            </w:pPr>
            <w:r>
              <w:rPr>
                <w:rFonts w:ascii="Arial" w:cs="Arial" w:eastAsia="Arial" w:hAnsi="Arial"/>
                <w:sz w:val="18"/>
                <w:szCs w:val="18"/>
                <w:color w:val="auto"/>
              </w:rPr>
              <w:t>48</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346</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(98)</w:t>
            </w:r>
          </w:p>
        </w:tc>
        <w:tc>
          <w:tcPr>
            <w:tcW w:w="640" w:type="dxa"/>
            <w:vAlign w:val="bottom"/>
          </w:tcPr>
          <w:p>
            <w:pPr>
              <w:jc w:val="right"/>
              <w:spacing w:after="0"/>
              <w:rPr>
                <w:sz w:val="20"/>
                <w:szCs w:val="20"/>
                <w:color w:val="auto"/>
              </w:rPr>
            </w:pPr>
            <w:r>
              <w:rPr>
                <w:rFonts w:ascii="Arial" w:cs="Arial" w:eastAsia="Arial" w:hAnsi="Arial"/>
                <w:sz w:val="18"/>
                <w:szCs w:val="18"/>
                <w:color w:val="auto"/>
              </w:rPr>
              <w:t>113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Government—non-U.S.</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341</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105</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(19)</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tcPr>
          <w:p>
            <w:pPr>
              <w:ind w:left="420"/>
              <w:spacing w:after="0"/>
              <w:rPr>
                <w:sz w:val="20"/>
                <w:szCs w:val="20"/>
                <w:color w:val="auto"/>
              </w:rPr>
            </w:pPr>
            <w:r>
              <w:rPr>
                <w:rFonts w:ascii="Arial" w:cs="Arial" w:eastAsia="Arial" w:hAnsi="Arial"/>
                <w:sz w:val="18"/>
                <w:szCs w:val="18"/>
                <w:color w:val="auto"/>
              </w:rPr>
              <w:t>U.S. corporate</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2,823</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(81)</w:t>
            </w:r>
          </w:p>
        </w:tc>
        <w:tc>
          <w:tcPr>
            <w:tcW w:w="640" w:type="dxa"/>
            <w:vAlign w:val="bottom"/>
          </w:tcPr>
          <w:p>
            <w:pPr>
              <w:jc w:val="right"/>
              <w:spacing w:after="0"/>
              <w:rPr>
                <w:sz w:val="20"/>
                <w:szCs w:val="20"/>
                <w:color w:val="auto"/>
              </w:rPr>
            </w:pPr>
            <w:r>
              <w:rPr>
                <w:rFonts w:ascii="Arial" w:cs="Arial" w:eastAsia="Arial" w:hAnsi="Arial"/>
                <w:sz w:val="18"/>
                <w:szCs w:val="18"/>
                <w:color w:val="auto"/>
              </w:rPr>
              <w:t>317</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5,660</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(736)</w:t>
            </w:r>
          </w:p>
        </w:tc>
        <w:tc>
          <w:tcPr>
            <w:tcW w:w="640" w:type="dxa"/>
            <w:vAlign w:val="bottom"/>
          </w:tcPr>
          <w:p>
            <w:pPr>
              <w:jc w:val="right"/>
              <w:spacing w:after="0"/>
              <w:rPr>
                <w:sz w:val="20"/>
                <w:szCs w:val="20"/>
                <w:color w:val="auto"/>
              </w:rPr>
            </w:pPr>
            <w:r>
              <w:rPr>
                <w:rFonts w:ascii="Arial" w:cs="Arial" w:eastAsia="Arial" w:hAnsi="Arial"/>
                <w:sz w:val="18"/>
                <w:szCs w:val="18"/>
                <w:color w:val="auto"/>
              </w:rPr>
              <w:t>510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Corporate—non-U.S.</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1,721</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(55)</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2,245</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(301)</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tcPr>
          <w:p>
            <w:pPr>
              <w:ind w:left="420"/>
              <w:spacing w:after="0"/>
              <w:rPr>
                <w:sz w:val="20"/>
                <w:szCs w:val="20"/>
                <w:color w:val="auto"/>
              </w:rPr>
            </w:pPr>
            <w:r>
              <w:rPr>
                <w:rFonts w:ascii="Arial" w:cs="Arial" w:eastAsia="Arial" w:hAnsi="Arial"/>
                <w:sz w:val="18"/>
                <w:szCs w:val="18"/>
                <w:color w:val="auto"/>
              </w:rPr>
              <w:t>Residential mortgage-backed</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941</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(252)</w:t>
            </w:r>
          </w:p>
        </w:tc>
        <w:tc>
          <w:tcPr>
            <w:tcW w:w="640" w:type="dxa"/>
            <w:vAlign w:val="bottom"/>
          </w:tcPr>
          <w:p>
            <w:pPr>
              <w:jc w:val="right"/>
              <w:spacing w:after="0"/>
              <w:rPr>
                <w:sz w:val="20"/>
                <w:szCs w:val="20"/>
                <w:color w:val="auto"/>
              </w:rPr>
            </w:pPr>
            <w:r>
              <w:rPr>
                <w:rFonts w:ascii="Arial" w:cs="Arial" w:eastAsia="Arial" w:hAnsi="Arial"/>
                <w:sz w:val="18"/>
                <w:szCs w:val="18"/>
                <w:color w:val="auto"/>
              </w:rPr>
              <w:t>256</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1,012</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(558)</w:t>
            </w:r>
          </w:p>
        </w:tc>
        <w:tc>
          <w:tcPr>
            <w:tcW w:w="640" w:type="dxa"/>
            <w:vAlign w:val="bottom"/>
          </w:tcPr>
          <w:p>
            <w:pPr>
              <w:jc w:val="right"/>
              <w:spacing w:after="0"/>
              <w:rPr>
                <w:sz w:val="20"/>
                <w:szCs w:val="20"/>
                <w:color w:val="auto"/>
              </w:rPr>
            </w:pPr>
            <w:r>
              <w:rPr>
                <w:rFonts w:ascii="Arial" w:cs="Arial" w:eastAsia="Arial" w:hAnsi="Arial"/>
                <w:sz w:val="18"/>
                <w:szCs w:val="18"/>
                <w:color w:val="auto"/>
              </w:rPr>
              <w:t>348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Commercial mortgage-backed</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714</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(64)</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1,720</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(771)</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tcPr>
          <w:p>
            <w:pPr>
              <w:ind w:left="420"/>
              <w:spacing w:after="0"/>
              <w:rPr>
                <w:sz w:val="20"/>
                <w:szCs w:val="20"/>
                <w:color w:val="auto"/>
              </w:rPr>
            </w:pPr>
            <w:r>
              <w:rPr>
                <w:rFonts w:ascii="Arial" w:cs="Arial" w:eastAsia="Arial" w:hAnsi="Arial"/>
                <w:sz w:val="18"/>
                <w:szCs w:val="18"/>
                <w:color w:val="auto"/>
              </w:rPr>
              <w:t>Other asset-backed</w:t>
            </w:r>
          </w:p>
        </w:tc>
        <w:tc>
          <w:tcPr>
            <w:tcW w:w="6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329</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(6)</w:t>
            </w:r>
          </w:p>
        </w:tc>
        <w:tc>
          <w:tcPr>
            <w:tcW w:w="640" w:type="dxa"/>
            <w:vAlign w:val="bottom"/>
          </w:tcPr>
          <w:p>
            <w:pPr>
              <w:jc w:val="right"/>
              <w:spacing w:after="0"/>
              <w:rPr>
                <w:sz w:val="20"/>
                <w:szCs w:val="20"/>
                <w:color w:val="auto"/>
              </w:rPr>
            </w:pPr>
            <w:r>
              <w:rPr>
                <w:rFonts w:ascii="Arial" w:cs="Arial" w:eastAsia="Arial" w:hAnsi="Arial"/>
                <w:sz w:val="18"/>
                <w:szCs w:val="18"/>
                <w:color w:val="auto"/>
              </w:rPr>
              <w:t>43</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1,727</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(474)</w:t>
            </w:r>
          </w:p>
        </w:tc>
        <w:tc>
          <w:tcPr>
            <w:tcW w:w="640" w:type="dxa"/>
            <w:vAlign w:val="bottom"/>
          </w:tcPr>
          <w:p>
            <w:pPr>
              <w:jc w:val="right"/>
              <w:spacing w:after="0"/>
              <w:rPr>
                <w:sz w:val="20"/>
                <w:szCs w:val="20"/>
                <w:color w:val="auto"/>
              </w:rPr>
            </w:pPr>
            <w:r>
              <w:rPr>
                <w:rFonts w:ascii="Arial" w:cs="Arial" w:eastAsia="Arial" w:hAnsi="Arial"/>
                <w:sz w:val="18"/>
                <w:szCs w:val="18"/>
                <w:color w:val="auto"/>
              </w:rPr>
              <w:t>183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3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Subtotal, fixed maturity securities</w:t>
            </w:r>
          </w:p>
        </w:tc>
        <w:tc>
          <w:tcPr>
            <w:tcW w:w="6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8,780</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(562)</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1,107</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7"/>
              </w:rPr>
              <w:t>12,821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94"/>
              </w:rPr>
              <w:t>(2,958)</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tcPr>
          <w:p>
            <w:pPr>
              <w:spacing w:after="0"/>
              <w:rPr>
                <w:sz w:val="20"/>
                <w:szCs w:val="20"/>
                <w:color w:val="auto"/>
              </w:rPr>
            </w:pPr>
            <w:r>
              <w:rPr>
                <w:rFonts w:ascii="Arial" w:cs="Arial" w:eastAsia="Arial" w:hAnsi="Arial"/>
                <w:sz w:val="18"/>
                <w:szCs w:val="18"/>
                <w:color w:val="auto"/>
              </w:rPr>
              <w:t>Equity securities</w:t>
            </w:r>
          </w:p>
        </w:tc>
        <w:tc>
          <w:tcPr>
            <w:tcW w:w="6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(1)</w:t>
            </w:r>
          </w:p>
        </w:tc>
        <w:tc>
          <w:tcPr>
            <w:tcW w:w="640" w:type="dxa"/>
            <w:vAlign w:val="bottom"/>
          </w:tcPr>
          <w:p>
            <w:pPr>
              <w:jc w:val="right"/>
              <w:spacing w:after="0"/>
              <w:rPr>
                <w:sz w:val="20"/>
                <w:szCs w:val="20"/>
                <w:color w:val="auto"/>
              </w:rPr>
            </w:pPr>
            <w:r>
              <w:rPr>
                <w:rFonts w:ascii="Arial" w:cs="Arial" w:eastAsia="Arial" w:hAnsi="Arial"/>
                <w:sz w:val="18"/>
                <w:szCs w:val="18"/>
                <w:color w:val="auto"/>
              </w:rPr>
              <w:t>3</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12</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(2)</w:t>
            </w:r>
          </w:p>
        </w:tc>
        <w:tc>
          <w:tcPr>
            <w:tcW w:w="640" w:type="dxa"/>
            <w:vAlign w:val="bottom"/>
          </w:tcPr>
          <w:p>
            <w:pPr>
              <w:jc w:val="right"/>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720" w:type="dxa"/>
            <w:vAlign w:val="bottom"/>
          </w:tcPr>
          <w:p>
            <w:pPr>
              <w:spacing w:after="0"/>
              <w:rPr>
                <w:sz w:val="2"/>
                <w:szCs w:val="2"/>
                <w:color w:val="auto"/>
              </w:rPr>
            </w:pPr>
          </w:p>
        </w:tc>
        <w:tc>
          <w:tcPr>
            <w:tcW w:w="3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for securities in an unrealized loss position</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8,782</w:t>
            </w:r>
          </w:p>
        </w:tc>
        <w:tc>
          <w:tcPr>
            <w:tcW w:w="4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99"/>
              </w:rPr>
              <w:t>$</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(563)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1,110</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7"/>
              </w:rPr>
              <w:t>12,833</w:t>
            </w:r>
          </w:p>
        </w:tc>
        <w:tc>
          <w:tcPr>
            <w:tcW w:w="3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94"/>
              </w:rPr>
              <w:t>(2,960)</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60" w:type="dxa"/>
            <w:vAlign w:val="bottom"/>
            <w:gridSpan w:val="3"/>
            <w:vMerge w:val="restart"/>
          </w:tcPr>
          <w:p>
            <w:pPr>
              <w:spacing w:after="0"/>
              <w:rPr>
                <w:sz w:val="20"/>
                <w:szCs w:val="20"/>
                <w:color w:val="auto"/>
              </w:rPr>
            </w:pPr>
            <w:r>
              <w:rPr>
                <w:rFonts w:ascii="Arial" w:cs="Arial" w:eastAsia="Arial" w:hAnsi="Arial"/>
                <w:sz w:val="18"/>
                <w:szCs w:val="18"/>
                <w:color w:val="auto"/>
              </w:rPr>
              <w:t>% Below cost—fixed maturity securities:</w:t>
            </w:r>
          </w:p>
        </w:tc>
        <w:tc>
          <w:tcPr>
            <w:tcW w:w="6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360" w:type="dxa"/>
            <w:vAlign w:val="bottom"/>
            <w:gridSpan w:val="3"/>
            <w:vMerge w:val="continue"/>
          </w:tcPr>
          <w:p>
            <w:pPr>
              <w:spacing w:after="0"/>
              <w:rPr>
                <w:sz w:val="18"/>
                <w:szCs w:val="18"/>
                <w:color w:val="auto"/>
              </w:rPr>
            </w:pPr>
          </w:p>
        </w:tc>
        <w:tc>
          <w:tcPr>
            <w:tcW w:w="6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3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&lt;20% Below cost</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$8,437</w:t>
            </w:r>
          </w:p>
        </w:tc>
        <w:tc>
          <w:tcPr>
            <w:tcW w:w="4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99"/>
              </w:rPr>
              <w:t>$</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(245)</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9,699</w:t>
            </w:r>
          </w:p>
        </w:tc>
        <w:tc>
          <w:tcPr>
            <w:tcW w:w="3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(762)</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tcPr>
          <w:p>
            <w:pPr>
              <w:ind w:left="420"/>
              <w:spacing w:after="0"/>
              <w:rPr>
                <w:sz w:val="20"/>
                <w:szCs w:val="20"/>
                <w:color w:val="auto"/>
              </w:rPr>
            </w:pPr>
            <w:r>
              <w:rPr>
                <w:rFonts w:ascii="Arial" w:cs="Arial" w:eastAsia="Arial" w:hAnsi="Arial"/>
                <w:sz w:val="18"/>
                <w:szCs w:val="18"/>
                <w:color w:val="auto"/>
              </w:rPr>
              <w:t>20-50% Below cost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267</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(137)</w:t>
            </w:r>
          </w:p>
        </w:tc>
        <w:tc>
          <w:tcPr>
            <w:tcW w:w="640" w:type="dxa"/>
            <w:vAlign w:val="bottom"/>
          </w:tcPr>
          <w:p>
            <w:pPr>
              <w:jc w:val="right"/>
              <w:spacing w:after="0"/>
              <w:rPr>
                <w:sz w:val="20"/>
                <w:szCs w:val="20"/>
                <w:color w:val="auto"/>
              </w:rPr>
            </w:pPr>
            <w:r>
              <w:rPr>
                <w:rFonts w:ascii="Arial" w:cs="Arial" w:eastAsia="Arial" w:hAnsi="Arial"/>
                <w:sz w:val="18"/>
                <w:szCs w:val="18"/>
                <w:color w:val="auto"/>
              </w:rPr>
              <w:t>91</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2,637</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w w:val="94"/>
              </w:rPr>
              <w:t>(1,246)</w:t>
            </w:r>
          </w:p>
        </w:tc>
        <w:tc>
          <w:tcPr>
            <w:tcW w:w="640" w:type="dxa"/>
            <w:vAlign w:val="bottom"/>
          </w:tcPr>
          <w:p>
            <w:pPr>
              <w:jc w:val="right"/>
              <w:spacing w:after="0"/>
              <w:rPr>
                <w:sz w:val="20"/>
                <w:szCs w:val="20"/>
                <w:color w:val="auto"/>
              </w:rPr>
            </w:pPr>
            <w:r>
              <w:rPr>
                <w:rFonts w:ascii="Arial" w:cs="Arial" w:eastAsia="Arial" w:hAnsi="Arial"/>
                <w:sz w:val="18"/>
                <w:szCs w:val="18"/>
                <w:color w:val="auto"/>
              </w:rPr>
              <w:t>455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&gt;50% Below cost</w:t>
            </w:r>
          </w:p>
        </w:tc>
        <w:tc>
          <w:tcPr>
            <w:tcW w:w="6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(180)</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485</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(950)</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4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fixed maturity securities</w:t>
            </w:r>
          </w:p>
        </w:tc>
        <w:tc>
          <w:tcPr>
            <w:tcW w:w="6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5340" w:type="dxa"/>
            <w:vAlign w:val="bottom"/>
            <w:gridSpan w:val="2"/>
            <w:vMerge w:val="continue"/>
          </w:tcPr>
          <w:p>
            <w:pPr>
              <w:spacing w:after="0"/>
              <w:rPr>
                <w:sz w:val="20"/>
                <w:szCs w:val="20"/>
                <w:color w:val="auto"/>
              </w:rPr>
            </w:pPr>
          </w:p>
        </w:tc>
        <w:tc>
          <w:tcPr>
            <w:tcW w:w="60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8,780</w:t>
            </w: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(562)</w:t>
            </w:r>
          </w:p>
        </w:tc>
        <w:tc>
          <w:tcPr>
            <w:tcW w:w="640" w:type="dxa"/>
            <w:vAlign w:val="bottom"/>
          </w:tcPr>
          <w:p>
            <w:pPr>
              <w:jc w:val="right"/>
              <w:spacing w:after="0"/>
              <w:rPr>
                <w:sz w:val="20"/>
                <w:szCs w:val="20"/>
                <w:color w:val="auto"/>
              </w:rPr>
            </w:pPr>
            <w:r>
              <w:rPr>
                <w:rFonts w:ascii="Arial" w:cs="Arial" w:eastAsia="Arial" w:hAnsi="Arial"/>
                <w:sz w:val="18"/>
                <w:szCs w:val="18"/>
                <w:color w:val="auto"/>
              </w:rPr>
              <w:t>1,107</w:t>
            </w: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w w:val="87"/>
              </w:rPr>
              <w:t>12,821</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w w:val="94"/>
              </w:rPr>
              <w:t>(2,958)</w:t>
            </w: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1,794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Below cost—equity securities:</w:t>
            </w:r>
          </w:p>
        </w:tc>
        <w:tc>
          <w:tcPr>
            <w:tcW w:w="60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tcPr>
          <w:p>
            <w:pPr>
              <w:ind w:left="420"/>
              <w:spacing w:after="0"/>
              <w:rPr>
                <w:sz w:val="20"/>
                <w:szCs w:val="20"/>
                <w:color w:val="auto"/>
              </w:rPr>
            </w:pPr>
            <w:r>
              <w:rPr>
                <w:rFonts w:ascii="Arial" w:cs="Arial" w:eastAsia="Arial" w:hAnsi="Arial"/>
                <w:sz w:val="18"/>
                <w:szCs w:val="18"/>
                <w:color w:val="auto"/>
              </w:rPr>
              <w:t>&lt;20% Below cost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(1)</w:t>
            </w:r>
          </w:p>
        </w:tc>
        <w:tc>
          <w:tcPr>
            <w:tcW w:w="640" w:type="dxa"/>
            <w:vAlign w:val="bottom"/>
          </w:tcPr>
          <w:p>
            <w:pPr>
              <w:jc w:val="right"/>
              <w:spacing w:after="0"/>
              <w:rPr>
                <w:sz w:val="20"/>
                <w:szCs w:val="20"/>
                <w:color w:val="auto"/>
              </w:rPr>
            </w:pPr>
            <w:r>
              <w:rPr>
                <w:rFonts w:ascii="Arial" w:cs="Arial" w:eastAsia="Arial" w:hAnsi="Arial"/>
                <w:sz w:val="18"/>
                <w:szCs w:val="18"/>
                <w:color w:val="auto"/>
              </w:rPr>
              <w:t>3</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11</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(1)</w:t>
            </w:r>
          </w:p>
        </w:tc>
        <w:tc>
          <w:tcPr>
            <w:tcW w:w="640" w:type="dxa"/>
            <w:vAlign w:val="bottom"/>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&gt;50% Below cost</w:t>
            </w:r>
          </w:p>
        </w:tc>
        <w:tc>
          <w:tcPr>
            <w:tcW w:w="6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6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4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equity securities</w:t>
            </w:r>
          </w:p>
        </w:tc>
        <w:tc>
          <w:tcPr>
            <w:tcW w:w="6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5340" w:type="dxa"/>
            <w:vAlign w:val="bottom"/>
            <w:gridSpan w:val="2"/>
            <w:vMerge w:val="continue"/>
          </w:tcPr>
          <w:p>
            <w:pPr>
              <w:spacing w:after="0"/>
              <w:rPr>
                <w:sz w:val="19"/>
                <w:szCs w:val="19"/>
                <w:color w:val="auto"/>
              </w:rPr>
            </w:pPr>
          </w:p>
        </w:tc>
        <w:tc>
          <w:tcPr>
            <w:tcW w:w="6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w:t>
            </w: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(1)</w:t>
            </w:r>
          </w:p>
        </w:tc>
        <w:tc>
          <w:tcPr>
            <w:tcW w:w="640" w:type="dxa"/>
            <w:vAlign w:val="bottom"/>
          </w:tcPr>
          <w:p>
            <w:pPr>
              <w:jc w:val="right"/>
              <w:spacing w:after="0"/>
              <w:rPr>
                <w:sz w:val="20"/>
                <w:szCs w:val="20"/>
                <w:color w:val="auto"/>
              </w:rPr>
            </w:pPr>
            <w:r>
              <w:rPr>
                <w:rFonts w:ascii="Arial" w:cs="Arial" w:eastAsia="Arial" w:hAnsi="Arial"/>
                <w:sz w:val="18"/>
                <w:szCs w:val="18"/>
                <w:color w:val="auto"/>
              </w:rPr>
              <w:t>3</w:t>
            </w: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12</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(2)</w:t>
            </w: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1720" w:type="dxa"/>
            <w:vAlign w:val="bottom"/>
          </w:tcPr>
          <w:p>
            <w:pPr>
              <w:spacing w:after="0"/>
              <w:rPr>
                <w:sz w:val="2"/>
                <w:szCs w:val="2"/>
                <w:color w:val="auto"/>
              </w:rPr>
            </w:pPr>
          </w:p>
        </w:tc>
        <w:tc>
          <w:tcPr>
            <w:tcW w:w="3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for securities in an unrealized loss position</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8,782</w:t>
            </w:r>
          </w:p>
        </w:tc>
        <w:tc>
          <w:tcPr>
            <w:tcW w:w="4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99"/>
              </w:rPr>
              <w:t>$</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(563)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1,110</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7"/>
              </w:rPr>
              <w:t>12,833</w:t>
            </w:r>
          </w:p>
        </w:tc>
        <w:tc>
          <w:tcPr>
            <w:tcW w:w="3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94"/>
              </w:rPr>
              <w:t>(2,960)</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60" w:type="dxa"/>
            <w:vAlign w:val="bottom"/>
            <w:gridSpan w:val="3"/>
            <w:vMerge w:val="restart"/>
          </w:tcPr>
          <w:p>
            <w:pPr>
              <w:spacing w:after="0"/>
              <w:rPr>
                <w:sz w:val="20"/>
                <w:szCs w:val="20"/>
                <w:color w:val="auto"/>
              </w:rPr>
            </w:pPr>
            <w:r>
              <w:rPr>
                <w:rFonts w:ascii="Arial" w:cs="Arial" w:eastAsia="Arial" w:hAnsi="Arial"/>
                <w:sz w:val="18"/>
                <w:szCs w:val="18"/>
                <w:color w:val="auto"/>
              </w:rPr>
              <w:t>Investment grade</w:t>
            </w:r>
          </w:p>
        </w:tc>
        <w:tc>
          <w:tcPr>
            <w:tcW w:w="6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360" w:type="dxa"/>
            <w:vAlign w:val="bottom"/>
            <w:gridSpan w:val="3"/>
            <w:vMerge w:val="continue"/>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$8,391</w:t>
            </w:r>
          </w:p>
        </w:tc>
        <w:tc>
          <w:tcPr>
            <w:tcW w:w="440" w:type="dxa"/>
            <w:vAlign w:val="bottom"/>
            <w:gridSpan w:val="2"/>
          </w:tcPr>
          <w:p>
            <w:pPr>
              <w:ind w:left="320"/>
              <w:spacing w:after="0"/>
              <w:rPr>
                <w:sz w:val="20"/>
                <w:szCs w:val="20"/>
                <w:color w:val="auto"/>
              </w:rPr>
            </w:pPr>
            <w:r>
              <w:rPr>
                <w:rFonts w:ascii="Arial" w:cs="Arial" w:eastAsia="Arial" w:hAnsi="Arial"/>
                <w:sz w:val="18"/>
                <w:szCs w:val="18"/>
                <w:color w:val="auto"/>
                <w:w w:val="99"/>
              </w:rPr>
              <w:t>$</w:t>
            </w: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(320)</w:t>
            </w:r>
          </w:p>
        </w:tc>
        <w:tc>
          <w:tcPr>
            <w:tcW w:w="640" w:type="dxa"/>
            <w:vAlign w:val="bottom"/>
          </w:tcPr>
          <w:p>
            <w:pPr>
              <w:jc w:val="right"/>
              <w:spacing w:after="0"/>
              <w:rPr>
                <w:sz w:val="20"/>
                <w:szCs w:val="20"/>
                <w:color w:val="auto"/>
              </w:rPr>
            </w:pPr>
            <w:r>
              <w:rPr>
                <w:rFonts w:ascii="Arial" w:cs="Arial" w:eastAsia="Arial" w:hAnsi="Arial"/>
                <w:sz w:val="18"/>
                <w:szCs w:val="18"/>
                <w:color w:val="auto"/>
              </w:rPr>
              <w:t>891</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w w:val="87"/>
              </w:rPr>
              <w:t>10,897</w:t>
            </w:r>
          </w:p>
        </w:tc>
        <w:tc>
          <w:tcPr>
            <w:tcW w:w="360" w:type="dxa"/>
            <w:vAlign w:val="bottom"/>
            <w:gridSpan w:val="2"/>
          </w:tcPr>
          <w:p>
            <w:pPr>
              <w:ind w:left="26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w w:val="94"/>
              </w:rPr>
              <w:t>(2,122)</w:t>
            </w: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1,390</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3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Below investment grade</w:t>
            </w:r>
          </w:p>
        </w:tc>
        <w:tc>
          <w:tcPr>
            <w:tcW w:w="6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391</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(243)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1,936</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(838)</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60" w:type="dxa"/>
            <w:vAlign w:val="bottom"/>
            <w:gridSpan w:val="3"/>
            <w:vMerge w:val="restart"/>
          </w:tcPr>
          <w:p>
            <w:pPr>
              <w:spacing w:after="0"/>
              <w:rPr>
                <w:sz w:val="20"/>
                <w:szCs w:val="20"/>
                <w:color w:val="auto"/>
              </w:rPr>
            </w:pPr>
            <w:r>
              <w:rPr>
                <w:rFonts w:ascii="Arial" w:cs="Arial" w:eastAsia="Arial" w:hAnsi="Arial"/>
                <w:sz w:val="18"/>
                <w:szCs w:val="18"/>
                <w:color w:val="auto"/>
              </w:rPr>
              <w:t>Total for securities in an unrealized loss position</w:t>
            </w:r>
          </w:p>
        </w:tc>
        <w:tc>
          <w:tcPr>
            <w:tcW w:w="6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5360" w:type="dxa"/>
            <w:vAlign w:val="bottom"/>
            <w:gridSpan w:val="3"/>
            <w:vMerge w:val="continue"/>
          </w:tcPr>
          <w:p>
            <w:pPr>
              <w:spacing w:after="0"/>
              <w:rPr>
                <w:sz w:val="19"/>
                <w:szCs w:val="19"/>
                <w:color w:val="auto"/>
              </w:rPr>
            </w:pPr>
          </w:p>
        </w:tc>
        <w:tc>
          <w:tcPr>
            <w:tcW w:w="11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8,782</w:t>
            </w:r>
          </w:p>
        </w:tc>
        <w:tc>
          <w:tcPr>
            <w:tcW w:w="440" w:type="dxa"/>
            <w:vAlign w:val="bottom"/>
            <w:gridSpan w:val="2"/>
          </w:tcPr>
          <w:p>
            <w:pPr>
              <w:ind w:left="320"/>
              <w:spacing w:after="0"/>
              <w:rPr>
                <w:sz w:val="20"/>
                <w:szCs w:val="20"/>
                <w:color w:val="auto"/>
              </w:rPr>
            </w:pPr>
            <w:r>
              <w:rPr>
                <w:rFonts w:ascii="Arial" w:cs="Arial" w:eastAsia="Arial" w:hAnsi="Arial"/>
                <w:sz w:val="18"/>
                <w:szCs w:val="18"/>
                <w:color w:val="auto"/>
                <w:w w:val="99"/>
              </w:rPr>
              <w:t>$</w:t>
            </w: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(563)</w:t>
            </w:r>
          </w:p>
        </w:tc>
        <w:tc>
          <w:tcPr>
            <w:tcW w:w="640" w:type="dxa"/>
            <w:vAlign w:val="bottom"/>
          </w:tcPr>
          <w:p>
            <w:pPr>
              <w:jc w:val="right"/>
              <w:spacing w:after="0"/>
              <w:rPr>
                <w:sz w:val="20"/>
                <w:szCs w:val="20"/>
                <w:color w:val="auto"/>
              </w:rPr>
            </w:pPr>
            <w:r>
              <w:rPr>
                <w:rFonts w:ascii="Arial" w:cs="Arial" w:eastAsia="Arial" w:hAnsi="Arial"/>
                <w:sz w:val="18"/>
                <w:szCs w:val="18"/>
                <w:color w:val="auto"/>
              </w:rPr>
              <w:t>1,110</w:t>
            </w:r>
          </w:p>
        </w:tc>
        <w:tc>
          <w:tcPr>
            <w:tcW w:w="4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w w:val="87"/>
              </w:rPr>
              <w:t>12,833</w:t>
            </w:r>
          </w:p>
        </w:tc>
        <w:tc>
          <w:tcPr>
            <w:tcW w:w="360" w:type="dxa"/>
            <w:vAlign w:val="bottom"/>
            <w:gridSpan w:val="2"/>
          </w:tcPr>
          <w:p>
            <w:pPr>
              <w:ind w:left="26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w w:val="94"/>
              </w:rPr>
              <w:t>(2,960)</w:t>
            </w: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1,803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3620" w:type="dxa"/>
            <w:vAlign w:val="bottom"/>
          </w:tcPr>
          <w:p>
            <w:pPr>
              <w:spacing w:after="0" w:line="20" w:lineRule="exact"/>
              <w:rPr>
                <w:sz w:val="1"/>
                <w:szCs w:val="1"/>
                <w:color w:val="auto"/>
              </w:rPr>
            </w:pPr>
          </w:p>
        </w:tc>
        <w:tc>
          <w:tcPr>
            <w:tcW w:w="600" w:type="dxa"/>
            <w:vAlign w:val="bottom"/>
            <w:vMerge w:val="restart"/>
          </w:tcPr>
          <w:p>
            <w:pPr>
              <w:jc w:val="right"/>
              <w:ind w:right="72"/>
              <w:spacing w:after="0"/>
              <w:rPr>
                <w:sz w:val="20"/>
                <w:szCs w:val="20"/>
                <w:color w:val="auto"/>
              </w:rPr>
            </w:pPr>
            <w:r>
              <w:rPr>
                <w:rFonts w:ascii="Arial" w:cs="Arial" w:eastAsia="Arial" w:hAnsi="Arial"/>
                <w:sz w:val="18"/>
                <w:szCs w:val="18"/>
                <w:color w:val="auto"/>
              </w:rPr>
              <w:t>20</w:t>
            </w: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3620" w:type="dxa"/>
            <w:vAlign w:val="bottom"/>
          </w:tcPr>
          <w:p>
            <w:pPr>
              <w:spacing w:after="0"/>
              <w:rPr>
                <w:sz w:val="24"/>
                <w:szCs w:val="24"/>
                <w:color w:val="auto"/>
              </w:rPr>
            </w:pPr>
          </w:p>
        </w:tc>
        <w:tc>
          <w:tcPr>
            <w:tcW w:w="600" w:type="dxa"/>
            <w:vAlign w:val="bottom"/>
            <w:vMerge w:val="continue"/>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420" w:firstLine="456"/>
        <w:spacing w:after="0" w:line="332" w:lineRule="auto"/>
        <w:rPr>
          <w:sz w:val="20"/>
          <w:szCs w:val="20"/>
          <w:color w:val="auto"/>
        </w:rPr>
      </w:pPr>
      <w:r>
        <w:rPr>
          <w:rFonts w:ascii="Arial" w:cs="Arial" w:eastAsia="Arial" w:hAnsi="Arial"/>
          <w:sz w:val="16"/>
          <w:szCs w:val="16"/>
          <w:color w:val="auto"/>
        </w:rPr>
        <w:t>The scheduled maturity distribution of fixed maturity securities as of June 30, 2010 is set forth below. Actual maturities may differ from contractual maturities because issuers of securities may have the right to call or prepay obligations with or without call or prepayment penalties.</w:t>
      </w:r>
    </w:p>
    <w:p>
      <w:pPr>
        <w:spacing w:after="0" w:line="109"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4"/>
                <w:szCs w:val="14"/>
                <w:b w:val="1"/>
                <w:bCs w:val="1"/>
                <w:color w:val="auto"/>
                <w:w w:val="90"/>
              </w:rPr>
              <w:t>Amortized</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342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jc w:val="right"/>
              <w:ind w:right="56"/>
              <w:spacing w:after="0" w:line="149" w:lineRule="exact"/>
              <w:rPr>
                <w:sz w:val="20"/>
                <w:szCs w:val="20"/>
                <w:color w:val="auto"/>
              </w:rPr>
            </w:pPr>
            <w:r>
              <w:rPr>
                <w:rFonts w:ascii="Arial" w:cs="Arial" w:eastAsia="Arial" w:hAnsi="Arial"/>
                <w:sz w:val="14"/>
                <w:szCs w:val="14"/>
                <w:b w:val="1"/>
                <w:bCs w:val="1"/>
                <w:color w:val="auto"/>
                <w:w w:val="81"/>
              </w:rPr>
              <w:t>cost or</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ind w:right="116"/>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61"/>
        </w:trPr>
        <w:tc>
          <w:tcPr>
            <w:tcW w:w="474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2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ind w:right="136"/>
              <w:spacing w:after="0"/>
              <w:rPr>
                <w:sz w:val="20"/>
                <w:szCs w:val="20"/>
                <w:color w:val="auto"/>
              </w:rPr>
            </w:pPr>
            <w:r>
              <w:rPr>
                <w:rFonts w:ascii="Arial" w:cs="Arial" w:eastAsia="Arial" w:hAnsi="Arial"/>
                <w:sz w:val="14"/>
                <w:szCs w:val="14"/>
                <w:b w:val="1"/>
                <w:bCs w:val="1"/>
                <w:color w:val="auto"/>
              </w:rPr>
              <w:t>cost</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jc w:val="right"/>
              <w:ind w:right="76"/>
              <w:spacing w:after="0"/>
              <w:rPr>
                <w:sz w:val="20"/>
                <w:szCs w:val="20"/>
                <w:color w:val="auto"/>
              </w:rPr>
            </w:pPr>
            <w:r>
              <w:rPr>
                <w:rFonts w:ascii="Arial" w:cs="Arial" w:eastAsia="Arial" w:hAnsi="Arial"/>
                <w:sz w:val="14"/>
                <w:szCs w:val="14"/>
                <w:b w:val="1"/>
                <w:bCs w:val="1"/>
                <w:color w:val="auto"/>
                <w:w w:val="94"/>
              </w:rPr>
              <w:t>value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Due one year or less</w:t>
            </w:r>
          </w:p>
        </w:tc>
        <w:tc>
          <w:tcPr>
            <w:tcW w:w="2200" w:type="dxa"/>
            <w:vAlign w:val="bottom"/>
            <w:gridSpan w:val="2"/>
            <w:shd w:val="clear" w:color="auto" w:fill="CCEEFF"/>
          </w:tcPr>
          <w:p>
            <w:pPr>
              <w:ind w:left="2100"/>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2,776</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2"/>
          </w:tcPr>
          <w:p>
            <w:pPr>
              <w:spacing w:after="0"/>
              <w:rPr>
                <w:sz w:val="20"/>
                <w:szCs w:val="20"/>
                <w:color w:val="auto"/>
              </w:rPr>
            </w:pPr>
            <w:r>
              <w:rPr>
                <w:rFonts w:ascii="Arial" w:cs="Arial" w:eastAsia="Arial" w:hAnsi="Arial"/>
                <w:sz w:val="18"/>
                <w:szCs w:val="18"/>
                <w:color w:val="auto"/>
              </w:rPr>
              <w:t>Due after one year through five years</w:t>
            </w:r>
          </w:p>
        </w:tc>
        <w:tc>
          <w:tcPr>
            <w:tcW w:w="2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0"/>
              </w:rPr>
              <w:t>11,367</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w w:val="87"/>
              </w:rPr>
              <w:t>11,696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Due after five years through ten years</w:t>
            </w:r>
          </w:p>
        </w:tc>
        <w:tc>
          <w:tcPr>
            <w:tcW w:w="2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8,494</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8,877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20" w:type="dxa"/>
            <w:vAlign w:val="bottom"/>
            <w:gridSpan w:val="2"/>
          </w:tcPr>
          <w:p>
            <w:pPr>
              <w:spacing w:after="0"/>
              <w:rPr>
                <w:sz w:val="20"/>
                <w:szCs w:val="20"/>
                <w:color w:val="auto"/>
              </w:rPr>
            </w:pPr>
            <w:r>
              <w:rPr>
                <w:rFonts w:ascii="Arial" w:cs="Arial" w:eastAsia="Arial" w:hAnsi="Arial"/>
                <w:sz w:val="18"/>
                <w:szCs w:val="18"/>
                <w:color w:val="auto"/>
              </w:rPr>
              <w:t>Due after ten years</w:t>
            </w:r>
          </w:p>
        </w:tc>
        <w:tc>
          <w:tcPr>
            <w:tcW w:w="2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19,316</w:t>
            </w:r>
          </w:p>
        </w:tc>
        <w:tc>
          <w:tcPr>
            <w:tcW w:w="5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19,983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Subtotal</w:t>
            </w:r>
          </w:p>
        </w:tc>
        <w:tc>
          <w:tcPr>
            <w:tcW w:w="2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41,953</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43,357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2"/>
          </w:tcPr>
          <w:p>
            <w:pPr>
              <w:spacing w:after="0"/>
              <w:rPr>
                <w:sz w:val="20"/>
                <w:szCs w:val="20"/>
                <w:color w:val="auto"/>
              </w:rPr>
            </w:pPr>
            <w:r>
              <w:rPr>
                <w:rFonts w:ascii="Arial" w:cs="Arial" w:eastAsia="Arial" w:hAnsi="Arial"/>
                <w:sz w:val="18"/>
                <w:szCs w:val="18"/>
                <w:color w:val="auto"/>
              </w:rPr>
              <w:t>Residential mortgage-backed</w:t>
            </w:r>
          </w:p>
        </w:tc>
        <w:tc>
          <w:tcPr>
            <w:tcW w:w="2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4,395</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3,955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 mortgage-backed</w:t>
            </w:r>
          </w:p>
        </w:tc>
        <w:tc>
          <w:tcPr>
            <w:tcW w:w="2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4,117</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3,726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20" w:type="dxa"/>
            <w:vAlign w:val="bottom"/>
            <w:gridSpan w:val="2"/>
          </w:tcPr>
          <w:p>
            <w:pPr>
              <w:spacing w:after="0"/>
              <w:rPr>
                <w:sz w:val="20"/>
                <w:szCs w:val="20"/>
                <w:color w:val="auto"/>
              </w:rPr>
            </w:pPr>
            <w:r>
              <w:rPr>
                <w:rFonts w:ascii="Arial" w:cs="Arial" w:eastAsia="Arial" w:hAnsi="Arial"/>
                <w:sz w:val="18"/>
                <w:szCs w:val="18"/>
                <w:color w:val="auto"/>
              </w:rPr>
              <w:t>Other asset-backed</w:t>
            </w:r>
          </w:p>
        </w:tc>
        <w:tc>
          <w:tcPr>
            <w:tcW w:w="2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2,640</w:t>
            </w:r>
          </w:p>
        </w:tc>
        <w:tc>
          <w:tcPr>
            <w:tcW w:w="5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w:t>
            </w:r>
          </w:p>
        </w:tc>
        <w:tc>
          <w:tcPr>
            <w:tcW w:w="2200" w:type="dxa"/>
            <w:vAlign w:val="bottom"/>
            <w:gridSpan w:val="2"/>
            <w:shd w:val="clear" w:color="auto" w:fill="CCEEFF"/>
          </w:tcPr>
          <w:p>
            <w:pPr>
              <w:ind w:left="2100"/>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53,105</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53,386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As of June 30, 2010, $5,015 million of our investments (excluding mortgage-backed and asset-backed securities) were subject to certain call provisions.</w:t>
      </w:r>
    </w:p>
    <w:p>
      <w:pPr>
        <w:spacing w:after="0" w:line="194" w:lineRule="exact"/>
        <w:rPr>
          <w:sz w:val="20"/>
          <w:szCs w:val="20"/>
          <w:color w:val="auto"/>
        </w:rPr>
      </w:pPr>
    </w:p>
    <w:p>
      <w:pPr>
        <w:ind w:right="240" w:firstLine="456"/>
        <w:spacing w:after="0" w:line="256" w:lineRule="auto"/>
        <w:rPr>
          <w:sz w:val="20"/>
          <w:szCs w:val="20"/>
          <w:color w:val="auto"/>
        </w:rPr>
      </w:pPr>
      <w:r>
        <w:rPr>
          <w:rFonts w:ascii="Arial" w:cs="Arial" w:eastAsia="Arial" w:hAnsi="Arial"/>
          <w:sz w:val="18"/>
          <w:szCs w:val="18"/>
          <w:color w:val="auto"/>
        </w:rPr>
        <w:t>As of June 30, 2010, securities issued by finance and insurance, utilities and energy, and consumer—non-cyclical industry groups represented approximately 24%, 22% and 12% of our domestic and foreign corporate fixed maturity securities portfolio, respectively. No other industry group comprised more than 10% of our investment portfolio. This portfolio is widely diversified among various geographic regions in the U.S. and internationally, and is not dependent on the economic stability of one particular region.</w:t>
      </w:r>
    </w:p>
    <w:p>
      <w:pPr>
        <w:spacing w:after="0" w:line="143"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As of June 30, 2010, we did not hold any fixed maturity securities in any single issuer, other than securities issued or guaranteed by the U.S. government, which exceeded 10% of stockholders’ equity.</w:t>
      </w:r>
    </w:p>
    <w:p>
      <w:pPr>
        <w:spacing w:after="0" w:line="213"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(e) Commercial Mortgage Loans</w:t>
      </w:r>
    </w:p>
    <w:p>
      <w:pPr>
        <w:spacing w:after="0" w:line="9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Our mortgage loans are collateralized by commercial properties, including multi-family residential buildings. The carrying value of commercial mortgage loans is stated at original cost net of prepayments, amortization and allowance for loan losses.</w:t>
      </w:r>
    </w:p>
    <w:p>
      <w:pPr>
        <w:spacing w:after="0" w:line="11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80"/>
          </w:cols>
          <w:pgMar w:left="240" w:top="459" w:right="37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220" w:firstLine="456"/>
        <w:spacing w:after="0" w:line="268" w:lineRule="auto"/>
        <w:rPr>
          <w:sz w:val="20"/>
          <w:szCs w:val="20"/>
          <w:color w:val="auto"/>
        </w:rPr>
      </w:pPr>
      <w:r>
        <w:rPr>
          <w:rFonts w:ascii="Arial" w:cs="Arial" w:eastAsia="Arial" w:hAnsi="Arial"/>
          <w:sz w:val="18"/>
          <w:szCs w:val="18"/>
          <w:color w:val="auto"/>
        </w:rPr>
        <w:t>We diversify our commercial mortgage loans by both property type and geographic region. The following tables set forth the distribution across property type and geographic region for commercial mortgage loans as of the periods indicated: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1920" w:type="dxa"/>
            <w:vAlign w:val="bottom"/>
            <w:gridSpan w:val="4"/>
          </w:tcPr>
          <w:p>
            <w:pPr>
              <w:jc w:val="right"/>
              <w:ind w:right="880"/>
              <w:spacing w:after="0"/>
              <w:rPr>
                <w:sz w:val="20"/>
                <w:szCs w:val="20"/>
                <w:color w:val="auto"/>
              </w:rPr>
            </w:pPr>
            <w:r>
              <w:rPr>
                <w:rFonts w:ascii="Arial" w:cs="Arial" w:eastAsia="Arial" w:hAnsi="Arial"/>
                <w:sz w:val="14"/>
                <w:szCs w:val="14"/>
                <w:b w:val="1"/>
                <w:bCs w:val="1"/>
                <w:color w:val="auto"/>
              </w:rPr>
              <w:t>June 30, 2010</w:t>
            </w:r>
          </w:p>
        </w:tc>
        <w:tc>
          <w:tcPr>
            <w:tcW w:w="100" w:type="dxa"/>
            <w:vAlign w:val="bottom"/>
          </w:tcPr>
          <w:p>
            <w:pPr>
              <w:spacing w:after="0"/>
              <w:rPr>
                <w:sz w:val="14"/>
                <w:szCs w:val="14"/>
                <w:color w:val="auto"/>
              </w:rPr>
            </w:pPr>
          </w:p>
        </w:tc>
        <w:tc>
          <w:tcPr>
            <w:tcW w:w="1540" w:type="dxa"/>
            <w:vAlign w:val="bottom"/>
            <w:gridSpan w:val="4"/>
          </w:tcPr>
          <w:p>
            <w:pPr>
              <w:jc w:val="right"/>
              <w:ind w:right="380"/>
              <w:spacing w:after="0"/>
              <w:rPr>
                <w:sz w:val="20"/>
                <w:szCs w:val="20"/>
                <w:color w:val="auto"/>
              </w:rPr>
            </w:pPr>
            <w:r>
              <w:rPr>
                <w:rFonts w:ascii="Arial" w:cs="Arial" w:eastAsia="Arial" w:hAnsi="Arial"/>
                <w:sz w:val="14"/>
                <w:szCs w:val="14"/>
                <w:b w:val="1"/>
                <w:bCs w:val="1"/>
                <w:color w:val="auto"/>
                <w:w w:val="90"/>
              </w:rPr>
              <w:t>December 31, 2009</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520" w:type="dxa"/>
            <w:vAlign w:val="bottom"/>
          </w:tcPr>
          <w:p>
            <w:pPr>
              <w:spacing w:after="0"/>
              <w:rPr>
                <w:sz w:val="11"/>
                <w:szCs w:val="11"/>
                <w:color w:val="auto"/>
              </w:rPr>
            </w:pPr>
          </w:p>
        </w:tc>
        <w:tc>
          <w:tcPr>
            <w:tcW w:w="1040" w:type="dxa"/>
            <w:vAlign w:val="bottom"/>
            <w:tcBorders>
              <w:top w:val="single" w:sz="8" w:color="auto"/>
            </w:tcBorders>
            <w:gridSpan w:val="2"/>
          </w:tcPr>
          <w:p>
            <w:pPr>
              <w:jc w:val="right"/>
              <w:ind w:right="500"/>
              <w:spacing w:after="0" w:line="129" w:lineRule="exact"/>
              <w:rPr>
                <w:sz w:val="20"/>
                <w:szCs w:val="20"/>
                <w:color w:val="auto"/>
              </w:rPr>
            </w:pPr>
            <w:r>
              <w:rPr>
                <w:rFonts w:ascii="Arial" w:cs="Arial" w:eastAsia="Arial" w:hAnsi="Arial"/>
                <w:sz w:val="14"/>
                <w:szCs w:val="14"/>
                <w:b w:val="1"/>
                <w:bCs w:val="1"/>
                <w:color w:val="auto"/>
                <w:w w:val="90"/>
              </w:rPr>
              <w:t>Carrying</w:t>
            </w:r>
          </w:p>
        </w:tc>
        <w:tc>
          <w:tcPr>
            <w:tcW w:w="280" w:type="dxa"/>
            <w:vAlign w:val="bottom"/>
            <w:tcBorders>
              <w:top w:val="single" w:sz="8" w:color="auto"/>
            </w:tcBorders>
          </w:tcPr>
          <w:p>
            <w:pPr>
              <w:spacing w:after="0" w:line="129" w:lineRule="exact"/>
              <w:rPr>
                <w:sz w:val="20"/>
                <w:szCs w:val="20"/>
                <w:color w:val="auto"/>
              </w:rPr>
            </w:pPr>
            <w:r>
              <w:rPr>
                <w:rFonts w:ascii="Arial" w:cs="Arial" w:eastAsia="Arial" w:hAnsi="Arial"/>
                <w:sz w:val="14"/>
                <w:szCs w:val="14"/>
                <w:b w:val="1"/>
                <w:bCs w:val="1"/>
                <w:color w:val="auto"/>
                <w:w w:val="87"/>
              </w:rPr>
              <w:t>% of</w:t>
            </w:r>
          </w:p>
        </w:tc>
        <w:tc>
          <w:tcPr>
            <w:tcW w:w="600" w:type="dxa"/>
            <w:vAlign w:val="bottom"/>
          </w:tcPr>
          <w:p>
            <w:pPr>
              <w:spacing w:after="0"/>
              <w:rPr>
                <w:sz w:val="11"/>
                <w:szCs w:val="11"/>
                <w:color w:val="auto"/>
              </w:rPr>
            </w:pPr>
          </w:p>
        </w:tc>
        <w:tc>
          <w:tcPr>
            <w:tcW w:w="1100" w:type="dxa"/>
            <w:vAlign w:val="bottom"/>
            <w:tcBorders>
              <w:top w:val="single" w:sz="8" w:color="auto"/>
            </w:tcBorders>
            <w:gridSpan w:val="3"/>
          </w:tcPr>
          <w:p>
            <w:pPr>
              <w:jc w:val="right"/>
              <w:ind w:right="540"/>
              <w:spacing w:after="0" w:line="129" w:lineRule="exact"/>
              <w:rPr>
                <w:sz w:val="20"/>
                <w:szCs w:val="20"/>
                <w:color w:val="auto"/>
              </w:rPr>
            </w:pPr>
            <w:r>
              <w:rPr>
                <w:rFonts w:ascii="Arial" w:cs="Arial" w:eastAsia="Arial" w:hAnsi="Arial"/>
                <w:sz w:val="14"/>
                <w:szCs w:val="14"/>
                <w:b w:val="1"/>
                <w:bCs w:val="1"/>
                <w:color w:val="auto"/>
                <w:w w:val="93"/>
              </w:rPr>
              <w:t>Carrying</w:t>
            </w:r>
          </w:p>
        </w:tc>
        <w:tc>
          <w:tcPr>
            <w:tcW w:w="34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w w:val="94"/>
              </w:rPr>
              <w:t>% of</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786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4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value</w:t>
            </w:r>
          </w:p>
        </w:tc>
        <w:tc>
          <w:tcPr>
            <w:tcW w:w="880" w:type="dxa"/>
            <w:vAlign w:val="bottom"/>
            <w:gridSpan w:val="2"/>
          </w:tcPr>
          <w:p>
            <w:pPr>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4"/>
                <w:szCs w:val="14"/>
                <w:color w:val="auto"/>
              </w:rPr>
            </w:pPr>
          </w:p>
        </w:tc>
        <w:tc>
          <w:tcPr>
            <w:tcW w:w="100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w w:val="89"/>
              </w:rPr>
              <w:t>value</w:t>
            </w:r>
          </w:p>
        </w:tc>
        <w:tc>
          <w:tcPr>
            <w:tcW w:w="54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4"/>
              </w:rPr>
              <w:t>total</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Property Type</w:t>
            </w:r>
          </w:p>
        </w:tc>
        <w:tc>
          <w:tcPr>
            <w:tcW w:w="652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tcPr>
          <w:p>
            <w:pPr>
              <w:spacing w:after="0"/>
              <w:rPr>
                <w:sz w:val="20"/>
                <w:szCs w:val="20"/>
                <w:color w:val="auto"/>
              </w:rPr>
            </w:pPr>
            <w:r>
              <w:rPr>
                <w:rFonts w:ascii="Arial" w:cs="Arial" w:eastAsia="Arial" w:hAnsi="Arial"/>
                <w:sz w:val="18"/>
                <w:szCs w:val="18"/>
                <w:color w:val="auto"/>
              </w:rPr>
              <w:t>Retail</w:t>
            </w:r>
          </w:p>
        </w:tc>
        <w:tc>
          <w:tcPr>
            <w:tcW w:w="540" w:type="dxa"/>
            <w:vAlign w:val="bottom"/>
          </w:tcPr>
          <w:p>
            <w:pPr>
              <w:jc w:val="right"/>
              <w:spacing w:after="0"/>
              <w:rPr>
                <w:sz w:val="20"/>
                <w:szCs w:val="20"/>
                <w:color w:val="auto"/>
              </w:rPr>
            </w:pPr>
            <w:r>
              <w:rPr>
                <w:rFonts w:ascii="Arial" w:cs="Arial" w:eastAsia="Arial" w:hAnsi="Arial"/>
                <w:sz w:val="18"/>
                <w:szCs w:val="18"/>
                <w:color w:val="auto"/>
                <w:w w:val="86"/>
              </w:rPr>
              <w:t>$ 2,047</w:t>
            </w:r>
          </w:p>
        </w:tc>
        <w:tc>
          <w:tcPr>
            <w:tcW w:w="500" w:type="dxa"/>
            <w:vAlign w:val="bottom"/>
          </w:tcPr>
          <w:p>
            <w:pPr>
              <w:spacing w:after="0"/>
              <w:rPr>
                <w:sz w:val="18"/>
                <w:szCs w:val="18"/>
                <w:color w:val="auto"/>
              </w:rPr>
            </w:pPr>
          </w:p>
        </w:tc>
        <w:tc>
          <w:tcPr>
            <w:tcW w:w="880" w:type="dxa"/>
            <w:vAlign w:val="bottom"/>
            <w:gridSpan w:val="2"/>
          </w:tcPr>
          <w:p>
            <w:pPr>
              <w:jc w:val="right"/>
              <w:ind w:right="460"/>
              <w:spacing w:after="0"/>
              <w:rPr>
                <w:sz w:val="20"/>
                <w:szCs w:val="20"/>
                <w:color w:val="auto"/>
              </w:rPr>
            </w:pPr>
            <w:r>
              <w:rPr>
                <w:rFonts w:ascii="Arial" w:cs="Arial" w:eastAsia="Arial" w:hAnsi="Arial"/>
                <w:sz w:val="18"/>
                <w:szCs w:val="18"/>
                <w:color w:val="auto"/>
              </w:rPr>
              <w:t>28%</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2,115</w:t>
            </w: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Office</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1,971</w:t>
            </w: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2,025</w:t>
            </w: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tcPr>
          <w:p>
            <w:pPr>
              <w:spacing w:after="0"/>
              <w:rPr>
                <w:sz w:val="20"/>
                <w:szCs w:val="20"/>
                <w:color w:val="auto"/>
              </w:rPr>
            </w:pPr>
            <w:r>
              <w:rPr>
                <w:rFonts w:ascii="Arial" w:cs="Arial" w:eastAsia="Arial" w:hAnsi="Arial"/>
                <w:sz w:val="18"/>
                <w:szCs w:val="18"/>
                <w:color w:val="auto"/>
              </w:rPr>
              <w:t>Industrial</w:t>
            </w:r>
          </w:p>
        </w:tc>
        <w:tc>
          <w:tcPr>
            <w:tcW w:w="540" w:type="dxa"/>
            <w:vAlign w:val="bottom"/>
          </w:tcPr>
          <w:p>
            <w:pPr>
              <w:jc w:val="right"/>
              <w:spacing w:after="0"/>
              <w:rPr>
                <w:sz w:val="20"/>
                <w:szCs w:val="20"/>
                <w:color w:val="auto"/>
              </w:rPr>
            </w:pPr>
            <w:r>
              <w:rPr>
                <w:rFonts w:ascii="Arial" w:cs="Arial" w:eastAsia="Arial" w:hAnsi="Arial"/>
                <w:sz w:val="18"/>
                <w:szCs w:val="18"/>
                <w:color w:val="auto"/>
              </w:rPr>
              <w:t>1,903</w:t>
            </w:r>
          </w:p>
        </w:tc>
        <w:tc>
          <w:tcPr>
            <w:tcW w:w="50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26</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1,979</w:t>
            </w:r>
          </w:p>
        </w:tc>
        <w:tc>
          <w:tcPr>
            <w:tcW w:w="540" w:type="dxa"/>
            <w:vAlign w:val="bottom"/>
            <w:gridSpan w:val="2"/>
          </w:tcPr>
          <w:p>
            <w:pPr>
              <w:jc w:val="right"/>
              <w:ind w:right="20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Apartments</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812</w:t>
            </w:r>
          </w:p>
        </w:tc>
        <w:tc>
          <w:tcPr>
            <w:tcW w:w="5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832</w:t>
            </w: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tcPr>
          <w:p>
            <w:pPr>
              <w:spacing w:after="0"/>
              <w:rPr>
                <w:sz w:val="20"/>
                <w:szCs w:val="20"/>
                <w:color w:val="auto"/>
              </w:rPr>
            </w:pPr>
            <w:r>
              <w:rPr>
                <w:rFonts w:ascii="Arial" w:cs="Arial" w:eastAsia="Arial" w:hAnsi="Arial"/>
                <w:sz w:val="18"/>
                <w:szCs w:val="18"/>
                <w:color w:val="auto"/>
              </w:rPr>
              <w:t>Mixed use/other</w:t>
            </w:r>
          </w:p>
        </w:tc>
        <w:tc>
          <w:tcPr>
            <w:tcW w:w="540" w:type="dxa"/>
            <w:vAlign w:val="bottom"/>
          </w:tcPr>
          <w:p>
            <w:pPr>
              <w:jc w:val="right"/>
              <w:spacing w:after="0"/>
              <w:rPr>
                <w:sz w:val="20"/>
                <w:szCs w:val="20"/>
                <w:color w:val="auto"/>
              </w:rPr>
            </w:pPr>
            <w:r>
              <w:rPr>
                <w:rFonts w:ascii="Arial" w:cs="Arial" w:eastAsia="Arial" w:hAnsi="Arial"/>
                <w:sz w:val="18"/>
                <w:szCs w:val="18"/>
                <w:color w:val="auto"/>
              </w:rPr>
              <w:t>540</w:t>
            </w:r>
          </w:p>
        </w:tc>
        <w:tc>
          <w:tcPr>
            <w:tcW w:w="50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8</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590</w:t>
            </w:r>
          </w:p>
        </w:tc>
        <w:tc>
          <w:tcPr>
            <w:tcW w:w="540" w:type="dxa"/>
            <w:vAlign w:val="bottom"/>
            <w:gridSpan w:val="2"/>
          </w:tcPr>
          <w:p>
            <w:pPr>
              <w:jc w:val="right"/>
              <w:ind w:right="2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52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principal balance</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7,273</w:t>
            </w:r>
          </w:p>
        </w:tc>
        <w:tc>
          <w:tcPr>
            <w:tcW w:w="5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6"/>
              </w:rPr>
              <w:t>100%</w:t>
            </w: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7,541</w:t>
            </w:r>
          </w:p>
        </w:tc>
        <w:tc>
          <w:tcPr>
            <w:tcW w:w="5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40" w:type="dxa"/>
            <w:vAlign w:val="bottom"/>
            <w:gridSpan w:val="2"/>
            <w:vMerge w:val="restart"/>
          </w:tcPr>
          <w:p>
            <w:pPr>
              <w:ind w:left="420"/>
              <w:spacing w:after="0"/>
              <w:rPr>
                <w:sz w:val="20"/>
                <w:szCs w:val="20"/>
                <w:color w:val="auto"/>
              </w:rPr>
            </w:pPr>
            <w:r>
              <w:rPr>
                <w:rFonts w:ascii="Arial" w:cs="Arial" w:eastAsia="Arial" w:hAnsi="Arial"/>
                <w:sz w:val="18"/>
                <w:szCs w:val="18"/>
                <w:color w:val="auto"/>
              </w:rPr>
              <w:t>Unamortized balance of loan origination fees and costs</w:t>
            </w:r>
          </w:p>
        </w:tc>
        <w:tc>
          <w:tcPr>
            <w:tcW w:w="540" w:type="dxa"/>
            <w:vAlign w:val="bottom"/>
            <w:vMerge w:val="restart"/>
          </w:tcPr>
          <w:p>
            <w:pPr>
              <w:jc w:val="right"/>
              <w:spacing w:after="0"/>
              <w:rPr>
                <w:sz w:val="20"/>
                <w:szCs w:val="20"/>
                <w:color w:val="auto"/>
              </w:rPr>
            </w:pPr>
            <w:r>
              <w:rPr>
                <w:rFonts w:ascii="Arial" w:cs="Arial" w:eastAsia="Arial" w:hAnsi="Arial"/>
                <w:sz w:val="18"/>
                <w:szCs w:val="18"/>
                <w:color w:val="auto"/>
              </w:rPr>
              <w:t>5</w:t>
            </w:r>
          </w:p>
        </w:tc>
        <w:tc>
          <w:tcPr>
            <w:tcW w:w="5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gridSpan w:val="2"/>
            <w:vMerge w:val="restart"/>
          </w:tcPr>
          <w:p>
            <w:pPr>
              <w:jc w:val="right"/>
              <w:ind w:right="520"/>
              <w:spacing w:after="0"/>
              <w:rPr>
                <w:sz w:val="20"/>
                <w:szCs w:val="20"/>
                <w:color w:val="auto"/>
              </w:rPr>
            </w:pPr>
            <w:r>
              <w:rPr>
                <w:rFonts w:ascii="Arial" w:cs="Arial" w:eastAsia="Arial" w:hAnsi="Arial"/>
                <w:sz w:val="18"/>
                <w:szCs w:val="18"/>
                <w:color w:val="auto"/>
              </w:rPr>
              <w:t>6</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7840" w:type="dxa"/>
            <w:vAlign w:val="bottom"/>
            <w:gridSpan w:val="2"/>
            <w:vMerge w:val="continue"/>
          </w:tcPr>
          <w:p>
            <w:pPr>
              <w:spacing w:after="0"/>
              <w:rPr>
                <w:sz w:val="18"/>
                <w:szCs w:val="18"/>
                <w:color w:val="auto"/>
              </w:rPr>
            </w:pPr>
          </w:p>
        </w:tc>
        <w:tc>
          <w:tcPr>
            <w:tcW w:w="540" w:type="dxa"/>
            <w:vAlign w:val="bottom"/>
            <w:vMerge w:val="continue"/>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vMerge w:val="continue"/>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8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Allowance for losses </w:t>
            </w:r>
            <w:r>
              <w:rPr>
                <w:rFonts w:ascii="Arial" w:cs="Arial" w:eastAsia="Arial" w:hAnsi="Arial"/>
                <w:sz w:val="11"/>
                <w:szCs w:val="11"/>
                <w:color w:val="auto"/>
              </w:rPr>
              <w:t>(1)</w:t>
            </w:r>
          </w:p>
        </w:tc>
        <w:tc>
          <w:tcPr>
            <w:tcW w:w="10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(70)</w:t>
            </w:r>
          </w:p>
        </w:tc>
        <w:tc>
          <w:tcPr>
            <w:tcW w:w="2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(48)</w:t>
            </w: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40" w:type="dxa"/>
            <w:vAlign w:val="bottom"/>
            <w:gridSpan w:val="2"/>
            <w:vMerge w:val="restart"/>
          </w:tcPr>
          <w:p>
            <w:pPr>
              <w:ind w:left="420"/>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1"/>
                <w:szCs w:val="11"/>
                <w:color w:val="auto"/>
              </w:rPr>
              <w:t>(2)</w:t>
            </w:r>
          </w:p>
        </w:tc>
        <w:tc>
          <w:tcPr>
            <w:tcW w:w="5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840" w:type="dxa"/>
            <w:vAlign w:val="bottom"/>
            <w:gridSpan w:val="2"/>
            <w:vMerge w:val="continue"/>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86"/>
              </w:rPr>
              <w:t>$ 7,208</w:t>
            </w:r>
          </w:p>
        </w:tc>
        <w:tc>
          <w:tcPr>
            <w:tcW w:w="5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7,499</w:t>
            </w: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1"/>
        </w:numPr>
        <w:rPr>
          <w:rFonts w:ascii="Arial" w:cs="Arial" w:eastAsia="Arial" w:hAnsi="Arial"/>
          <w:sz w:val="22"/>
          <w:szCs w:val="22"/>
          <w:color w:val="auto"/>
          <w:vertAlign w:val="superscript"/>
        </w:rPr>
      </w:pPr>
      <w:r>
        <w:rPr>
          <w:rFonts w:ascii="Arial" w:cs="Arial" w:eastAsia="Arial" w:hAnsi="Arial"/>
          <w:sz w:val="18"/>
          <w:szCs w:val="18"/>
          <w:color w:val="auto"/>
        </w:rPr>
        <w:t>Included $13 million related to held-for-sale commercial mortgage loans as of June 30, 2010.</w:t>
      </w:r>
    </w:p>
    <w:p>
      <w:pPr>
        <w:spacing w:after="0" w:line="7" w:lineRule="exact"/>
        <w:rPr>
          <w:rFonts w:ascii="Arial" w:cs="Arial" w:eastAsia="Arial" w:hAnsi="Arial"/>
          <w:sz w:val="22"/>
          <w:szCs w:val="22"/>
          <w:color w:val="auto"/>
          <w:vertAlign w:val="superscript"/>
        </w:rPr>
      </w:pPr>
    </w:p>
    <w:p>
      <w:pPr>
        <w:ind w:left="460" w:right="40" w:hanging="452"/>
        <w:spacing w:after="0" w:line="230" w:lineRule="auto"/>
        <w:tabs>
          <w:tab w:leader="none" w:pos="460" w:val="left"/>
        </w:tabs>
        <w:numPr>
          <w:ilvl w:val="0"/>
          <w:numId w:val="11"/>
        </w:numPr>
        <w:rPr>
          <w:rFonts w:ascii="Arial" w:cs="Arial" w:eastAsia="Arial" w:hAnsi="Arial"/>
          <w:sz w:val="22"/>
          <w:szCs w:val="22"/>
          <w:color w:val="auto"/>
          <w:vertAlign w:val="superscript"/>
        </w:rPr>
      </w:pPr>
      <w:r>
        <w:rPr>
          <w:rFonts w:ascii="Arial" w:cs="Arial" w:eastAsia="Arial" w:hAnsi="Arial"/>
          <w:sz w:val="18"/>
          <w:szCs w:val="18"/>
          <w:color w:val="auto"/>
        </w:rPr>
        <w:t>Included held-for-sale mortgage loans of $37 million and $17 million as of June 30, 2010 and December 31, 2009, respectively. The held-for-sale mortgage loans as of December 31, 2009 represented interests in reverse mortgage loans. In the first quarter of 2010, we began reporting held-for-sale reverse mortgages in other invested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-571500</wp:posOffset>
            </wp:positionV>
            <wp:extent cx="72898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1920" w:type="dxa"/>
            <w:vAlign w:val="bottom"/>
            <w:gridSpan w:val="4"/>
          </w:tcPr>
          <w:p>
            <w:pPr>
              <w:jc w:val="right"/>
              <w:ind w:right="880"/>
              <w:spacing w:after="0"/>
              <w:rPr>
                <w:sz w:val="20"/>
                <w:szCs w:val="20"/>
                <w:color w:val="auto"/>
              </w:rPr>
            </w:pPr>
            <w:r>
              <w:rPr>
                <w:rFonts w:ascii="Arial" w:cs="Arial" w:eastAsia="Arial" w:hAnsi="Arial"/>
                <w:sz w:val="14"/>
                <w:szCs w:val="14"/>
                <w:b w:val="1"/>
                <w:bCs w:val="1"/>
                <w:color w:val="auto"/>
              </w:rPr>
              <w:t>June 30, 2010</w:t>
            </w:r>
          </w:p>
        </w:tc>
        <w:tc>
          <w:tcPr>
            <w:tcW w:w="100" w:type="dxa"/>
            <w:vAlign w:val="bottom"/>
          </w:tcPr>
          <w:p>
            <w:pPr>
              <w:spacing w:after="0"/>
              <w:rPr>
                <w:sz w:val="14"/>
                <w:szCs w:val="14"/>
                <w:color w:val="auto"/>
              </w:rPr>
            </w:pPr>
          </w:p>
        </w:tc>
        <w:tc>
          <w:tcPr>
            <w:tcW w:w="1540" w:type="dxa"/>
            <w:vAlign w:val="bottom"/>
            <w:gridSpan w:val="4"/>
          </w:tcPr>
          <w:p>
            <w:pPr>
              <w:jc w:val="right"/>
              <w:ind w:right="380"/>
              <w:spacing w:after="0"/>
              <w:rPr>
                <w:sz w:val="20"/>
                <w:szCs w:val="20"/>
                <w:color w:val="auto"/>
              </w:rPr>
            </w:pPr>
            <w:r>
              <w:rPr>
                <w:rFonts w:ascii="Arial" w:cs="Arial" w:eastAsia="Arial" w:hAnsi="Arial"/>
                <w:sz w:val="14"/>
                <w:szCs w:val="14"/>
                <w:b w:val="1"/>
                <w:bCs w:val="1"/>
                <w:color w:val="auto"/>
                <w:w w:val="90"/>
              </w:rPr>
              <w:t>December 31, 2009</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520" w:type="dxa"/>
            <w:vAlign w:val="bottom"/>
          </w:tcPr>
          <w:p>
            <w:pPr>
              <w:spacing w:after="0"/>
              <w:rPr>
                <w:sz w:val="11"/>
                <w:szCs w:val="11"/>
                <w:color w:val="auto"/>
              </w:rPr>
            </w:pPr>
          </w:p>
        </w:tc>
        <w:tc>
          <w:tcPr>
            <w:tcW w:w="1040" w:type="dxa"/>
            <w:vAlign w:val="bottom"/>
            <w:tcBorders>
              <w:top w:val="single" w:sz="8" w:color="auto"/>
            </w:tcBorders>
            <w:gridSpan w:val="2"/>
          </w:tcPr>
          <w:p>
            <w:pPr>
              <w:jc w:val="right"/>
              <w:ind w:right="500"/>
              <w:spacing w:after="0" w:line="129" w:lineRule="exact"/>
              <w:rPr>
                <w:sz w:val="20"/>
                <w:szCs w:val="20"/>
                <w:color w:val="auto"/>
              </w:rPr>
            </w:pPr>
            <w:r>
              <w:rPr>
                <w:rFonts w:ascii="Arial" w:cs="Arial" w:eastAsia="Arial" w:hAnsi="Arial"/>
                <w:sz w:val="14"/>
                <w:szCs w:val="14"/>
                <w:b w:val="1"/>
                <w:bCs w:val="1"/>
                <w:color w:val="auto"/>
                <w:w w:val="90"/>
              </w:rPr>
              <w:t>Carrying</w:t>
            </w:r>
          </w:p>
        </w:tc>
        <w:tc>
          <w:tcPr>
            <w:tcW w:w="280" w:type="dxa"/>
            <w:vAlign w:val="bottom"/>
            <w:tcBorders>
              <w:top w:val="single" w:sz="8" w:color="auto"/>
            </w:tcBorders>
          </w:tcPr>
          <w:p>
            <w:pPr>
              <w:spacing w:after="0" w:line="129" w:lineRule="exact"/>
              <w:rPr>
                <w:sz w:val="20"/>
                <w:szCs w:val="20"/>
                <w:color w:val="auto"/>
              </w:rPr>
            </w:pPr>
            <w:r>
              <w:rPr>
                <w:rFonts w:ascii="Arial" w:cs="Arial" w:eastAsia="Arial" w:hAnsi="Arial"/>
                <w:sz w:val="14"/>
                <w:szCs w:val="14"/>
                <w:b w:val="1"/>
                <w:bCs w:val="1"/>
                <w:color w:val="auto"/>
                <w:w w:val="87"/>
              </w:rPr>
              <w:t>% of</w:t>
            </w:r>
          </w:p>
        </w:tc>
        <w:tc>
          <w:tcPr>
            <w:tcW w:w="600" w:type="dxa"/>
            <w:vAlign w:val="bottom"/>
          </w:tcPr>
          <w:p>
            <w:pPr>
              <w:spacing w:after="0"/>
              <w:rPr>
                <w:sz w:val="11"/>
                <w:szCs w:val="11"/>
                <w:color w:val="auto"/>
              </w:rPr>
            </w:pPr>
          </w:p>
        </w:tc>
        <w:tc>
          <w:tcPr>
            <w:tcW w:w="1100" w:type="dxa"/>
            <w:vAlign w:val="bottom"/>
            <w:tcBorders>
              <w:top w:val="single" w:sz="8" w:color="auto"/>
            </w:tcBorders>
            <w:gridSpan w:val="3"/>
          </w:tcPr>
          <w:p>
            <w:pPr>
              <w:jc w:val="right"/>
              <w:ind w:right="540"/>
              <w:spacing w:after="0" w:line="129" w:lineRule="exact"/>
              <w:rPr>
                <w:sz w:val="20"/>
                <w:szCs w:val="20"/>
                <w:color w:val="auto"/>
              </w:rPr>
            </w:pPr>
            <w:r>
              <w:rPr>
                <w:rFonts w:ascii="Arial" w:cs="Arial" w:eastAsia="Arial" w:hAnsi="Arial"/>
                <w:sz w:val="14"/>
                <w:szCs w:val="14"/>
                <w:b w:val="1"/>
                <w:bCs w:val="1"/>
                <w:color w:val="auto"/>
                <w:w w:val="93"/>
              </w:rPr>
              <w:t>Carrying</w:t>
            </w:r>
          </w:p>
        </w:tc>
        <w:tc>
          <w:tcPr>
            <w:tcW w:w="34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w w:val="94"/>
              </w:rPr>
              <w:t>% of</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786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4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value</w:t>
            </w:r>
          </w:p>
        </w:tc>
        <w:tc>
          <w:tcPr>
            <w:tcW w:w="880" w:type="dxa"/>
            <w:vAlign w:val="bottom"/>
            <w:gridSpan w:val="2"/>
          </w:tcPr>
          <w:p>
            <w:pPr>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4"/>
                <w:szCs w:val="14"/>
                <w:color w:val="auto"/>
              </w:rPr>
            </w:pPr>
          </w:p>
        </w:tc>
        <w:tc>
          <w:tcPr>
            <w:tcW w:w="100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w w:val="89"/>
              </w:rPr>
              <w:t>value</w:t>
            </w:r>
          </w:p>
        </w:tc>
        <w:tc>
          <w:tcPr>
            <w:tcW w:w="54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4"/>
              </w:rPr>
              <w:t>total</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8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Geographic Region</w:t>
            </w:r>
          </w:p>
        </w:tc>
        <w:tc>
          <w:tcPr>
            <w:tcW w:w="5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tcPr>
          <w:p>
            <w:pPr>
              <w:spacing w:after="0"/>
              <w:rPr>
                <w:sz w:val="20"/>
                <w:szCs w:val="20"/>
                <w:color w:val="auto"/>
              </w:rPr>
            </w:pPr>
            <w:r>
              <w:rPr>
                <w:rFonts w:ascii="Arial" w:cs="Arial" w:eastAsia="Arial" w:hAnsi="Arial"/>
                <w:sz w:val="18"/>
                <w:szCs w:val="18"/>
                <w:color w:val="auto"/>
              </w:rPr>
              <w:t>Pacific</w:t>
            </w:r>
          </w:p>
        </w:tc>
        <w:tc>
          <w:tcPr>
            <w:tcW w:w="540" w:type="dxa"/>
            <w:vAlign w:val="bottom"/>
          </w:tcPr>
          <w:p>
            <w:pPr>
              <w:jc w:val="right"/>
              <w:spacing w:after="0"/>
              <w:rPr>
                <w:sz w:val="20"/>
                <w:szCs w:val="20"/>
                <w:color w:val="auto"/>
              </w:rPr>
            </w:pPr>
            <w:r>
              <w:rPr>
                <w:rFonts w:ascii="Arial" w:cs="Arial" w:eastAsia="Arial" w:hAnsi="Arial"/>
                <w:sz w:val="18"/>
                <w:szCs w:val="18"/>
                <w:color w:val="auto"/>
                <w:w w:val="86"/>
              </w:rPr>
              <w:t>$ 1,937</w:t>
            </w:r>
          </w:p>
        </w:tc>
        <w:tc>
          <w:tcPr>
            <w:tcW w:w="500" w:type="dxa"/>
            <w:vAlign w:val="bottom"/>
          </w:tcPr>
          <w:p>
            <w:pPr>
              <w:spacing w:after="0"/>
              <w:rPr>
                <w:sz w:val="18"/>
                <w:szCs w:val="18"/>
                <w:color w:val="auto"/>
              </w:rPr>
            </w:pPr>
          </w:p>
        </w:tc>
        <w:tc>
          <w:tcPr>
            <w:tcW w:w="880" w:type="dxa"/>
            <w:vAlign w:val="bottom"/>
            <w:gridSpan w:val="2"/>
          </w:tcPr>
          <w:p>
            <w:pPr>
              <w:jc w:val="right"/>
              <w:ind w:right="460"/>
              <w:spacing w:after="0"/>
              <w:rPr>
                <w:sz w:val="20"/>
                <w:szCs w:val="20"/>
                <w:color w:val="auto"/>
              </w:rPr>
            </w:pPr>
            <w:r>
              <w:rPr>
                <w:rFonts w:ascii="Arial" w:cs="Arial" w:eastAsia="Arial" w:hAnsi="Arial"/>
                <w:sz w:val="18"/>
                <w:szCs w:val="18"/>
                <w:color w:val="auto"/>
              </w:rPr>
              <w:t>27%</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2,005</w:t>
            </w: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South Atlantic</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1,660</w:t>
            </w: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1,711</w:t>
            </w: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tcPr>
          <w:p>
            <w:pPr>
              <w:spacing w:after="0"/>
              <w:rPr>
                <w:sz w:val="20"/>
                <w:szCs w:val="20"/>
                <w:color w:val="auto"/>
              </w:rPr>
            </w:pPr>
            <w:r>
              <w:rPr>
                <w:rFonts w:ascii="Arial" w:cs="Arial" w:eastAsia="Arial" w:hAnsi="Arial"/>
                <w:sz w:val="18"/>
                <w:szCs w:val="18"/>
                <w:color w:val="auto"/>
              </w:rPr>
              <w:t>Middle Atlantic</w:t>
            </w:r>
          </w:p>
        </w:tc>
        <w:tc>
          <w:tcPr>
            <w:tcW w:w="540" w:type="dxa"/>
            <w:vAlign w:val="bottom"/>
          </w:tcPr>
          <w:p>
            <w:pPr>
              <w:jc w:val="right"/>
              <w:spacing w:after="0"/>
              <w:rPr>
                <w:sz w:val="20"/>
                <w:szCs w:val="20"/>
                <w:color w:val="auto"/>
              </w:rPr>
            </w:pPr>
            <w:r>
              <w:rPr>
                <w:rFonts w:ascii="Arial" w:cs="Arial" w:eastAsia="Arial" w:hAnsi="Arial"/>
                <w:sz w:val="18"/>
                <w:szCs w:val="18"/>
                <w:color w:val="auto"/>
              </w:rPr>
              <w:t>974</w:t>
            </w:r>
          </w:p>
        </w:tc>
        <w:tc>
          <w:tcPr>
            <w:tcW w:w="50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13</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1,005</w:t>
            </w:r>
          </w:p>
        </w:tc>
        <w:tc>
          <w:tcPr>
            <w:tcW w:w="540" w:type="dxa"/>
            <w:vAlign w:val="bottom"/>
            <w:gridSpan w:val="2"/>
          </w:tcPr>
          <w:p>
            <w:pPr>
              <w:jc w:val="right"/>
              <w:ind w:right="20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East North Central</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w:t>
            </w: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728</w:t>
            </w: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tcPr>
          <w:p>
            <w:pPr>
              <w:spacing w:after="0"/>
              <w:rPr>
                <w:sz w:val="20"/>
                <w:szCs w:val="20"/>
                <w:color w:val="auto"/>
              </w:rPr>
            </w:pPr>
            <w:r>
              <w:rPr>
                <w:rFonts w:ascii="Arial" w:cs="Arial" w:eastAsia="Arial" w:hAnsi="Arial"/>
                <w:sz w:val="18"/>
                <w:szCs w:val="18"/>
                <w:color w:val="auto"/>
              </w:rPr>
              <w:t>Mountain</w:t>
            </w:r>
          </w:p>
        </w:tc>
        <w:tc>
          <w:tcPr>
            <w:tcW w:w="540" w:type="dxa"/>
            <w:vAlign w:val="bottom"/>
          </w:tcPr>
          <w:p>
            <w:pPr>
              <w:jc w:val="right"/>
              <w:spacing w:after="0"/>
              <w:rPr>
                <w:sz w:val="20"/>
                <w:szCs w:val="20"/>
                <w:color w:val="auto"/>
              </w:rPr>
            </w:pPr>
            <w:r>
              <w:rPr>
                <w:rFonts w:ascii="Arial" w:cs="Arial" w:eastAsia="Arial" w:hAnsi="Arial"/>
                <w:sz w:val="18"/>
                <w:szCs w:val="18"/>
                <w:color w:val="auto"/>
              </w:rPr>
              <w:t>624</w:t>
            </w:r>
          </w:p>
        </w:tc>
        <w:tc>
          <w:tcPr>
            <w:tcW w:w="50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8</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650</w:t>
            </w:r>
          </w:p>
        </w:tc>
        <w:tc>
          <w:tcPr>
            <w:tcW w:w="540" w:type="dxa"/>
            <w:vAlign w:val="bottom"/>
            <w:gridSpan w:val="2"/>
          </w:tcPr>
          <w:p>
            <w:pPr>
              <w:jc w:val="right"/>
              <w:ind w:right="20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New England</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491</w:t>
            </w: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492</w:t>
            </w: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tcPr>
          <w:p>
            <w:pPr>
              <w:spacing w:after="0"/>
              <w:rPr>
                <w:sz w:val="20"/>
                <w:szCs w:val="20"/>
                <w:color w:val="auto"/>
              </w:rPr>
            </w:pPr>
            <w:r>
              <w:rPr>
                <w:rFonts w:ascii="Arial" w:cs="Arial" w:eastAsia="Arial" w:hAnsi="Arial"/>
                <w:sz w:val="18"/>
                <w:szCs w:val="18"/>
                <w:color w:val="auto"/>
              </w:rPr>
              <w:t>West North Central</w:t>
            </w:r>
          </w:p>
        </w:tc>
        <w:tc>
          <w:tcPr>
            <w:tcW w:w="540" w:type="dxa"/>
            <w:vAlign w:val="bottom"/>
          </w:tcPr>
          <w:p>
            <w:pPr>
              <w:jc w:val="right"/>
              <w:spacing w:after="0"/>
              <w:rPr>
                <w:sz w:val="20"/>
                <w:szCs w:val="20"/>
                <w:color w:val="auto"/>
              </w:rPr>
            </w:pPr>
            <w:r>
              <w:rPr>
                <w:rFonts w:ascii="Arial" w:cs="Arial" w:eastAsia="Arial" w:hAnsi="Arial"/>
                <w:sz w:val="18"/>
                <w:szCs w:val="18"/>
                <w:color w:val="auto"/>
              </w:rPr>
              <w:t>378</w:t>
            </w:r>
          </w:p>
        </w:tc>
        <w:tc>
          <w:tcPr>
            <w:tcW w:w="50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5</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389</w:t>
            </w:r>
          </w:p>
        </w:tc>
        <w:tc>
          <w:tcPr>
            <w:tcW w:w="540" w:type="dxa"/>
            <w:vAlign w:val="bottom"/>
            <w:gridSpan w:val="2"/>
          </w:tcPr>
          <w:p>
            <w:pPr>
              <w:jc w:val="right"/>
              <w:ind w:right="20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West South Central</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314</w:t>
            </w: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331</w:t>
            </w: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tcPr>
          <w:p>
            <w:pPr>
              <w:spacing w:after="0"/>
              <w:rPr>
                <w:sz w:val="20"/>
                <w:szCs w:val="20"/>
                <w:color w:val="auto"/>
              </w:rPr>
            </w:pPr>
            <w:r>
              <w:rPr>
                <w:rFonts w:ascii="Arial" w:cs="Arial" w:eastAsia="Arial" w:hAnsi="Arial"/>
                <w:sz w:val="18"/>
                <w:szCs w:val="18"/>
                <w:color w:val="auto"/>
              </w:rPr>
              <w:t>East South Central</w:t>
            </w:r>
          </w:p>
        </w:tc>
        <w:tc>
          <w:tcPr>
            <w:tcW w:w="540" w:type="dxa"/>
            <w:vAlign w:val="bottom"/>
          </w:tcPr>
          <w:p>
            <w:pPr>
              <w:jc w:val="right"/>
              <w:spacing w:after="0"/>
              <w:rPr>
                <w:sz w:val="20"/>
                <w:szCs w:val="20"/>
                <w:color w:val="auto"/>
              </w:rPr>
            </w:pPr>
            <w:r>
              <w:rPr>
                <w:rFonts w:ascii="Arial" w:cs="Arial" w:eastAsia="Arial" w:hAnsi="Arial"/>
                <w:sz w:val="18"/>
                <w:szCs w:val="18"/>
                <w:color w:val="auto"/>
              </w:rPr>
              <w:t>194</w:t>
            </w:r>
          </w:p>
        </w:tc>
        <w:tc>
          <w:tcPr>
            <w:tcW w:w="50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3</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230</w:t>
            </w:r>
          </w:p>
        </w:tc>
        <w:tc>
          <w:tcPr>
            <w:tcW w:w="540" w:type="dxa"/>
            <w:vAlign w:val="bottom"/>
            <w:gridSpan w:val="2"/>
          </w:tcPr>
          <w:p>
            <w:pPr>
              <w:jc w:val="right"/>
              <w:ind w:right="2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52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8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principal balance</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7,273</w:t>
            </w:r>
          </w:p>
        </w:tc>
        <w:tc>
          <w:tcPr>
            <w:tcW w:w="5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6"/>
              </w:rPr>
              <w:t>100%</w:t>
            </w: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7,541</w:t>
            </w:r>
          </w:p>
        </w:tc>
        <w:tc>
          <w:tcPr>
            <w:tcW w:w="5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40" w:type="dxa"/>
            <w:vAlign w:val="bottom"/>
            <w:gridSpan w:val="2"/>
            <w:vMerge w:val="restart"/>
          </w:tcPr>
          <w:p>
            <w:pPr>
              <w:ind w:left="420"/>
              <w:spacing w:after="0"/>
              <w:rPr>
                <w:sz w:val="20"/>
                <w:szCs w:val="20"/>
                <w:color w:val="auto"/>
              </w:rPr>
            </w:pPr>
            <w:r>
              <w:rPr>
                <w:rFonts w:ascii="Arial" w:cs="Arial" w:eastAsia="Arial" w:hAnsi="Arial"/>
                <w:sz w:val="18"/>
                <w:szCs w:val="18"/>
                <w:color w:val="auto"/>
              </w:rPr>
              <w:t>Unamortized balance of loan origination fees and costs</w:t>
            </w:r>
          </w:p>
        </w:tc>
        <w:tc>
          <w:tcPr>
            <w:tcW w:w="540" w:type="dxa"/>
            <w:vAlign w:val="bottom"/>
            <w:vMerge w:val="restart"/>
          </w:tcPr>
          <w:p>
            <w:pPr>
              <w:jc w:val="right"/>
              <w:spacing w:after="0"/>
              <w:rPr>
                <w:sz w:val="20"/>
                <w:szCs w:val="20"/>
                <w:color w:val="auto"/>
              </w:rPr>
            </w:pPr>
            <w:r>
              <w:rPr>
                <w:rFonts w:ascii="Arial" w:cs="Arial" w:eastAsia="Arial" w:hAnsi="Arial"/>
                <w:sz w:val="18"/>
                <w:szCs w:val="18"/>
                <w:color w:val="auto"/>
              </w:rPr>
              <w:t>5</w:t>
            </w:r>
          </w:p>
        </w:tc>
        <w:tc>
          <w:tcPr>
            <w:tcW w:w="5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gridSpan w:val="2"/>
            <w:vMerge w:val="restart"/>
          </w:tcPr>
          <w:p>
            <w:pPr>
              <w:jc w:val="right"/>
              <w:ind w:right="520"/>
              <w:spacing w:after="0"/>
              <w:rPr>
                <w:sz w:val="20"/>
                <w:szCs w:val="20"/>
                <w:color w:val="auto"/>
              </w:rPr>
            </w:pPr>
            <w:r>
              <w:rPr>
                <w:rFonts w:ascii="Arial" w:cs="Arial" w:eastAsia="Arial" w:hAnsi="Arial"/>
                <w:sz w:val="18"/>
                <w:szCs w:val="18"/>
                <w:color w:val="auto"/>
              </w:rPr>
              <w:t>6</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7840" w:type="dxa"/>
            <w:vAlign w:val="bottom"/>
            <w:gridSpan w:val="2"/>
            <w:vMerge w:val="continue"/>
          </w:tcPr>
          <w:p>
            <w:pPr>
              <w:spacing w:after="0"/>
              <w:rPr>
                <w:sz w:val="18"/>
                <w:szCs w:val="18"/>
                <w:color w:val="auto"/>
              </w:rPr>
            </w:pPr>
          </w:p>
        </w:tc>
        <w:tc>
          <w:tcPr>
            <w:tcW w:w="540" w:type="dxa"/>
            <w:vAlign w:val="bottom"/>
            <w:vMerge w:val="continue"/>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vMerge w:val="continue"/>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8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Allowance for losses </w:t>
            </w:r>
            <w:r>
              <w:rPr>
                <w:rFonts w:ascii="Arial" w:cs="Arial" w:eastAsia="Arial" w:hAnsi="Arial"/>
                <w:sz w:val="11"/>
                <w:szCs w:val="11"/>
                <w:color w:val="auto"/>
              </w:rPr>
              <w:t>(1)</w:t>
            </w:r>
          </w:p>
        </w:tc>
        <w:tc>
          <w:tcPr>
            <w:tcW w:w="10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(70)</w:t>
            </w:r>
          </w:p>
        </w:tc>
        <w:tc>
          <w:tcPr>
            <w:tcW w:w="2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(48)</w:t>
            </w: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40" w:type="dxa"/>
            <w:vAlign w:val="bottom"/>
            <w:gridSpan w:val="2"/>
            <w:vMerge w:val="restart"/>
          </w:tcPr>
          <w:p>
            <w:pPr>
              <w:ind w:left="420"/>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1"/>
                <w:szCs w:val="11"/>
                <w:color w:val="auto"/>
              </w:rPr>
              <w:t>(2)</w:t>
            </w:r>
          </w:p>
        </w:tc>
        <w:tc>
          <w:tcPr>
            <w:tcW w:w="5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840" w:type="dxa"/>
            <w:vAlign w:val="bottom"/>
            <w:gridSpan w:val="2"/>
            <w:vMerge w:val="continue"/>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86"/>
              </w:rPr>
              <w:t>$ 7,208</w:t>
            </w:r>
          </w:p>
        </w:tc>
        <w:tc>
          <w:tcPr>
            <w:tcW w:w="5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7,499</w:t>
            </w: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2"/>
        </w:numPr>
        <w:rPr>
          <w:rFonts w:ascii="Arial" w:cs="Arial" w:eastAsia="Arial" w:hAnsi="Arial"/>
          <w:sz w:val="22"/>
          <w:szCs w:val="22"/>
          <w:color w:val="auto"/>
          <w:vertAlign w:val="superscript"/>
        </w:rPr>
      </w:pPr>
      <w:r>
        <w:rPr>
          <w:rFonts w:ascii="Arial" w:cs="Arial" w:eastAsia="Arial" w:hAnsi="Arial"/>
          <w:sz w:val="18"/>
          <w:szCs w:val="18"/>
          <w:color w:val="auto"/>
        </w:rPr>
        <w:t>Included $13 million related to held-for-sale commercial mortgage loans as of June 30, 2010.</w:t>
      </w:r>
    </w:p>
    <w:p>
      <w:pPr>
        <w:spacing w:after="0" w:line="7" w:lineRule="exact"/>
        <w:rPr>
          <w:rFonts w:ascii="Arial" w:cs="Arial" w:eastAsia="Arial" w:hAnsi="Arial"/>
          <w:sz w:val="22"/>
          <w:szCs w:val="22"/>
          <w:color w:val="auto"/>
          <w:vertAlign w:val="superscript"/>
        </w:rPr>
      </w:pPr>
    </w:p>
    <w:p>
      <w:pPr>
        <w:ind w:left="460" w:right="40" w:hanging="452"/>
        <w:spacing w:after="0" w:line="230" w:lineRule="auto"/>
        <w:tabs>
          <w:tab w:leader="none" w:pos="460" w:val="left"/>
        </w:tabs>
        <w:numPr>
          <w:ilvl w:val="0"/>
          <w:numId w:val="12"/>
        </w:numPr>
        <w:rPr>
          <w:rFonts w:ascii="Arial" w:cs="Arial" w:eastAsia="Arial" w:hAnsi="Arial"/>
          <w:sz w:val="22"/>
          <w:szCs w:val="22"/>
          <w:color w:val="auto"/>
          <w:vertAlign w:val="superscript"/>
        </w:rPr>
      </w:pPr>
      <w:r>
        <w:rPr>
          <w:rFonts w:ascii="Arial" w:cs="Arial" w:eastAsia="Arial" w:hAnsi="Arial"/>
          <w:sz w:val="18"/>
          <w:szCs w:val="18"/>
          <w:color w:val="auto"/>
        </w:rPr>
        <w:t>Included held-for-sale mortgage loans of $37 million and $17 million as of June 30, 2010 and December 31, 2009, respectively. The held-for-sale mortgage loans as of December 31, 2009 represented interests in reverse mortgage loans. In the first quarter of 2010, we began reporting held-for-sale reverse mortgages in other invested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-571500</wp:posOffset>
            </wp:positionV>
            <wp:extent cx="72898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“Impaired” loans are defined by U.S. GAAP as loans for which it is probable that the lender will be unable to collect all amounts due according to original contractual terms of the loan agreement.</w:t>
      </w:r>
    </w:p>
    <w:p>
      <w:pPr>
        <w:spacing w:after="0" w:line="132" w:lineRule="exact"/>
        <w:rPr>
          <w:sz w:val="20"/>
          <w:szCs w:val="20"/>
          <w:color w:val="auto"/>
        </w:rPr>
      </w:pPr>
    </w:p>
    <w:p>
      <w:pPr>
        <w:ind w:right="60" w:firstLine="456"/>
        <w:spacing w:after="0" w:line="335" w:lineRule="auto"/>
        <w:rPr>
          <w:sz w:val="20"/>
          <w:szCs w:val="20"/>
          <w:color w:val="auto"/>
        </w:rPr>
      </w:pPr>
      <w:r>
        <w:rPr>
          <w:rFonts w:ascii="Arial" w:cs="Arial" w:eastAsia="Arial" w:hAnsi="Arial"/>
          <w:sz w:val="15"/>
          <w:szCs w:val="15"/>
          <w:color w:val="auto"/>
        </w:rPr>
        <w:t>Under these principles, we may have two types of “impaired” loans: loans requiring specific allowances for losses ($5 million for the six months ended June 30, 2010 and $21 million for the year ended December 31, 2009) and loans expected to be fully recoverable because the carrying amount has been reduced previously through charge-offs or deferral of income recognition (none for the six months ended June 30, 2010 and for the year ended December 31, 2009).</w:t>
      </w:r>
    </w:p>
    <w:p>
      <w:pPr>
        <w:spacing w:after="0" w:line="88"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Average investment in specifically impaired loans was $3 million and $10 million as of June 30, 2010 and December 31, 2009, respectively, and there was no interest income recognized on these loans while they were considered impaired.</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presents the activity in the allowance for losses during the periods indicated:</w:t>
      </w:r>
    </w:p>
    <w:p>
      <w:pPr>
        <w:spacing w:after="0" w:line="195"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1200" w:type="dxa"/>
            <w:vAlign w:val="bottom"/>
            <w:gridSpan w:val="3"/>
          </w:tcPr>
          <w:p>
            <w:pPr>
              <w:jc w:val="right"/>
              <w:spacing w:after="0"/>
              <w:rPr>
                <w:sz w:val="20"/>
                <w:szCs w:val="20"/>
                <w:color w:val="auto"/>
              </w:rPr>
            </w:pPr>
            <w:r>
              <w:rPr>
                <w:rFonts w:ascii="Arial" w:cs="Arial" w:eastAsia="Arial" w:hAnsi="Arial"/>
                <w:sz w:val="14"/>
                <w:szCs w:val="14"/>
                <w:b w:val="1"/>
                <w:bCs w:val="1"/>
                <w:color w:val="auto"/>
                <w:w w:val="84"/>
              </w:rPr>
              <w:t>Three months ended</w:t>
            </w:r>
          </w:p>
        </w:tc>
        <w:tc>
          <w:tcPr>
            <w:tcW w:w="2380" w:type="dxa"/>
            <w:vAlign w:val="bottom"/>
            <w:gridSpan w:val="3"/>
          </w:tcPr>
          <w:p>
            <w:pPr>
              <w:jc w:val="right"/>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61"/>
        </w:trPr>
        <w:tc>
          <w:tcPr>
            <w:tcW w:w="1320" w:type="dxa"/>
            <w:vAlign w:val="bottom"/>
            <w:gridSpan w:val="2"/>
          </w:tcPr>
          <w:p>
            <w:pPr>
              <w:spacing w:after="0"/>
              <w:rPr>
                <w:sz w:val="20"/>
                <w:szCs w:val="20"/>
                <w:color w:val="auto"/>
              </w:rPr>
            </w:pPr>
            <w:r>
              <w:rPr>
                <w:rFonts w:ascii="Arial" w:cs="Arial" w:eastAsia="Arial" w:hAnsi="Arial"/>
                <w:sz w:val="14"/>
                <w:szCs w:val="14"/>
                <w:b w:val="1"/>
                <w:bCs w:val="1"/>
                <w:color w:val="auto"/>
                <w:w w:val="90"/>
              </w:rPr>
              <w:t>(Amounts in millions)</w:t>
            </w:r>
          </w:p>
        </w:tc>
        <w:tc>
          <w:tcPr>
            <w:tcW w:w="3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tcPr>
          <w:p>
            <w:pPr>
              <w:jc w:val="right"/>
              <w:ind w:right="116"/>
              <w:spacing w:after="0"/>
              <w:rPr>
                <w:sz w:val="20"/>
                <w:szCs w:val="20"/>
                <w:color w:val="auto"/>
              </w:rPr>
            </w:pPr>
            <w:r>
              <w:rPr>
                <w:rFonts w:ascii="Arial" w:cs="Arial" w:eastAsia="Arial" w:hAnsi="Arial"/>
                <w:sz w:val="14"/>
                <w:szCs w:val="14"/>
                <w:b w:val="1"/>
                <w:bCs w:val="1"/>
                <w:color w:val="auto"/>
                <w:w w:val="92"/>
              </w:rPr>
              <w:t>June 30, 2010</w:t>
            </w: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Pr>
          <w:p>
            <w:pPr>
              <w:jc w:val="right"/>
              <w:ind w:right="36"/>
              <w:spacing w:after="0"/>
              <w:rPr>
                <w:sz w:val="20"/>
                <w:szCs w:val="20"/>
                <w:color w:val="auto"/>
              </w:rPr>
            </w:pPr>
            <w:r>
              <w:rPr>
                <w:rFonts w:ascii="Arial" w:cs="Arial" w:eastAsia="Arial" w:hAnsi="Arial"/>
                <w:sz w:val="14"/>
                <w:szCs w:val="14"/>
                <w:b w:val="1"/>
                <w:bCs w:val="1"/>
                <w:color w:val="auto"/>
                <w:w w:val="87"/>
              </w:rPr>
              <w:t>June 30, 2010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300" w:type="dxa"/>
            <w:vAlign w:val="bottom"/>
            <w:shd w:val="clear" w:color="auto" w:fill="CCEEFF"/>
          </w:tcPr>
          <w:p>
            <w:pPr>
              <w:spacing w:after="0"/>
              <w:rPr>
                <w:sz w:val="20"/>
                <w:szCs w:val="20"/>
                <w:color w:val="auto"/>
              </w:rPr>
            </w:pPr>
            <w:r>
              <w:rPr>
                <w:rFonts w:ascii="Arial" w:cs="Arial" w:eastAsia="Arial" w:hAnsi="Arial"/>
                <w:sz w:val="18"/>
                <w:szCs w:val="18"/>
                <w:color w:val="auto"/>
                <w:w w:val="86"/>
              </w:rPr>
              <w:t>Beginning balance</w:t>
            </w:r>
          </w:p>
        </w:tc>
        <w:tc>
          <w:tcPr>
            <w:tcW w:w="39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00" w:type="dxa"/>
            <w:vAlign w:val="bottom"/>
          </w:tcPr>
          <w:p>
            <w:pPr>
              <w:spacing w:after="0"/>
              <w:rPr>
                <w:sz w:val="20"/>
                <w:szCs w:val="20"/>
                <w:color w:val="auto"/>
              </w:rPr>
            </w:pPr>
            <w:r>
              <w:rPr>
                <w:rFonts w:ascii="Arial" w:cs="Arial" w:eastAsia="Arial" w:hAnsi="Arial"/>
                <w:sz w:val="18"/>
                <w:szCs w:val="18"/>
                <w:color w:val="auto"/>
              </w:rPr>
              <w:t xml:space="preserve">Provision </w:t>
            </w:r>
            <w:r>
              <w:rPr>
                <w:rFonts w:ascii="Arial" w:cs="Arial" w:eastAsia="Arial" w:hAnsi="Arial"/>
                <w:sz w:val="11"/>
                <w:szCs w:val="11"/>
                <w:color w:val="auto"/>
              </w:rPr>
              <w:t>(1)</w:t>
            </w:r>
          </w:p>
        </w:tc>
        <w:tc>
          <w:tcPr>
            <w:tcW w:w="3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w:t>
            </w: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00" w:type="dxa"/>
            <w:vAlign w:val="bottom"/>
            <w:shd w:val="clear" w:color="auto" w:fill="CCEEFF"/>
          </w:tcPr>
          <w:p>
            <w:pPr>
              <w:spacing w:after="0"/>
              <w:rPr>
                <w:sz w:val="20"/>
                <w:szCs w:val="20"/>
                <w:color w:val="auto"/>
              </w:rPr>
            </w:pPr>
            <w:r>
              <w:rPr>
                <w:rFonts w:ascii="Arial" w:cs="Arial" w:eastAsia="Arial" w:hAnsi="Arial"/>
                <w:sz w:val="18"/>
                <w:szCs w:val="18"/>
                <w:color w:val="auto"/>
              </w:rPr>
              <w:t>Release</w:t>
            </w:r>
          </w:p>
        </w:tc>
        <w:tc>
          <w:tcPr>
            <w:tcW w:w="3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1320" w:type="dxa"/>
            <w:vAlign w:val="bottom"/>
            <w:gridSpan w:val="2"/>
          </w:tcPr>
          <w:p>
            <w:pPr>
              <w:spacing w:after="0"/>
              <w:rPr>
                <w:sz w:val="20"/>
                <w:szCs w:val="20"/>
                <w:color w:val="auto"/>
              </w:rPr>
            </w:pPr>
            <w:r>
              <w:rPr>
                <w:rFonts w:ascii="Arial" w:cs="Arial" w:eastAsia="Arial" w:hAnsi="Arial"/>
                <w:sz w:val="18"/>
                <w:szCs w:val="18"/>
                <w:color w:val="auto"/>
              </w:rPr>
              <w:t>Ending balance</w:t>
            </w:r>
          </w:p>
        </w:tc>
        <w:tc>
          <w:tcPr>
            <w:tcW w:w="3920" w:type="dxa"/>
            <w:vAlign w:val="bottom"/>
            <w:gridSpan w:val="3"/>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70</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1920" w:hanging="440"/>
        <w:spacing w:after="0"/>
        <w:tabs>
          <w:tab w:leader="none" w:pos="1920" w:val="left"/>
        </w:tabs>
        <w:numPr>
          <w:ilvl w:val="1"/>
          <w:numId w:val="13"/>
        </w:numPr>
        <w:rPr>
          <w:rFonts w:ascii="Arial" w:cs="Arial" w:eastAsia="Arial" w:hAnsi="Arial"/>
          <w:sz w:val="22"/>
          <w:szCs w:val="22"/>
          <w:color w:val="auto"/>
          <w:vertAlign w:val="superscript"/>
        </w:rPr>
      </w:pPr>
      <w:r>
        <w:rPr>
          <w:rFonts w:ascii="Arial" w:cs="Arial" w:eastAsia="Arial" w:hAnsi="Arial"/>
          <w:sz w:val="18"/>
          <w:szCs w:val="18"/>
          <w:color w:val="auto"/>
        </w:rPr>
        <w:t>Included $13 million related to held-for-sale commercial mortgage loans.</w:t>
      </w:r>
    </w:p>
    <w:p>
      <w:pPr>
        <w:spacing w:after="0" w:line="236" w:lineRule="exact"/>
        <w:rPr>
          <w:rFonts w:ascii="Arial" w:cs="Arial" w:eastAsia="Arial" w:hAnsi="Arial"/>
          <w:sz w:val="22"/>
          <w:szCs w:val="22"/>
          <w:color w:val="auto"/>
          <w:vertAlign w:val="superscript"/>
        </w:rPr>
      </w:pPr>
    </w:p>
    <w:p>
      <w:pPr>
        <w:ind w:left="680" w:hanging="216"/>
        <w:spacing w:after="0"/>
        <w:tabs>
          <w:tab w:leader="none" w:pos="680" w:val="left"/>
        </w:tabs>
        <w:numPr>
          <w:ilvl w:val="0"/>
          <w:numId w:val="14"/>
        </w:numPr>
        <w:rPr>
          <w:rFonts w:ascii="Arial" w:cs="Arial" w:eastAsia="Arial" w:hAnsi="Arial"/>
          <w:sz w:val="18"/>
          <w:szCs w:val="18"/>
          <w:i w:val="1"/>
          <w:iCs w:val="1"/>
          <w:color w:val="auto"/>
        </w:rPr>
      </w:pPr>
      <w:r>
        <w:rPr>
          <w:rFonts w:ascii="Arial" w:cs="Arial" w:eastAsia="Arial" w:hAnsi="Arial"/>
          <w:sz w:val="18"/>
          <w:szCs w:val="18"/>
          <w:i w:val="1"/>
          <w:iCs w:val="1"/>
          <w:color w:val="auto"/>
        </w:rPr>
        <w:t>Restricted Commercial Mortgage Loans Related To Securitization Entities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948690</wp:posOffset>
            </wp:positionH>
            <wp:positionV relativeFrom="paragraph">
              <wp:posOffset>-442595</wp:posOffset>
            </wp:positionV>
            <wp:extent cx="72009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spacing w:after="0" w:line="70"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The following tables set forth additional information regarding our restricted commercial mortgage loans related to securitization entities as of the date indicated:</w:t>
      </w:r>
    </w:p>
    <w:p>
      <w:pPr>
        <w:spacing w:after="0" w:line="168"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134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45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b w:val="1"/>
                <w:bCs w:val="1"/>
                <w:color w:val="auto"/>
              </w:rPr>
              <w:t>June 30, 2010</w:t>
            </w:r>
          </w:p>
        </w:tc>
        <w:tc>
          <w:tcPr>
            <w:tcW w:w="2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340" w:type="dxa"/>
            <w:vAlign w:val="bottom"/>
          </w:tcPr>
          <w:p>
            <w:pPr>
              <w:spacing w:after="0"/>
              <w:rPr>
                <w:sz w:val="11"/>
                <w:szCs w:val="11"/>
                <w:color w:val="auto"/>
              </w:rPr>
            </w:pPr>
          </w:p>
        </w:tc>
        <w:tc>
          <w:tcPr>
            <w:tcW w:w="2040" w:type="dxa"/>
            <w:vAlign w:val="bottom"/>
          </w:tcPr>
          <w:p>
            <w:pPr>
              <w:spacing w:after="0"/>
              <w:rPr>
                <w:sz w:val="11"/>
                <w:szCs w:val="11"/>
                <w:color w:val="auto"/>
              </w:rPr>
            </w:pPr>
          </w:p>
        </w:tc>
        <w:tc>
          <w:tcPr>
            <w:tcW w:w="4540" w:type="dxa"/>
            <w:vAlign w:val="bottom"/>
          </w:tcPr>
          <w:p>
            <w:pPr>
              <w:spacing w:after="0"/>
              <w:rPr>
                <w:sz w:val="11"/>
                <w:szCs w:val="11"/>
                <w:color w:val="auto"/>
              </w:rPr>
            </w:pPr>
          </w:p>
        </w:tc>
        <w:tc>
          <w:tcPr>
            <w:tcW w:w="118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Carrying</w:t>
            </w:r>
          </w:p>
        </w:tc>
        <w:tc>
          <w:tcPr>
            <w:tcW w:w="280" w:type="dxa"/>
            <w:vAlign w:val="bottom"/>
          </w:tcPr>
          <w:p>
            <w:pPr>
              <w:spacing w:after="0" w:line="129" w:lineRule="exact"/>
              <w:rPr>
                <w:sz w:val="20"/>
                <w:szCs w:val="20"/>
                <w:color w:val="auto"/>
              </w:rPr>
            </w:pPr>
            <w:r>
              <w:rPr>
                <w:rFonts w:ascii="Arial" w:cs="Arial" w:eastAsia="Arial" w:hAnsi="Arial"/>
                <w:sz w:val="14"/>
                <w:szCs w:val="14"/>
                <w:b w:val="1"/>
                <w:bCs w:val="1"/>
                <w:color w:val="auto"/>
                <w:w w:val="87"/>
              </w:rPr>
              <w:t>% of</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2"/>
              </w:rPr>
              <w:t>(Amounts in millions)</w:t>
            </w:r>
          </w:p>
        </w:tc>
        <w:tc>
          <w:tcPr>
            <w:tcW w:w="2040" w:type="dxa"/>
            <w:vAlign w:val="bottom"/>
          </w:tcPr>
          <w:p>
            <w:pPr>
              <w:spacing w:after="0"/>
              <w:rPr>
                <w:sz w:val="14"/>
                <w:szCs w:val="14"/>
                <w:color w:val="auto"/>
              </w:rPr>
            </w:pPr>
          </w:p>
        </w:tc>
        <w:tc>
          <w:tcPr>
            <w:tcW w:w="45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w w:val="83"/>
              </w:rPr>
              <w:t>value</w:t>
            </w:r>
          </w:p>
        </w:tc>
        <w:tc>
          <w:tcPr>
            <w:tcW w:w="640" w:type="dxa"/>
            <w:vAlign w:val="bottom"/>
          </w:tcPr>
          <w:p>
            <w:pPr>
              <w:spacing w:after="0"/>
              <w:rPr>
                <w:sz w:val="14"/>
                <w:szCs w:val="14"/>
                <w:color w:val="auto"/>
              </w:rPr>
            </w:pPr>
          </w:p>
        </w:tc>
        <w:tc>
          <w:tcPr>
            <w:tcW w:w="2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7"/>
              </w:rPr>
              <w:t>total</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3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Property Type</w:t>
            </w:r>
          </w:p>
        </w:tc>
        <w:tc>
          <w:tcPr>
            <w:tcW w:w="4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80" w:type="dxa"/>
            <w:vAlign w:val="bottom"/>
            <w:gridSpan w:val="2"/>
          </w:tcPr>
          <w:p>
            <w:pPr>
              <w:spacing w:after="0"/>
              <w:rPr>
                <w:sz w:val="20"/>
                <w:szCs w:val="20"/>
                <w:color w:val="auto"/>
              </w:rPr>
            </w:pPr>
            <w:r>
              <w:rPr>
                <w:rFonts w:ascii="Arial" w:cs="Arial" w:eastAsia="Arial" w:hAnsi="Arial"/>
                <w:sz w:val="18"/>
                <w:szCs w:val="18"/>
                <w:color w:val="auto"/>
              </w:rPr>
              <w:t>Retail</w:t>
            </w:r>
          </w:p>
        </w:tc>
        <w:tc>
          <w:tcPr>
            <w:tcW w:w="4640" w:type="dxa"/>
            <w:vAlign w:val="bottom"/>
            <w:gridSpan w:val="2"/>
          </w:tcPr>
          <w:p>
            <w:pPr>
              <w:ind w:left="4540"/>
              <w:spacing w:after="0"/>
              <w:rPr>
                <w:sz w:val="20"/>
                <w:szCs w:val="20"/>
                <w:color w:val="auto"/>
              </w:rPr>
            </w:pPr>
            <w:r>
              <w:rPr>
                <w:rFonts w:ascii="Arial" w:cs="Arial" w:eastAsia="Arial" w:hAnsi="Arial"/>
                <w:sz w:val="18"/>
                <w:szCs w:val="18"/>
                <w:color w:val="auto"/>
                <w:w w:val="79"/>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195</w:t>
            </w:r>
          </w:p>
        </w:tc>
        <w:tc>
          <w:tcPr>
            <w:tcW w:w="640" w:type="dxa"/>
            <w:vAlign w:val="bottom"/>
          </w:tcPr>
          <w:p>
            <w:pPr>
              <w:spacing w:after="0"/>
              <w:rPr>
                <w:sz w:val="18"/>
                <w:szCs w:val="18"/>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16"/>
        </w:trPr>
        <w:tc>
          <w:tcPr>
            <w:tcW w:w="3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w:t>
            </w:r>
          </w:p>
        </w:tc>
        <w:tc>
          <w:tcPr>
            <w:tcW w:w="4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w:t>
            </w: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80" w:type="dxa"/>
            <w:vAlign w:val="bottom"/>
            <w:gridSpan w:val="2"/>
          </w:tcPr>
          <w:p>
            <w:pPr>
              <w:spacing w:after="0"/>
              <w:rPr>
                <w:sz w:val="20"/>
                <w:szCs w:val="20"/>
                <w:color w:val="auto"/>
              </w:rPr>
            </w:pPr>
            <w:r>
              <w:rPr>
                <w:rFonts w:ascii="Arial" w:cs="Arial" w:eastAsia="Arial" w:hAnsi="Arial"/>
                <w:sz w:val="18"/>
                <w:szCs w:val="18"/>
                <w:color w:val="auto"/>
              </w:rPr>
              <w:t>Office</w:t>
            </w:r>
          </w:p>
        </w:tc>
        <w:tc>
          <w:tcPr>
            <w:tcW w:w="4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122</w:t>
            </w:r>
          </w:p>
        </w:tc>
        <w:tc>
          <w:tcPr>
            <w:tcW w:w="6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23</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Apartments</w:t>
            </w:r>
          </w:p>
        </w:tc>
        <w:tc>
          <w:tcPr>
            <w:tcW w:w="4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380" w:type="dxa"/>
            <w:vAlign w:val="bottom"/>
            <w:gridSpan w:val="2"/>
          </w:tcPr>
          <w:p>
            <w:pPr>
              <w:spacing w:after="0"/>
              <w:rPr>
                <w:sz w:val="20"/>
                <w:szCs w:val="20"/>
                <w:color w:val="auto"/>
              </w:rPr>
            </w:pPr>
            <w:r>
              <w:rPr>
                <w:rFonts w:ascii="Arial" w:cs="Arial" w:eastAsia="Arial" w:hAnsi="Arial"/>
                <w:sz w:val="18"/>
                <w:szCs w:val="18"/>
                <w:color w:val="auto"/>
              </w:rPr>
              <w:t>Mixed use/other</w:t>
            </w:r>
          </w:p>
        </w:tc>
        <w:tc>
          <w:tcPr>
            <w:tcW w:w="45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w:t>
            </w:r>
          </w:p>
        </w:tc>
        <w:tc>
          <w:tcPr>
            <w:tcW w:w="640" w:type="dxa"/>
            <w:vAlign w:val="bottom"/>
          </w:tcPr>
          <w:p>
            <w:pPr>
              <w:spacing w:after="0"/>
              <w:rPr>
                <w:sz w:val="19"/>
                <w:szCs w:val="19"/>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3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principal balance</w:t>
            </w:r>
          </w:p>
        </w:tc>
        <w:tc>
          <w:tcPr>
            <w:tcW w:w="4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537</w:t>
            </w:r>
          </w:p>
        </w:tc>
        <w:tc>
          <w:tcPr>
            <w:tcW w:w="64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6"/>
              </w:rPr>
              <w:t>100%</w:t>
            </w:r>
          </w:p>
        </w:tc>
        <w:tc>
          <w:tcPr>
            <w:tcW w:w="0" w:type="dxa"/>
            <w:vAlign w:val="bottom"/>
          </w:tcPr>
          <w:p>
            <w:pPr>
              <w:spacing w:after="0"/>
              <w:rPr>
                <w:sz w:val="1"/>
                <w:szCs w:val="1"/>
                <w:color w:val="auto"/>
              </w:rPr>
            </w:pPr>
          </w:p>
        </w:tc>
      </w:tr>
      <w:tr>
        <w:trPr>
          <w:trHeight w:val="20"/>
        </w:trPr>
        <w:tc>
          <w:tcPr>
            <w:tcW w:w="3380" w:type="dxa"/>
            <w:vAlign w:val="bottom"/>
            <w:gridSpan w:val="2"/>
            <w:vMerge w:val="restart"/>
          </w:tcPr>
          <w:p>
            <w:pPr>
              <w:ind w:left="440"/>
              <w:spacing w:after="0"/>
              <w:rPr>
                <w:sz w:val="20"/>
                <w:szCs w:val="20"/>
                <w:color w:val="auto"/>
              </w:rPr>
            </w:pPr>
            <w:r>
              <w:rPr>
                <w:rFonts w:ascii="Arial" w:cs="Arial" w:eastAsia="Arial" w:hAnsi="Arial"/>
                <w:sz w:val="18"/>
                <w:szCs w:val="18"/>
                <w:color w:val="auto"/>
              </w:rPr>
              <w:t>Allowance for losses</w:t>
            </w:r>
          </w:p>
        </w:tc>
        <w:tc>
          <w:tcPr>
            <w:tcW w:w="4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gridSpan w:val="2"/>
            <w:vMerge w:val="restart"/>
          </w:tcPr>
          <w:p>
            <w:pPr>
              <w:jc w:val="right"/>
              <w:ind w:right="580"/>
              <w:spacing w:after="0"/>
              <w:rPr>
                <w:sz w:val="20"/>
                <w:szCs w:val="20"/>
                <w:color w:val="auto"/>
              </w:rPr>
            </w:pPr>
            <w:r>
              <w:rPr>
                <w:rFonts w:ascii="Arial" w:cs="Arial" w:eastAsia="Arial" w:hAnsi="Arial"/>
                <w:sz w:val="18"/>
                <w:szCs w:val="18"/>
                <w:color w:val="auto"/>
              </w:rPr>
              <w:t>(2)</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3380" w:type="dxa"/>
            <w:vAlign w:val="bottom"/>
            <w:gridSpan w:val="2"/>
            <w:vMerge w:val="continue"/>
          </w:tcPr>
          <w:p>
            <w:pPr>
              <w:spacing w:after="0"/>
              <w:rPr>
                <w:sz w:val="18"/>
                <w:szCs w:val="18"/>
                <w:color w:val="auto"/>
              </w:rPr>
            </w:pPr>
          </w:p>
        </w:tc>
        <w:tc>
          <w:tcPr>
            <w:tcW w:w="4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vMerge w:val="continue"/>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454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535</w:t>
            </w: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4540" w:type="dxa"/>
            <w:vAlign w:val="bottom"/>
            <w:vMerge w:val="restart"/>
          </w:tcPr>
          <w:p>
            <w:pPr>
              <w:jc w:val="right"/>
              <w:ind w:right="2952"/>
              <w:spacing w:after="0"/>
              <w:rPr>
                <w:sz w:val="20"/>
                <w:szCs w:val="20"/>
                <w:color w:val="auto"/>
              </w:rPr>
            </w:pPr>
            <w:r>
              <w:rPr>
                <w:rFonts w:ascii="Arial" w:cs="Arial" w:eastAsia="Arial" w:hAnsi="Arial"/>
                <w:sz w:val="18"/>
                <w:szCs w:val="18"/>
                <w:color w:val="auto"/>
              </w:rPr>
              <w:t>23</w:t>
            </w:r>
          </w:p>
        </w:tc>
        <w:tc>
          <w:tcPr>
            <w:tcW w:w="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13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454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459" w:right="3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47"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134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b w:val="1"/>
                <w:bCs w:val="1"/>
                <w:color w:val="auto"/>
              </w:rPr>
              <w:t>June 30, 2010</w:t>
            </w:r>
          </w:p>
        </w:tc>
        <w:tc>
          <w:tcPr>
            <w:tcW w:w="2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340" w:type="dxa"/>
            <w:vAlign w:val="bottom"/>
          </w:tcPr>
          <w:p>
            <w:pPr>
              <w:spacing w:after="0"/>
              <w:rPr>
                <w:sz w:val="11"/>
                <w:szCs w:val="11"/>
                <w:color w:val="auto"/>
              </w:rPr>
            </w:pPr>
          </w:p>
        </w:tc>
        <w:tc>
          <w:tcPr>
            <w:tcW w:w="3640" w:type="dxa"/>
            <w:vAlign w:val="bottom"/>
          </w:tcPr>
          <w:p>
            <w:pPr>
              <w:spacing w:after="0"/>
              <w:rPr>
                <w:sz w:val="11"/>
                <w:szCs w:val="11"/>
                <w:color w:val="auto"/>
              </w:rPr>
            </w:pPr>
          </w:p>
        </w:tc>
        <w:tc>
          <w:tcPr>
            <w:tcW w:w="2940" w:type="dxa"/>
            <w:vAlign w:val="bottom"/>
          </w:tcPr>
          <w:p>
            <w:pPr>
              <w:spacing w:after="0"/>
              <w:rPr>
                <w:sz w:val="11"/>
                <w:szCs w:val="11"/>
                <w:color w:val="auto"/>
              </w:rPr>
            </w:pPr>
          </w:p>
        </w:tc>
        <w:tc>
          <w:tcPr>
            <w:tcW w:w="118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Carrying</w:t>
            </w:r>
          </w:p>
        </w:tc>
        <w:tc>
          <w:tcPr>
            <w:tcW w:w="280" w:type="dxa"/>
            <w:vAlign w:val="bottom"/>
          </w:tcPr>
          <w:p>
            <w:pPr>
              <w:spacing w:after="0" w:line="129" w:lineRule="exact"/>
              <w:rPr>
                <w:sz w:val="20"/>
                <w:szCs w:val="20"/>
                <w:color w:val="auto"/>
              </w:rPr>
            </w:pPr>
            <w:r>
              <w:rPr>
                <w:rFonts w:ascii="Arial" w:cs="Arial" w:eastAsia="Arial" w:hAnsi="Arial"/>
                <w:sz w:val="14"/>
                <w:szCs w:val="14"/>
                <w:b w:val="1"/>
                <w:bCs w:val="1"/>
                <w:color w:val="auto"/>
                <w:w w:val="87"/>
              </w:rPr>
              <w:t>% of</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2"/>
              </w:rPr>
              <w:t>(Amounts in millions)</w:t>
            </w:r>
          </w:p>
        </w:tc>
        <w:tc>
          <w:tcPr>
            <w:tcW w:w="364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jc w:val="right"/>
              <w:ind w:right="35"/>
              <w:spacing w:after="0"/>
              <w:rPr>
                <w:sz w:val="20"/>
                <w:szCs w:val="20"/>
                <w:color w:val="auto"/>
              </w:rPr>
            </w:pPr>
            <w:r>
              <w:rPr>
                <w:rFonts w:ascii="Arial" w:cs="Arial" w:eastAsia="Arial" w:hAnsi="Arial"/>
                <w:sz w:val="14"/>
                <w:szCs w:val="14"/>
                <w:b w:val="1"/>
                <w:bCs w:val="1"/>
                <w:color w:val="auto"/>
                <w:w w:val="83"/>
              </w:rPr>
              <w:t>value</w:t>
            </w:r>
          </w:p>
        </w:tc>
        <w:tc>
          <w:tcPr>
            <w:tcW w:w="640" w:type="dxa"/>
            <w:vAlign w:val="bottom"/>
          </w:tcPr>
          <w:p>
            <w:pPr>
              <w:spacing w:after="0"/>
              <w:rPr>
                <w:sz w:val="14"/>
                <w:szCs w:val="14"/>
                <w:color w:val="auto"/>
              </w:rPr>
            </w:pPr>
          </w:p>
        </w:tc>
        <w:tc>
          <w:tcPr>
            <w:tcW w:w="2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7"/>
              </w:rPr>
              <w:t>total</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9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Geographic Region</w:t>
            </w:r>
          </w:p>
        </w:tc>
        <w:tc>
          <w:tcPr>
            <w:tcW w:w="2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gridSpan w:val="2"/>
          </w:tcPr>
          <w:p>
            <w:pPr>
              <w:spacing w:after="0"/>
              <w:rPr>
                <w:sz w:val="20"/>
                <w:szCs w:val="20"/>
                <w:color w:val="auto"/>
              </w:rPr>
            </w:pPr>
            <w:r>
              <w:rPr>
                <w:rFonts w:ascii="Arial" w:cs="Arial" w:eastAsia="Arial" w:hAnsi="Arial"/>
                <w:sz w:val="18"/>
                <w:szCs w:val="18"/>
                <w:color w:val="auto"/>
              </w:rPr>
              <w:t>South Atlantic</w:t>
            </w:r>
          </w:p>
        </w:tc>
        <w:tc>
          <w:tcPr>
            <w:tcW w:w="3040" w:type="dxa"/>
            <w:vAlign w:val="bottom"/>
            <w:gridSpan w:val="2"/>
          </w:tcPr>
          <w:p>
            <w:pPr>
              <w:ind w:left="2940"/>
              <w:spacing w:after="0"/>
              <w:rPr>
                <w:sz w:val="20"/>
                <w:szCs w:val="20"/>
                <w:color w:val="auto"/>
              </w:rPr>
            </w:pPr>
            <w:r>
              <w:rPr>
                <w:rFonts w:ascii="Arial" w:cs="Arial" w:eastAsia="Arial" w:hAnsi="Arial"/>
                <w:sz w:val="18"/>
                <w:szCs w:val="18"/>
                <w:color w:val="auto"/>
                <w:w w:val="79"/>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197</w:t>
            </w:r>
          </w:p>
        </w:tc>
        <w:tc>
          <w:tcPr>
            <w:tcW w:w="640" w:type="dxa"/>
            <w:vAlign w:val="bottom"/>
          </w:tcPr>
          <w:p>
            <w:pPr>
              <w:spacing w:after="0"/>
              <w:rPr>
                <w:sz w:val="18"/>
                <w:szCs w:val="18"/>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16"/>
        </w:trPr>
        <w:tc>
          <w:tcPr>
            <w:tcW w:w="4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Pacific</w:t>
            </w:r>
          </w:p>
        </w:tc>
        <w:tc>
          <w:tcPr>
            <w:tcW w:w="2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gridSpan w:val="2"/>
          </w:tcPr>
          <w:p>
            <w:pPr>
              <w:spacing w:after="0"/>
              <w:rPr>
                <w:sz w:val="20"/>
                <w:szCs w:val="20"/>
                <w:color w:val="auto"/>
              </w:rPr>
            </w:pPr>
            <w:r>
              <w:rPr>
                <w:rFonts w:ascii="Arial" w:cs="Arial" w:eastAsia="Arial" w:hAnsi="Arial"/>
                <w:sz w:val="18"/>
                <w:szCs w:val="18"/>
                <w:color w:val="auto"/>
              </w:rPr>
              <w:t>Middle Atlantic</w:t>
            </w:r>
          </w:p>
        </w:tc>
        <w:tc>
          <w:tcPr>
            <w:tcW w:w="2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72</w:t>
            </w:r>
          </w:p>
        </w:tc>
        <w:tc>
          <w:tcPr>
            <w:tcW w:w="6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13</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East North Central</w:t>
            </w:r>
          </w:p>
        </w:tc>
        <w:tc>
          <w:tcPr>
            <w:tcW w:w="2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gridSpan w:val="2"/>
          </w:tcPr>
          <w:p>
            <w:pPr>
              <w:spacing w:after="0"/>
              <w:rPr>
                <w:sz w:val="20"/>
                <w:szCs w:val="20"/>
                <w:color w:val="auto"/>
              </w:rPr>
            </w:pPr>
            <w:r>
              <w:rPr>
                <w:rFonts w:ascii="Arial" w:cs="Arial" w:eastAsia="Arial" w:hAnsi="Arial"/>
                <w:sz w:val="18"/>
                <w:szCs w:val="18"/>
                <w:color w:val="auto"/>
              </w:rPr>
              <w:t>Mountain</w:t>
            </w:r>
          </w:p>
        </w:tc>
        <w:tc>
          <w:tcPr>
            <w:tcW w:w="2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36</w:t>
            </w:r>
          </w:p>
        </w:tc>
        <w:tc>
          <w:tcPr>
            <w:tcW w:w="6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7</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East South Central</w:t>
            </w:r>
          </w:p>
        </w:tc>
        <w:tc>
          <w:tcPr>
            <w:tcW w:w="2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gridSpan w:val="2"/>
          </w:tcPr>
          <w:p>
            <w:pPr>
              <w:spacing w:after="0"/>
              <w:rPr>
                <w:sz w:val="20"/>
                <w:szCs w:val="20"/>
                <w:color w:val="auto"/>
              </w:rPr>
            </w:pPr>
            <w:r>
              <w:rPr>
                <w:rFonts w:ascii="Arial" w:cs="Arial" w:eastAsia="Arial" w:hAnsi="Arial"/>
                <w:sz w:val="18"/>
                <w:szCs w:val="18"/>
                <w:color w:val="auto"/>
              </w:rPr>
              <w:t>West North Central</w:t>
            </w:r>
          </w:p>
        </w:tc>
        <w:tc>
          <w:tcPr>
            <w:tcW w:w="2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33</w:t>
            </w:r>
          </w:p>
        </w:tc>
        <w:tc>
          <w:tcPr>
            <w:tcW w:w="6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6</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West South Central</w:t>
            </w:r>
          </w:p>
        </w:tc>
        <w:tc>
          <w:tcPr>
            <w:tcW w:w="2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980" w:type="dxa"/>
            <w:vAlign w:val="bottom"/>
            <w:gridSpan w:val="2"/>
          </w:tcPr>
          <w:p>
            <w:pPr>
              <w:spacing w:after="0"/>
              <w:rPr>
                <w:sz w:val="20"/>
                <w:szCs w:val="20"/>
                <w:color w:val="auto"/>
              </w:rPr>
            </w:pPr>
            <w:r>
              <w:rPr>
                <w:rFonts w:ascii="Arial" w:cs="Arial" w:eastAsia="Arial" w:hAnsi="Arial"/>
                <w:sz w:val="18"/>
                <w:szCs w:val="18"/>
                <w:color w:val="auto"/>
              </w:rPr>
              <w:t>New England</w:t>
            </w:r>
          </w:p>
        </w:tc>
        <w:tc>
          <w:tcPr>
            <w:tcW w:w="29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640" w:type="dxa"/>
            <w:vAlign w:val="bottom"/>
          </w:tcPr>
          <w:p>
            <w:pPr>
              <w:spacing w:after="0"/>
              <w:rPr>
                <w:sz w:val="19"/>
                <w:szCs w:val="19"/>
                <w:color w:val="auto"/>
              </w:rPr>
            </w:pPr>
          </w:p>
        </w:tc>
        <w:tc>
          <w:tcPr>
            <w:tcW w:w="28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principal balance</w:t>
            </w:r>
          </w:p>
        </w:tc>
        <w:tc>
          <w:tcPr>
            <w:tcW w:w="2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537</w:t>
            </w:r>
          </w:p>
        </w:tc>
        <w:tc>
          <w:tcPr>
            <w:tcW w:w="64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6"/>
              </w:rPr>
              <w:t>100%</w:t>
            </w:r>
          </w:p>
        </w:tc>
        <w:tc>
          <w:tcPr>
            <w:tcW w:w="0" w:type="dxa"/>
            <w:vAlign w:val="bottom"/>
          </w:tcPr>
          <w:p>
            <w:pPr>
              <w:spacing w:after="0"/>
              <w:rPr>
                <w:sz w:val="1"/>
                <w:szCs w:val="1"/>
                <w:color w:val="auto"/>
              </w:rPr>
            </w:pPr>
          </w:p>
        </w:tc>
      </w:tr>
      <w:tr>
        <w:trPr>
          <w:trHeight w:val="20"/>
        </w:trPr>
        <w:tc>
          <w:tcPr>
            <w:tcW w:w="4980" w:type="dxa"/>
            <w:vAlign w:val="bottom"/>
            <w:gridSpan w:val="2"/>
            <w:vMerge w:val="restart"/>
          </w:tcPr>
          <w:p>
            <w:pPr>
              <w:ind w:left="440"/>
              <w:spacing w:after="0"/>
              <w:rPr>
                <w:sz w:val="20"/>
                <w:szCs w:val="20"/>
                <w:color w:val="auto"/>
              </w:rPr>
            </w:pPr>
            <w:r>
              <w:rPr>
                <w:rFonts w:ascii="Arial" w:cs="Arial" w:eastAsia="Arial" w:hAnsi="Arial"/>
                <w:sz w:val="18"/>
                <w:szCs w:val="18"/>
                <w:color w:val="auto"/>
              </w:rPr>
              <w:t>Allowance for losses</w:t>
            </w:r>
          </w:p>
        </w:tc>
        <w:tc>
          <w:tcPr>
            <w:tcW w:w="2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gridSpan w:val="2"/>
            <w:vMerge w:val="restart"/>
          </w:tcPr>
          <w:p>
            <w:pPr>
              <w:jc w:val="right"/>
              <w:ind w:right="580"/>
              <w:spacing w:after="0"/>
              <w:rPr>
                <w:sz w:val="20"/>
                <w:szCs w:val="20"/>
                <w:color w:val="auto"/>
              </w:rPr>
            </w:pPr>
            <w:r>
              <w:rPr>
                <w:rFonts w:ascii="Arial" w:cs="Arial" w:eastAsia="Arial" w:hAnsi="Arial"/>
                <w:sz w:val="18"/>
                <w:szCs w:val="18"/>
                <w:color w:val="auto"/>
              </w:rPr>
              <w:t>(2)</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4980" w:type="dxa"/>
            <w:vAlign w:val="bottom"/>
            <w:gridSpan w:val="2"/>
            <w:vMerge w:val="continue"/>
          </w:tcPr>
          <w:p>
            <w:pPr>
              <w:spacing w:after="0"/>
              <w:rPr>
                <w:sz w:val="18"/>
                <w:szCs w:val="18"/>
                <w:color w:val="auto"/>
              </w:rPr>
            </w:pPr>
          </w:p>
        </w:tc>
        <w:tc>
          <w:tcPr>
            <w:tcW w:w="2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vMerge w:val="continue"/>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294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535</w:t>
            </w: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29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See note 7 for additional information related to consolidated securitization entities.</w:t>
      </w:r>
    </w:p>
    <w:p>
      <w:pPr>
        <w:spacing w:after="0" w:line="252"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(g) Restricted Other Invested Assets Related To Securitization Entities</w:t>
      </w:r>
    </w:p>
    <w:p>
      <w:pPr>
        <w:spacing w:after="0" w:line="90" w:lineRule="exact"/>
        <w:rPr>
          <w:sz w:val="20"/>
          <w:szCs w:val="20"/>
          <w:color w:val="auto"/>
        </w:rPr>
      </w:pPr>
    </w:p>
    <w:p>
      <w:pPr>
        <w:ind w:right="160" w:firstLine="456"/>
        <w:spacing w:after="0" w:line="298" w:lineRule="auto"/>
        <w:rPr>
          <w:sz w:val="20"/>
          <w:szCs w:val="20"/>
          <w:color w:val="auto"/>
        </w:rPr>
      </w:pPr>
      <w:r>
        <w:rPr>
          <w:rFonts w:ascii="Arial" w:cs="Arial" w:eastAsia="Arial" w:hAnsi="Arial"/>
          <w:sz w:val="16"/>
          <w:szCs w:val="16"/>
          <w:color w:val="auto"/>
        </w:rPr>
        <w:t>We have consolidated securitization entities that hold certain investments that are recorded as restricted other invested assets related to securitization entities. The consolidated securitization entities hold certain investments as trading securities whereby the changes in fair value are recorded in current period income (loss). The trading securities are comprised of asset-backed securities, including residual interest in certain policy loan securitization entities and highly rated bonds that are primarily backed by credit card receivables. See note 7 for additional information related to consolidated securitization entities.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Derivative Instruments</w:t>
      </w:r>
    </w:p>
    <w:p>
      <w:pPr>
        <w:spacing w:after="0" w:line="96"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Our business activities routinely deal with fluctuations in interest rates, equity prices, currency exchange rates and other asset and liability prices. We use derivative instruments to mitigate or reduce certain of these risks. We have established policies for managing each of these risks, including prohibitions on derivatives market-making and other speculative derivatives activities. These policies require the use of derivative instruments in concert with other techniques to reduce or mitigate these risks. While we use derivatives to mitigate or reduce risks, certain derivatives do not meet the accounting requirements to be designated as hedging instruments and are denoted as “derivatives not designated as hedges” in the following disclosures. For derivatives that meet the accounting requirements to be designated as hedges, the following disclosures for these derivatives are denoted as “derivatives designated as hedges,” which include both cash flow and fair value hedges.</w:t>
      </w:r>
    </w:p>
    <w:p>
      <w:pPr>
        <w:spacing w:after="0" w:line="10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80"/>
          </w:cols>
          <w:pgMar w:left="240" w:top="459" w:right="27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our positions in derivative instruments as of the dates indicated: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428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Derivative assets</w:t>
            </w:r>
          </w:p>
        </w:tc>
        <w:tc>
          <w:tcPr>
            <w:tcW w:w="240" w:type="dxa"/>
            <w:vAlign w:val="bottom"/>
            <w:tcBorders>
              <w:bottom w:val="single" w:sz="8" w:color="auto"/>
            </w:tcBorders>
          </w:tcPr>
          <w:p>
            <w:pPr>
              <w:spacing w:after="0"/>
              <w:rPr>
                <w:sz w:val="14"/>
                <w:szCs w:val="14"/>
                <w:color w:val="auto"/>
              </w:rPr>
            </w:pPr>
          </w:p>
        </w:tc>
        <w:tc>
          <w:tcPr>
            <w:tcW w:w="400" w:type="dxa"/>
            <w:vAlign w:val="bottom"/>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5"/>
          </w:tcPr>
          <w:p>
            <w:pPr>
              <w:spacing w:after="0"/>
              <w:rPr>
                <w:sz w:val="20"/>
                <w:szCs w:val="20"/>
                <w:color w:val="auto"/>
              </w:rPr>
            </w:pPr>
            <w:r>
              <w:rPr>
                <w:rFonts w:ascii="Arial" w:cs="Arial" w:eastAsia="Arial" w:hAnsi="Arial"/>
                <w:sz w:val="14"/>
                <w:szCs w:val="14"/>
                <w:b w:val="1"/>
                <w:bCs w:val="1"/>
                <w:color w:val="auto"/>
              </w:rPr>
              <w:t>Derivative liabilities</w:t>
            </w:r>
          </w:p>
        </w:tc>
        <w:tc>
          <w:tcPr>
            <w:tcW w:w="2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4280" w:type="dxa"/>
            <w:vAlign w:val="bottom"/>
          </w:tcPr>
          <w:p>
            <w:pPr>
              <w:spacing w:after="0"/>
              <w:rPr>
                <w:sz w:val="12"/>
                <w:szCs w:val="12"/>
                <w:color w:val="auto"/>
              </w:rPr>
            </w:pPr>
          </w:p>
        </w:tc>
        <w:tc>
          <w:tcPr>
            <w:tcW w:w="78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5"/>
              </w:rPr>
              <w:t>Balance</w:t>
            </w:r>
          </w:p>
        </w:tc>
        <w:tc>
          <w:tcPr>
            <w:tcW w:w="3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gridSpan w:val="2"/>
          </w:tcPr>
          <w:p>
            <w:pPr>
              <w:jc w:val="right"/>
              <w:ind w:right="192"/>
              <w:spacing w:after="0" w:line="142" w:lineRule="exact"/>
              <w:rPr>
                <w:sz w:val="20"/>
                <w:szCs w:val="20"/>
                <w:color w:val="auto"/>
              </w:rPr>
            </w:pPr>
            <w:r>
              <w:rPr>
                <w:rFonts w:ascii="Arial" w:cs="Arial" w:eastAsia="Arial" w:hAnsi="Arial"/>
                <w:sz w:val="14"/>
                <w:szCs w:val="14"/>
                <w:b w:val="1"/>
                <w:bCs w:val="1"/>
                <w:color w:val="auto"/>
                <w:w w:val="91"/>
              </w:rPr>
              <w:t>Fair value</w:t>
            </w:r>
          </w:p>
        </w:tc>
        <w:tc>
          <w:tcPr>
            <w:tcW w:w="240" w:type="dxa"/>
            <w:vAlign w:val="bottom"/>
            <w:tcBorders>
              <w:bottom w:val="single" w:sz="8" w:color="auto"/>
            </w:tcBorders>
          </w:tcPr>
          <w:p>
            <w:pPr>
              <w:spacing w:after="0"/>
              <w:rPr>
                <w:sz w:val="12"/>
                <w:szCs w:val="12"/>
                <w:color w:val="auto"/>
              </w:rPr>
            </w:pPr>
          </w:p>
        </w:tc>
        <w:tc>
          <w:tcPr>
            <w:tcW w:w="400" w:type="dxa"/>
            <w:vAlign w:val="bottom"/>
          </w:tcPr>
          <w:p>
            <w:pPr>
              <w:spacing w:after="0"/>
              <w:rPr>
                <w:sz w:val="12"/>
                <w:szCs w:val="12"/>
                <w:color w:val="auto"/>
              </w:rPr>
            </w:pPr>
          </w:p>
        </w:tc>
        <w:tc>
          <w:tcPr>
            <w:tcW w:w="760" w:type="dxa"/>
            <w:vAlign w:val="bottom"/>
            <w:gridSpan w:val="2"/>
          </w:tcPr>
          <w:p>
            <w:pPr>
              <w:jc w:val="center"/>
              <w:ind w:right="20"/>
              <w:spacing w:after="0" w:line="142" w:lineRule="exact"/>
              <w:rPr>
                <w:sz w:val="20"/>
                <w:szCs w:val="20"/>
                <w:color w:val="auto"/>
              </w:rPr>
            </w:pPr>
            <w:r>
              <w:rPr>
                <w:rFonts w:ascii="Arial" w:cs="Arial" w:eastAsia="Arial" w:hAnsi="Arial"/>
                <w:sz w:val="14"/>
                <w:szCs w:val="14"/>
                <w:b w:val="1"/>
                <w:bCs w:val="1"/>
                <w:color w:val="auto"/>
                <w:w w:val="85"/>
              </w:rPr>
              <w:t>Balance</w:t>
            </w:r>
          </w:p>
        </w:tc>
        <w:tc>
          <w:tcPr>
            <w:tcW w:w="3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gridSpan w:val="2"/>
          </w:tcPr>
          <w:p>
            <w:pPr>
              <w:jc w:val="right"/>
              <w:ind w:right="192"/>
              <w:spacing w:after="0" w:line="142" w:lineRule="exact"/>
              <w:rPr>
                <w:sz w:val="20"/>
                <w:szCs w:val="20"/>
                <w:color w:val="auto"/>
              </w:rPr>
            </w:pPr>
            <w:r>
              <w:rPr>
                <w:rFonts w:ascii="Arial" w:cs="Arial" w:eastAsia="Arial" w:hAnsi="Arial"/>
                <w:sz w:val="14"/>
                <w:szCs w:val="14"/>
                <w:b w:val="1"/>
                <w:bCs w:val="1"/>
                <w:color w:val="auto"/>
                <w:w w:val="91"/>
              </w:rPr>
              <w:t>Fair value</w:t>
            </w:r>
          </w:p>
        </w:tc>
        <w:tc>
          <w:tcPr>
            <w:tcW w:w="24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4280" w:type="dxa"/>
            <w:vAlign w:val="bottom"/>
          </w:tcPr>
          <w:p>
            <w:pPr>
              <w:spacing w:after="0"/>
              <w:rPr>
                <w:sz w:val="11"/>
                <w:szCs w:val="11"/>
                <w:color w:val="auto"/>
              </w:rPr>
            </w:pPr>
          </w:p>
        </w:tc>
        <w:tc>
          <w:tcPr>
            <w:tcW w:w="7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1"/>
              </w:rPr>
              <w:t>sheet</w:t>
            </w:r>
          </w:p>
        </w:tc>
        <w:tc>
          <w:tcPr>
            <w:tcW w:w="340" w:type="dxa"/>
            <w:vAlign w:val="bottom"/>
          </w:tcPr>
          <w:p>
            <w:pPr>
              <w:spacing w:after="0"/>
              <w:rPr>
                <w:sz w:val="11"/>
                <w:szCs w:val="11"/>
                <w:color w:val="auto"/>
              </w:rPr>
            </w:pPr>
          </w:p>
        </w:tc>
        <w:tc>
          <w:tcPr>
            <w:tcW w:w="48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w w:val="82"/>
              </w:rPr>
              <w:t>June 30,</w:t>
            </w:r>
          </w:p>
        </w:tc>
        <w:tc>
          <w:tcPr>
            <w:tcW w:w="320" w:type="dxa"/>
            <w:vAlign w:val="bottom"/>
          </w:tcPr>
          <w:p>
            <w:pPr>
              <w:spacing w:after="0"/>
              <w:rPr>
                <w:sz w:val="11"/>
                <w:szCs w:val="11"/>
                <w:color w:val="auto"/>
              </w:rPr>
            </w:pPr>
          </w:p>
        </w:tc>
        <w:tc>
          <w:tcPr>
            <w:tcW w:w="80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w w:val="85"/>
              </w:rPr>
              <w:t>December 31,</w:t>
            </w:r>
          </w:p>
        </w:tc>
        <w:tc>
          <w:tcPr>
            <w:tcW w:w="400" w:type="dxa"/>
            <w:vAlign w:val="bottom"/>
          </w:tcPr>
          <w:p>
            <w:pPr>
              <w:spacing w:after="0"/>
              <w:rPr>
                <w:sz w:val="11"/>
                <w:szCs w:val="11"/>
                <w:color w:val="auto"/>
              </w:rPr>
            </w:pPr>
          </w:p>
        </w:tc>
        <w:tc>
          <w:tcPr>
            <w:tcW w:w="76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76"/>
              </w:rPr>
              <w:t>sheet</w:t>
            </w:r>
          </w:p>
        </w:tc>
        <w:tc>
          <w:tcPr>
            <w:tcW w:w="320" w:type="dxa"/>
            <w:vAlign w:val="bottom"/>
          </w:tcPr>
          <w:p>
            <w:pPr>
              <w:spacing w:after="0"/>
              <w:rPr>
                <w:sz w:val="11"/>
                <w:szCs w:val="11"/>
                <w:color w:val="auto"/>
              </w:rPr>
            </w:pPr>
          </w:p>
        </w:tc>
        <w:tc>
          <w:tcPr>
            <w:tcW w:w="48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w w:val="82"/>
              </w:rPr>
              <w:t>June 30,</w:t>
            </w:r>
          </w:p>
        </w:tc>
        <w:tc>
          <w:tcPr>
            <w:tcW w:w="320" w:type="dxa"/>
            <w:vAlign w:val="bottom"/>
          </w:tcPr>
          <w:p>
            <w:pPr>
              <w:spacing w:after="0"/>
              <w:rPr>
                <w:sz w:val="11"/>
                <w:szCs w:val="11"/>
                <w:color w:val="auto"/>
              </w:rPr>
            </w:pPr>
          </w:p>
        </w:tc>
        <w:tc>
          <w:tcPr>
            <w:tcW w:w="80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w w:val="85"/>
              </w:rPr>
              <w:t>December 31,</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56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3"/>
              </w:rPr>
              <w:t>classification</w:t>
            </w: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jc w:val="right"/>
              <w:ind w:right="32"/>
              <w:spacing w:after="0"/>
              <w:rPr>
                <w:sz w:val="20"/>
                <w:szCs w:val="20"/>
                <w:color w:val="auto"/>
              </w:rPr>
            </w:pPr>
            <w:r>
              <w:rPr>
                <w:rFonts w:ascii="Arial" w:cs="Arial" w:eastAsia="Arial" w:hAnsi="Arial"/>
                <w:sz w:val="14"/>
                <w:szCs w:val="14"/>
                <w:b w:val="1"/>
                <w:bCs w:val="1"/>
                <w:color w:val="auto"/>
                <w:w w:val="89"/>
              </w:rPr>
              <w:t>2010</w:t>
            </w:r>
          </w:p>
        </w:tc>
        <w:tc>
          <w:tcPr>
            <w:tcW w:w="88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2009</w:t>
            </w:r>
          </w:p>
        </w:tc>
        <w:tc>
          <w:tcPr>
            <w:tcW w:w="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6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83"/>
              </w:rPr>
              <w:t>classification</w:t>
            </w: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jc w:val="right"/>
              <w:ind w:right="32"/>
              <w:spacing w:after="0"/>
              <w:rPr>
                <w:sz w:val="20"/>
                <w:szCs w:val="20"/>
                <w:color w:val="auto"/>
              </w:rPr>
            </w:pPr>
            <w:r>
              <w:rPr>
                <w:rFonts w:ascii="Arial" w:cs="Arial" w:eastAsia="Arial" w:hAnsi="Arial"/>
                <w:sz w:val="14"/>
                <w:szCs w:val="14"/>
                <w:b w:val="1"/>
                <w:bCs w:val="1"/>
                <w:color w:val="auto"/>
                <w:w w:val="89"/>
              </w:rPr>
              <w:t>2010</w:t>
            </w:r>
          </w:p>
        </w:tc>
        <w:tc>
          <w:tcPr>
            <w:tcW w:w="88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2009</w:t>
            </w: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560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Derivatives designated as hedges</w:t>
            </w:r>
          </w:p>
        </w:tc>
        <w:tc>
          <w:tcPr>
            <w:tcW w:w="7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spacing w:after="0" w:line="149" w:lineRule="exact"/>
              <w:rPr>
                <w:sz w:val="20"/>
                <w:szCs w:val="20"/>
                <w:color w:val="auto"/>
              </w:rPr>
            </w:pPr>
            <w:r>
              <w:rPr>
                <w:rFonts w:ascii="Arial" w:cs="Arial" w:eastAsia="Arial" w:hAnsi="Arial"/>
                <w:sz w:val="14"/>
                <w:szCs w:val="14"/>
                <w:color w:val="auto"/>
              </w:rPr>
              <w:t>Cash flow hedges:</w:t>
            </w:r>
          </w:p>
        </w:tc>
        <w:tc>
          <w:tcPr>
            <w:tcW w:w="7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4280" w:type="dxa"/>
            <w:vAlign w:val="bottom"/>
            <w:shd w:val="clear" w:color="auto" w:fill="CCEEFF"/>
          </w:tcPr>
          <w:p>
            <w:pPr>
              <w:spacing w:after="0"/>
              <w:rPr>
                <w:sz w:val="11"/>
                <w:szCs w:val="11"/>
                <w:color w:val="auto"/>
              </w:rPr>
            </w:pPr>
          </w:p>
        </w:tc>
        <w:tc>
          <w:tcPr>
            <w:tcW w:w="780" w:type="dxa"/>
            <w:vAlign w:val="bottom"/>
            <w:shd w:val="clear" w:color="auto" w:fill="CCEEFF"/>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60" w:type="dxa"/>
            <w:vAlign w:val="bottom"/>
            <w:gridSpan w:val="2"/>
            <w:shd w:val="clear" w:color="auto" w:fill="CCEEFF"/>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600" w:type="dxa"/>
            <w:vAlign w:val="bottom"/>
            <w:gridSpan w:val="2"/>
            <w:shd w:val="clear" w:color="auto" w:fill="CCEEFF"/>
          </w:tcPr>
          <w:p>
            <w:pPr>
              <w:ind w:left="420"/>
              <w:spacing w:after="0" w:line="159" w:lineRule="exact"/>
              <w:rPr>
                <w:sz w:val="20"/>
                <w:szCs w:val="20"/>
                <w:color w:val="auto"/>
              </w:rPr>
            </w:pPr>
            <w:r>
              <w:rPr>
                <w:rFonts w:ascii="Arial" w:cs="Arial" w:eastAsia="Arial" w:hAnsi="Arial"/>
                <w:sz w:val="14"/>
                <w:szCs w:val="14"/>
                <w:color w:val="auto"/>
              </w:rPr>
              <w:t>Interest rate swaps</w:t>
            </w:r>
          </w:p>
        </w:tc>
        <w:tc>
          <w:tcPr>
            <w:tcW w:w="780" w:type="dxa"/>
            <w:vAlign w:val="bottom"/>
            <w:shd w:val="clear" w:color="auto" w:fill="CCEEFF"/>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420" w:type="dxa"/>
            <w:vAlign w:val="bottom"/>
            <w:gridSpan w:val="2"/>
            <w:shd w:val="clear" w:color="auto" w:fill="CCEEFF"/>
          </w:tcPr>
          <w:p>
            <w:pPr>
              <w:ind w:left="340"/>
              <w:spacing w:after="0" w:line="15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540</w:t>
            </w:r>
          </w:p>
        </w:tc>
        <w:tc>
          <w:tcPr>
            <w:tcW w:w="880" w:type="dxa"/>
            <w:vAlign w:val="bottom"/>
            <w:gridSpan w:val="2"/>
            <w:shd w:val="clear" w:color="auto" w:fill="CCEEFF"/>
          </w:tcPr>
          <w:p>
            <w:pPr>
              <w:ind w:left="320"/>
              <w:spacing w:after="0" w:line="159"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400"/>
              <w:spacing w:after="0" w:line="159" w:lineRule="exact"/>
              <w:rPr>
                <w:sz w:val="20"/>
                <w:szCs w:val="20"/>
                <w:color w:val="auto"/>
              </w:rPr>
            </w:pPr>
            <w:r>
              <w:rPr>
                <w:rFonts w:ascii="Arial" w:cs="Arial" w:eastAsia="Arial" w:hAnsi="Arial"/>
                <w:sz w:val="14"/>
                <w:szCs w:val="14"/>
                <w:color w:val="auto"/>
              </w:rPr>
              <w:t>72</w:t>
            </w:r>
          </w:p>
        </w:tc>
        <w:tc>
          <w:tcPr>
            <w:tcW w:w="760" w:type="dxa"/>
            <w:vAlign w:val="bottom"/>
            <w:gridSpan w:val="2"/>
            <w:shd w:val="clear" w:color="auto" w:fill="CCEEFF"/>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400" w:type="dxa"/>
            <w:vAlign w:val="bottom"/>
            <w:gridSpan w:val="2"/>
            <w:shd w:val="clear" w:color="auto" w:fill="CCEEFF"/>
          </w:tcPr>
          <w:p>
            <w:pPr>
              <w:ind w:left="320"/>
              <w:spacing w:after="0" w:line="15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w:t>
            </w:r>
          </w:p>
        </w:tc>
        <w:tc>
          <w:tcPr>
            <w:tcW w:w="880" w:type="dxa"/>
            <w:vAlign w:val="bottom"/>
            <w:gridSpan w:val="2"/>
            <w:shd w:val="clear" w:color="auto" w:fill="CCEEFF"/>
          </w:tcPr>
          <w:p>
            <w:pPr>
              <w:ind w:left="320"/>
              <w:spacing w:after="0" w:line="15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94"/>
              </w:rPr>
              <w:t>114</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4280" w:type="dxa"/>
            <w:vAlign w:val="bottom"/>
          </w:tcPr>
          <w:p>
            <w:pPr>
              <w:spacing w:after="0"/>
              <w:rPr>
                <w:sz w:val="11"/>
                <w:szCs w:val="11"/>
                <w:color w:val="auto"/>
              </w:rPr>
            </w:pPr>
          </w:p>
        </w:tc>
        <w:tc>
          <w:tcPr>
            <w:tcW w:w="780" w:type="dxa"/>
            <w:vAlign w:val="bottom"/>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0" w:type="dxa"/>
            <w:vAlign w:val="bottom"/>
            <w:gridSpan w:val="2"/>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600" w:type="dxa"/>
            <w:vAlign w:val="bottom"/>
            <w:gridSpan w:val="2"/>
          </w:tcPr>
          <w:p>
            <w:pPr>
              <w:ind w:left="420"/>
              <w:spacing w:after="0" w:line="159" w:lineRule="exact"/>
              <w:rPr>
                <w:sz w:val="20"/>
                <w:szCs w:val="20"/>
                <w:color w:val="auto"/>
              </w:rPr>
            </w:pPr>
            <w:r>
              <w:rPr>
                <w:rFonts w:ascii="Arial" w:cs="Arial" w:eastAsia="Arial" w:hAnsi="Arial"/>
                <w:sz w:val="14"/>
                <w:szCs w:val="14"/>
                <w:color w:val="auto"/>
              </w:rPr>
              <w:t>Inflation indexed swaps</w:t>
            </w:r>
          </w:p>
        </w:tc>
        <w:tc>
          <w:tcPr>
            <w:tcW w:w="780" w:type="dxa"/>
            <w:vAlign w:val="bottom"/>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1</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gridSpan w:val="2"/>
          </w:tcPr>
          <w:p>
            <w:pPr>
              <w:jc w:val="right"/>
              <w:ind w:right="460"/>
              <w:spacing w:after="0" w:line="159"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22</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gridSpan w:val="2"/>
          </w:tcPr>
          <w:p>
            <w:pPr>
              <w:jc w:val="right"/>
              <w:ind w:right="20"/>
              <w:spacing w:after="0" w:line="159" w:lineRule="exact"/>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4280" w:type="dxa"/>
            <w:vAlign w:val="bottom"/>
            <w:shd w:val="clear" w:color="auto" w:fill="CCEEFF"/>
          </w:tcPr>
          <w:p>
            <w:pPr>
              <w:spacing w:after="0"/>
              <w:rPr>
                <w:sz w:val="11"/>
                <w:szCs w:val="11"/>
                <w:color w:val="auto"/>
              </w:rPr>
            </w:pPr>
          </w:p>
        </w:tc>
        <w:tc>
          <w:tcPr>
            <w:tcW w:w="780" w:type="dxa"/>
            <w:vAlign w:val="bottom"/>
            <w:shd w:val="clear" w:color="auto" w:fill="CCEEFF"/>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60" w:type="dxa"/>
            <w:vAlign w:val="bottom"/>
            <w:gridSpan w:val="2"/>
            <w:shd w:val="clear" w:color="auto" w:fill="CCEEFF"/>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600" w:type="dxa"/>
            <w:vAlign w:val="bottom"/>
            <w:gridSpan w:val="2"/>
            <w:shd w:val="clear" w:color="auto" w:fill="CCEEFF"/>
          </w:tcPr>
          <w:p>
            <w:pPr>
              <w:ind w:left="420"/>
              <w:spacing w:after="0" w:line="159" w:lineRule="exact"/>
              <w:rPr>
                <w:sz w:val="20"/>
                <w:szCs w:val="20"/>
                <w:color w:val="auto"/>
              </w:rPr>
            </w:pPr>
            <w:r>
              <w:rPr>
                <w:rFonts w:ascii="Arial" w:cs="Arial" w:eastAsia="Arial" w:hAnsi="Arial"/>
                <w:sz w:val="14"/>
                <w:szCs w:val="14"/>
                <w:color w:val="auto"/>
              </w:rPr>
              <w:t>Foreign currency swaps</w:t>
            </w:r>
          </w:p>
        </w:tc>
        <w:tc>
          <w:tcPr>
            <w:tcW w:w="780" w:type="dxa"/>
            <w:vAlign w:val="bottom"/>
            <w:shd w:val="clear" w:color="auto" w:fill="CCEEFF"/>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3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140</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640" w:type="dxa"/>
            <w:vAlign w:val="bottom"/>
            <w:gridSpan w:val="2"/>
            <w:shd w:val="clear" w:color="auto" w:fill="CCEEFF"/>
          </w:tcPr>
          <w:p>
            <w:pPr>
              <w:jc w:val="right"/>
              <w:ind w:right="400"/>
              <w:spacing w:after="0" w:line="159" w:lineRule="exact"/>
              <w:rPr>
                <w:sz w:val="20"/>
                <w:szCs w:val="20"/>
                <w:color w:val="auto"/>
              </w:rPr>
            </w:pPr>
            <w:r>
              <w:rPr>
                <w:rFonts w:ascii="Arial" w:cs="Arial" w:eastAsia="Arial" w:hAnsi="Arial"/>
                <w:sz w:val="14"/>
                <w:szCs w:val="14"/>
                <w:color w:val="auto"/>
                <w:w w:val="94"/>
              </w:rPr>
              <w:t>101</w:t>
            </w:r>
          </w:p>
        </w:tc>
        <w:tc>
          <w:tcPr>
            <w:tcW w:w="760" w:type="dxa"/>
            <w:vAlign w:val="bottom"/>
            <w:gridSpan w:val="2"/>
            <w:shd w:val="clear" w:color="auto" w:fill="CCEEFF"/>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2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00" w:type="dxa"/>
            <w:vAlign w:val="bottom"/>
            <w:gridSpan w:val="2"/>
            <w:vMerge w:val="restart"/>
          </w:tcPr>
          <w:p>
            <w:pPr>
              <w:ind w:left="420"/>
              <w:spacing w:after="0"/>
              <w:rPr>
                <w:sz w:val="20"/>
                <w:szCs w:val="20"/>
                <w:color w:val="auto"/>
              </w:rPr>
            </w:pPr>
            <w:r>
              <w:rPr>
                <w:rFonts w:ascii="Arial" w:cs="Arial" w:eastAsia="Arial" w:hAnsi="Arial"/>
                <w:sz w:val="14"/>
                <w:szCs w:val="14"/>
                <w:color w:val="auto"/>
              </w:rPr>
              <w:t>Total cash flow hedges</w:t>
            </w:r>
          </w:p>
        </w:tc>
        <w:tc>
          <w:tcPr>
            <w:tcW w:w="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20" w:type="dxa"/>
            <w:vAlign w:val="bottom"/>
          </w:tcPr>
          <w:p>
            <w:pPr>
              <w:spacing w:after="0"/>
              <w:rPr>
                <w:sz w:val="14"/>
                <w:szCs w:val="14"/>
                <w:color w:val="auto"/>
              </w:rPr>
            </w:pPr>
          </w:p>
        </w:tc>
        <w:tc>
          <w:tcPr>
            <w:tcW w:w="5600" w:type="dxa"/>
            <w:vAlign w:val="bottom"/>
            <w:gridSpan w:val="2"/>
            <w:vMerge w:val="continue"/>
          </w:tcPr>
          <w:p>
            <w:pPr>
              <w:spacing w:after="0"/>
              <w:rPr>
                <w:sz w:val="14"/>
                <w:szCs w:val="14"/>
                <w:color w:val="auto"/>
              </w:rPr>
            </w:pPr>
          </w:p>
        </w:tc>
        <w:tc>
          <w:tcPr>
            <w:tcW w:w="7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jc w:val="right"/>
              <w:spacing w:after="0" w:line="155" w:lineRule="exact"/>
              <w:rPr>
                <w:sz w:val="20"/>
                <w:szCs w:val="20"/>
                <w:color w:val="auto"/>
              </w:rPr>
            </w:pPr>
            <w:r>
              <w:rPr>
                <w:rFonts w:ascii="Arial" w:cs="Arial" w:eastAsia="Arial" w:hAnsi="Arial"/>
                <w:sz w:val="14"/>
                <w:szCs w:val="14"/>
                <w:color w:val="auto"/>
              </w:rPr>
              <w:t>681</w:t>
            </w:r>
          </w:p>
        </w:tc>
        <w:tc>
          <w:tcPr>
            <w:tcW w:w="3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40" w:type="dxa"/>
            <w:vAlign w:val="bottom"/>
            <w:gridSpan w:val="2"/>
          </w:tcPr>
          <w:p>
            <w:pPr>
              <w:jc w:val="right"/>
              <w:ind w:right="400"/>
              <w:spacing w:after="0" w:line="155" w:lineRule="exact"/>
              <w:rPr>
                <w:sz w:val="20"/>
                <w:szCs w:val="20"/>
                <w:color w:val="auto"/>
              </w:rPr>
            </w:pPr>
            <w:r>
              <w:rPr>
                <w:rFonts w:ascii="Arial" w:cs="Arial" w:eastAsia="Arial" w:hAnsi="Arial"/>
                <w:sz w:val="14"/>
                <w:szCs w:val="14"/>
                <w:color w:val="auto"/>
                <w:w w:val="94"/>
              </w:rPr>
              <w:t>173</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jc w:val="right"/>
              <w:spacing w:after="0" w:line="155" w:lineRule="exact"/>
              <w:rPr>
                <w:sz w:val="20"/>
                <w:szCs w:val="20"/>
                <w:color w:val="auto"/>
              </w:rPr>
            </w:pPr>
            <w:r>
              <w:rPr>
                <w:rFonts w:ascii="Arial" w:cs="Arial" w:eastAsia="Arial" w:hAnsi="Arial"/>
                <w:sz w:val="14"/>
                <w:szCs w:val="14"/>
                <w:color w:val="auto"/>
              </w:rPr>
              <w:t>31</w:t>
            </w:r>
          </w:p>
        </w:tc>
        <w:tc>
          <w:tcPr>
            <w:tcW w:w="3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60" w:type="dxa"/>
            <w:vAlign w:val="bottom"/>
            <w:gridSpan w:val="2"/>
          </w:tcPr>
          <w:p>
            <w:pPr>
              <w:jc w:val="right"/>
              <w:ind w:right="20"/>
              <w:spacing w:after="0" w:line="155" w:lineRule="exact"/>
              <w:rPr>
                <w:sz w:val="20"/>
                <w:szCs w:val="20"/>
                <w:color w:val="auto"/>
              </w:rPr>
            </w:pPr>
            <w:r>
              <w:rPr>
                <w:rFonts w:ascii="Arial" w:cs="Arial" w:eastAsia="Arial" w:hAnsi="Arial"/>
                <w:sz w:val="14"/>
                <w:szCs w:val="14"/>
                <w:color w:val="auto"/>
                <w:w w:val="94"/>
              </w:rPr>
              <w:t>135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Fair value hedges:</w:t>
            </w:r>
          </w:p>
        </w:tc>
        <w:tc>
          <w:tcPr>
            <w:tcW w:w="7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00" w:type="dxa"/>
            <w:vAlign w:val="bottom"/>
            <w:tcBorders>
              <w:top w:val="single" w:sz="8" w:color="auto"/>
            </w:tcBorders>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560" w:type="dxa"/>
            <w:vAlign w:val="bottom"/>
            <w:tcBorders>
              <w:top w:val="single" w:sz="8" w:color="auto"/>
            </w:tcBorders>
            <w:shd w:val="clear" w:color="auto" w:fill="CCEEFF"/>
          </w:tcPr>
          <w:p>
            <w:pPr>
              <w:spacing w:after="0"/>
              <w:rPr>
                <w:sz w:val="12"/>
                <w:szCs w:val="12"/>
                <w:color w:val="auto"/>
              </w:rPr>
            </w:pPr>
          </w:p>
        </w:tc>
        <w:tc>
          <w:tcPr>
            <w:tcW w:w="240" w:type="dxa"/>
            <w:vAlign w:val="bottom"/>
            <w:tcBorders>
              <w:top w:val="single" w:sz="8" w:color="auto"/>
            </w:tcBorders>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00" w:type="dxa"/>
            <w:vAlign w:val="bottom"/>
            <w:tcBorders>
              <w:top w:val="single" w:sz="8" w:color="auto"/>
            </w:tcBorders>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560" w:type="dxa"/>
            <w:vAlign w:val="bottom"/>
            <w:tcBorders>
              <w:top w:val="single" w:sz="8" w:color="auto"/>
            </w:tcBorders>
            <w:shd w:val="clear" w:color="auto" w:fill="CCEEFF"/>
          </w:tcPr>
          <w:p>
            <w:pPr>
              <w:spacing w:after="0"/>
              <w:rPr>
                <w:sz w:val="12"/>
                <w:szCs w:val="12"/>
                <w:color w:val="auto"/>
              </w:rPr>
            </w:pPr>
          </w:p>
        </w:tc>
        <w:tc>
          <w:tcPr>
            <w:tcW w:w="240" w:type="dxa"/>
            <w:vAlign w:val="bottom"/>
            <w:tcBorders>
              <w:top w:val="single" w:sz="8" w:color="auto"/>
            </w:tcBorders>
            <w:shd w:val="clear" w:color="auto" w:fill="CCEEFF"/>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4280" w:type="dxa"/>
            <w:vAlign w:val="bottom"/>
          </w:tcPr>
          <w:p>
            <w:pPr>
              <w:spacing w:after="0"/>
              <w:rPr>
                <w:sz w:val="11"/>
                <w:szCs w:val="11"/>
                <w:color w:val="auto"/>
              </w:rPr>
            </w:pPr>
          </w:p>
        </w:tc>
        <w:tc>
          <w:tcPr>
            <w:tcW w:w="780" w:type="dxa"/>
            <w:vAlign w:val="bottom"/>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0" w:type="dxa"/>
            <w:vAlign w:val="bottom"/>
            <w:gridSpan w:val="2"/>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600" w:type="dxa"/>
            <w:vAlign w:val="bottom"/>
            <w:gridSpan w:val="2"/>
          </w:tcPr>
          <w:p>
            <w:pPr>
              <w:ind w:left="420"/>
              <w:spacing w:after="0" w:line="159" w:lineRule="exact"/>
              <w:rPr>
                <w:sz w:val="20"/>
                <w:szCs w:val="20"/>
                <w:color w:val="auto"/>
              </w:rPr>
            </w:pPr>
            <w:r>
              <w:rPr>
                <w:rFonts w:ascii="Arial" w:cs="Arial" w:eastAsia="Arial" w:hAnsi="Arial"/>
                <w:sz w:val="14"/>
                <w:szCs w:val="14"/>
                <w:color w:val="auto"/>
              </w:rPr>
              <w:t>Interest rate swaps</w:t>
            </w:r>
          </w:p>
        </w:tc>
        <w:tc>
          <w:tcPr>
            <w:tcW w:w="780" w:type="dxa"/>
            <w:vAlign w:val="bottom"/>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124</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gridSpan w:val="2"/>
          </w:tcPr>
          <w:p>
            <w:pPr>
              <w:jc w:val="right"/>
              <w:ind w:right="400"/>
              <w:spacing w:after="0" w:line="159" w:lineRule="exact"/>
              <w:rPr>
                <w:sz w:val="20"/>
                <w:szCs w:val="20"/>
                <w:color w:val="auto"/>
              </w:rPr>
            </w:pPr>
            <w:r>
              <w:rPr>
                <w:rFonts w:ascii="Arial" w:cs="Arial" w:eastAsia="Arial" w:hAnsi="Arial"/>
                <w:sz w:val="14"/>
                <w:szCs w:val="14"/>
                <w:color w:val="auto"/>
                <w:w w:val="94"/>
              </w:rPr>
              <w:t>132</w:t>
            </w:r>
          </w:p>
        </w:tc>
        <w:tc>
          <w:tcPr>
            <w:tcW w:w="760" w:type="dxa"/>
            <w:vAlign w:val="bottom"/>
            <w:gridSpan w:val="2"/>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11</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gridSpan w:val="2"/>
          </w:tcPr>
          <w:p>
            <w:pPr>
              <w:jc w:val="right"/>
              <w:ind w:right="20"/>
              <w:spacing w:after="0" w:line="159" w:lineRule="exact"/>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4280" w:type="dxa"/>
            <w:vAlign w:val="bottom"/>
            <w:shd w:val="clear" w:color="auto" w:fill="CCEEFF"/>
          </w:tcPr>
          <w:p>
            <w:pPr>
              <w:spacing w:after="0"/>
              <w:rPr>
                <w:sz w:val="11"/>
                <w:szCs w:val="11"/>
                <w:color w:val="auto"/>
              </w:rPr>
            </w:pPr>
          </w:p>
        </w:tc>
        <w:tc>
          <w:tcPr>
            <w:tcW w:w="780" w:type="dxa"/>
            <w:vAlign w:val="bottom"/>
            <w:shd w:val="clear" w:color="auto" w:fill="CCEEFF"/>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60" w:type="dxa"/>
            <w:vAlign w:val="bottom"/>
            <w:gridSpan w:val="2"/>
            <w:shd w:val="clear" w:color="auto" w:fill="CCEEFF"/>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600" w:type="dxa"/>
            <w:vAlign w:val="bottom"/>
            <w:gridSpan w:val="2"/>
            <w:shd w:val="clear" w:color="auto" w:fill="CCEEFF"/>
          </w:tcPr>
          <w:p>
            <w:pPr>
              <w:ind w:left="420"/>
              <w:spacing w:after="0" w:line="159" w:lineRule="exact"/>
              <w:rPr>
                <w:sz w:val="20"/>
                <w:szCs w:val="20"/>
                <w:color w:val="auto"/>
              </w:rPr>
            </w:pPr>
            <w:r>
              <w:rPr>
                <w:rFonts w:ascii="Arial" w:cs="Arial" w:eastAsia="Arial" w:hAnsi="Arial"/>
                <w:sz w:val="14"/>
                <w:szCs w:val="14"/>
                <w:color w:val="auto"/>
              </w:rPr>
              <w:t>Foreign currency swaps</w:t>
            </w:r>
          </w:p>
        </w:tc>
        <w:tc>
          <w:tcPr>
            <w:tcW w:w="780" w:type="dxa"/>
            <w:vAlign w:val="bottom"/>
            <w:shd w:val="clear" w:color="auto" w:fill="CCEEFF"/>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3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20</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640" w:type="dxa"/>
            <w:vAlign w:val="bottom"/>
            <w:gridSpan w:val="2"/>
            <w:shd w:val="clear" w:color="auto" w:fill="CCEEFF"/>
          </w:tcPr>
          <w:p>
            <w:pPr>
              <w:jc w:val="right"/>
              <w:ind w:right="400"/>
              <w:spacing w:after="0" w:line="159" w:lineRule="exact"/>
              <w:rPr>
                <w:sz w:val="20"/>
                <w:szCs w:val="20"/>
                <w:color w:val="auto"/>
              </w:rPr>
            </w:pPr>
            <w:r>
              <w:rPr>
                <w:rFonts w:ascii="Arial" w:cs="Arial" w:eastAsia="Arial" w:hAnsi="Arial"/>
                <w:sz w:val="14"/>
                <w:szCs w:val="14"/>
                <w:color w:val="auto"/>
              </w:rPr>
              <w:t>24</w:t>
            </w:r>
          </w:p>
        </w:tc>
        <w:tc>
          <w:tcPr>
            <w:tcW w:w="760" w:type="dxa"/>
            <w:vAlign w:val="bottom"/>
            <w:gridSpan w:val="2"/>
            <w:shd w:val="clear" w:color="auto" w:fill="CCEEFF"/>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2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00" w:type="dxa"/>
            <w:vAlign w:val="bottom"/>
            <w:gridSpan w:val="2"/>
            <w:vMerge w:val="restart"/>
          </w:tcPr>
          <w:p>
            <w:pPr>
              <w:ind w:left="420"/>
              <w:spacing w:after="0"/>
              <w:rPr>
                <w:sz w:val="20"/>
                <w:szCs w:val="20"/>
                <w:color w:val="auto"/>
              </w:rPr>
            </w:pPr>
            <w:r>
              <w:rPr>
                <w:rFonts w:ascii="Arial" w:cs="Arial" w:eastAsia="Arial" w:hAnsi="Arial"/>
                <w:sz w:val="14"/>
                <w:szCs w:val="14"/>
                <w:color w:val="auto"/>
              </w:rPr>
              <w:t>Total fair value hedges</w:t>
            </w:r>
          </w:p>
        </w:tc>
        <w:tc>
          <w:tcPr>
            <w:tcW w:w="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20" w:type="dxa"/>
            <w:vAlign w:val="bottom"/>
          </w:tcPr>
          <w:p>
            <w:pPr>
              <w:spacing w:after="0"/>
              <w:rPr>
                <w:sz w:val="13"/>
                <w:szCs w:val="13"/>
                <w:color w:val="auto"/>
              </w:rPr>
            </w:pPr>
          </w:p>
        </w:tc>
        <w:tc>
          <w:tcPr>
            <w:tcW w:w="5600" w:type="dxa"/>
            <w:vAlign w:val="bottom"/>
            <w:gridSpan w:val="2"/>
            <w:vMerge w:val="continue"/>
          </w:tcPr>
          <w:p>
            <w:pPr>
              <w:spacing w:after="0"/>
              <w:rPr>
                <w:sz w:val="13"/>
                <w:szCs w:val="13"/>
                <w:color w:val="auto"/>
              </w:rPr>
            </w:pPr>
          </w:p>
        </w:tc>
        <w:tc>
          <w:tcPr>
            <w:tcW w:w="7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5" w:lineRule="exact"/>
              <w:rPr>
                <w:sz w:val="20"/>
                <w:szCs w:val="20"/>
                <w:color w:val="auto"/>
              </w:rPr>
            </w:pPr>
            <w:r>
              <w:rPr>
                <w:rFonts w:ascii="Arial" w:cs="Arial" w:eastAsia="Arial" w:hAnsi="Arial"/>
                <w:sz w:val="14"/>
                <w:szCs w:val="14"/>
                <w:color w:val="auto"/>
              </w:rPr>
              <w:t>144</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gridSpan w:val="2"/>
          </w:tcPr>
          <w:p>
            <w:pPr>
              <w:jc w:val="right"/>
              <w:ind w:right="400"/>
              <w:spacing w:after="0" w:line="155" w:lineRule="exact"/>
              <w:rPr>
                <w:sz w:val="20"/>
                <w:szCs w:val="20"/>
                <w:color w:val="auto"/>
              </w:rPr>
            </w:pPr>
            <w:r>
              <w:rPr>
                <w:rFonts w:ascii="Arial" w:cs="Arial" w:eastAsia="Arial" w:hAnsi="Arial"/>
                <w:sz w:val="14"/>
                <w:szCs w:val="14"/>
                <w:color w:val="auto"/>
                <w:w w:val="94"/>
              </w:rPr>
              <w:t>156</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5" w:lineRule="exact"/>
              <w:rPr>
                <w:sz w:val="20"/>
                <w:szCs w:val="20"/>
                <w:color w:val="auto"/>
              </w:rPr>
            </w:pPr>
            <w:r>
              <w:rPr>
                <w:rFonts w:ascii="Arial" w:cs="Arial" w:eastAsia="Arial" w:hAnsi="Arial"/>
                <w:sz w:val="14"/>
                <w:szCs w:val="14"/>
                <w:color w:val="auto"/>
              </w:rPr>
              <w:t>11</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gridSpan w:val="2"/>
          </w:tcPr>
          <w:p>
            <w:pPr>
              <w:jc w:val="right"/>
              <w:ind w:right="20"/>
              <w:spacing w:after="0" w:line="155" w:lineRule="exact"/>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280" w:type="dxa"/>
            <w:vAlign w:val="bottom"/>
          </w:tcPr>
          <w:p>
            <w:pPr>
              <w:spacing w:after="0"/>
              <w:rPr>
                <w:sz w:val="2"/>
                <w:szCs w:val="2"/>
                <w:color w:val="auto"/>
              </w:rPr>
            </w:pPr>
          </w:p>
        </w:tc>
        <w:tc>
          <w:tcPr>
            <w:tcW w:w="78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Total derivatives designated as hedges</w:t>
            </w:r>
          </w:p>
        </w:tc>
        <w:tc>
          <w:tcPr>
            <w:tcW w:w="7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825</w:t>
            </w:r>
          </w:p>
        </w:tc>
        <w:tc>
          <w:tcPr>
            <w:tcW w:w="3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w w:val="94"/>
              </w:rPr>
              <w:t>329</w:t>
            </w:r>
          </w:p>
        </w:tc>
        <w:tc>
          <w:tcPr>
            <w:tcW w:w="7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w:t>
            </w:r>
          </w:p>
        </w:tc>
        <w:tc>
          <w:tcPr>
            <w:tcW w:w="3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150</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5620" w:type="dxa"/>
            <w:vAlign w:val="bottom"/>
            <w:gridSpan w:val="3"/>
          </w:tcPr>
          <w:p>
            <w:pPr>
              <w:spacing w:after="0" w:line="155" w:lineRule="exact"/>
              <w:rPr>
                <w:sz w:val="20"/>
                <w:szCs w:val="20"/>
                <w:color w:val="auto"/>
              </w:rPr>
            </w:pPr>
            <w:r>
              <w:rPr>
                <w:rFonts w:ascii="Arial" w:cs="Arial" w:eastAsia="Arial" w:hAnsi="Arial"/>
                <w:sz w:val="14"/>
                <w:szCs w:val="14"/>
                <w:b w:val="1"/>
                <w:bCs w:val="1"/>
                <w:color w:val="auto"/>
              </w:rPr>
              <w:t>Derivatives not designated as hedges</w:t>
            </w:r>
          </w:p>
        </w:tc>
        <w:tc>
          <w:tcPr>
            <w:tcW w:w="7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00" w:type="dxa"/>
            <w:vAlign w:val="bottom"/>
            <w:tcBorders>
              <w:top w:val="single" w:sz="8" w:color="auto"/>
            </w:tcBorders>
          </w:tcPr>
          <w:p>
            <w:pPr>
              <w:spacing w:after="0"/>
              <w:rPr>
                <w:sz w:val="13"/>
                <w:szCs w:val="13"/>
                <w:color w:val="auto"/>
              </w:rPr>
            </w:pPr>
          </w:p>
        </w:tc>
        <w:tc>
          <w:tcPr>
            <w:tcW w:w="320" w:type="dxa"/>
            <w:vAlign w:val="bottom"/>
          </w:tcPr>
          <w:p>
            <w:pPr>
              <w:spacing w:after="0"/>
              <w:rPr>
                <w:sz w:val="13"/>
                <w:szCs w:val="13"/>
                <w:color w:val="auto"/>
              </w:rPr>
            </w:pPr>
          </w:p>
        </w:tc>
        <w:tc>
          <w:tcPr>
            <w:tcW w:w="560" w:type="dxa"/>
            <w:vAlign w:val="bottom"/>
            <w:tcBorders>
              <w:top w:val="single" w:sz="8" w:color="auto"/>
            </w:tcBorders>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4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00" w:type="dxa"/>
            <w:vAlign w:val="bottom"/>
            <w:tcBorders>
              <w:top w:val="single" w:sz="8" w:color="auto"/>
            </w:tcBorders>
          </w:tcPr>
          <w:p>
            <w:pPr>
              <w:spacing w:after="0"/>
              <w:rPr>
                <w:sz w:val="13"/>
                <w:szCs w:val="13"/>
                <w:color w:val="auto"/>
              </w:rPr>
            </w:pPr>
          </w:p>
        </w:tc>
        <w:tc>
          <w:tcPr>
            <w:tcW w:w="320" w:type="dxa"/>
            <w:vAlign w:val="bottom"/>
          </w:tcPr>
          <w:p>
            <w:pPr>
              <w:spacing w:after="0"/>
              <w:rPr>
                <w:sz w:val="13"/>
                <w:szCs w:val="13"/>
                <w:color w:val="auto"/>
              </w:rPr>
            </w:pPr>
          </w:p>
        </w:tc>
        <w:tc>
          <w:tcPr>
            <w:tcW w:w="560" w:type="dxa"/>
            <w:vAlign w:val="bottom"/>
            <w:tcBorders>
              <w:top w:val="single" w:sz="8" w:color="auto"/>
            </w:tcBorders>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4280" w:type="dxa"/>
            <w:vAlign w:val="bottom"/>
            <w:shd w:val="clear" w:color="auto" w:fill="CCEEFF"/>
          </w:tcPr>
          <w:p>
            <w:pPr>
              <w:spacing w:after="0"/>
              <w:rPr>
                <w:sz w:val="11"/>
                <w:szCs w:val="11"/>
                <w:color w:val="auto"/>
              </w:rPr>
            </w:pPr>
          </w:p>
        </w:tc>
        <w:tc>
          <w:tcPr>
            <w:tcW w:w="780" w:type="dxa"/>
            <w:vAlign w:val="bottom"/>
            <w:shd w:val="clear" w:color="auto" w:fill="CCEEFF"/>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60" w:type="dxa"/>
            <w:vAlign w:val="bottom"/>
            <w:gridSpan w:val="2"/>
            <w:shd w:val="clear" w:color="auto" w:fill="CCEEFF"/>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600" w:type="dxa"/>
            <w:vAlign w:val="bottom"/>
            <w:gridSpan w:val="2"/>
            <w:shd w:val="clear" w:color="auto" w:fill="CCEEFF"/>
          </w:tcPr>
          <w:p>
            <w:pPr>
              <w:spacing w:after="0" w:line="159" w:lineRule="exact"/>
              <w:rPr>
                <w:sz w:val="20"/>
                <w:szCs w:val="20"/>
                <w:color w:val="auto"/>
              </w:rPr>
            </w:pPr>
            <w:r>
              <w:rPr>
                <w:rFonts w:ascii="Arial" w:cs="Arial" w:eastAsia="Arial" w:hAnsi="Arial"/>
                <w:sz w:val="14"/>
                <w:szCs w:val="14"/>
                <w:color w:val="auto"/>
              </w:rPr>
              <w:t>Interest rate swaps</w:t>
            </w:r>
          </w:p>
        </w:tc>
        <w:tc>
          <w:tcPr>
            <w:tcW w:w="780" w:type="dxa"/>
            <w:vAlign w:val="bottom"/>
            <w:shd w:val="clear" w:color="auto" w:fill="CCEEFF"/>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3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509</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640" w:type="dxa"/>
            <w:vAlign w:val="bottom"/>
            <w:gridSpan w:val="2"/>
            <w:shd w:val="clear" w:color="auto" w:fill="CCEEFF"/>
          </w:tcPr>
          <w:p>
            <w:pPr>
              <w:jc w:val="right"/>
              <w:ind w:right="400"/>
              <w:spacing w:after="0" w:line="159" w:lineRule="exact"/>
              <w:rPr>
                <w:sz w:val="20"/>
                <w:szCs w:val="20"/>
                <w:color w:val="auto"/>
              </w:rPr>
            </w:pPr>
            <w:r>
              <w:rPr>
                <w:rFonts w:ascii="Arial" w:cs="Arial" w:eastAsia="Arial" w:hAnsi="Arial"/>
                <w:sz w:val="14"/>
                <w:szCs w:val="14"/>
                <w:color w:val="auto"/>
                <w:w w:val="94"/>
              </w:rPr>
              <w:t>505</w:t>
            </w:r>
          </w:p>
        </w:tc>
        <w:tc>
          <w:tcPr>
            <w:tcW w:w="760" w:type="dxa"/>
            <w:vAlign w:val="bottom"/>
            <w:gridSpan w:val="2"/>
            <w:shd w:val="clear" w:color="auto" w:fill="CCEEFF"/>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41</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2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59</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4280" w:type="dxa"/>
            <w:vAlign w:val="bottom"/>
          </w:tcPr>
          <w:p>
            <w:pPr>
              <w:spacing w:after="0"/>
              <w:rPr>
                <w:sz w:val="11"/>
                <w:szCs w:val="11"/>
                <w:color w:val="auto"/>
              </w:rPr>
            </w:pPr>
          </w:p>
        </w:tc>
        <w:tc>
          <w:tcPr>
            <w:tcW w:w="780" w:type="dxa"/>
            <w:vAlign w:val="bottom"/>
          </w:tcPr>
          <w:p>
            <w:pPr>
              <w:jc w:val="center"/>
              <w:spacing w:after="0" w:line="138" w:lineRule="exact"/>
              <w:rPr>
                <w:sz w:val="20"/>
                <w:szCs w:val="20"/>
                <w:color w:val="auto"/>
              </w:rPr>
            </w:pPr>
            <w:r>
              <w:rPr>
                <w:rFonts w:ascii="Arial" w:cs="Arial" w:eastAsia="Arial" w:hAnsi="Arial"/>
                <w:sz w:val="14"/>
                <w:szCs w:val="14"/>
                <w:color w:val="auto"/>
                <w:w w:val="85"/>
              </w:rPr>
              <w:t>Restricted</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5620" w:type="dxa"/>
            <w:vAlign w:val="bottom"/>
            <w:gridSpan w:val="3"/>
          </w:tcPr>
          <w:p>
            <w:pPr>
              <w:spacing w:after="0" w:line="133" w:lineRule="exact"/>
              <w:rPr>
                <w:sz w:val="20"/>
                <w:szCs w:val="20"/>
                <w:color w:val="auto"/>
              </w:rPr>
            </w:pPr>
            <w:r>
              <w:rPr>
                <w:rFonts w:ascii="Arial" w:cs="Arial" w:eastAsia="Arial" w:hAnsi="Arial"/>
                <w:sz w:val="14"/>
                <w:szCs w:val="14"/>
                <w:color w:val="auto"/>
              </w:rPr>
              <w:t>Interest rate swaps related to</w:t>
            </w:r>
          </w:p>
        </w:tc>
        <w:tc>
          <w:tcPr>
            <w:tcW w:w="780" w:type="dxa"/>
            <w:vAlign w:val="bottom"/>
          </w:tcPr>
          <w:p>
            <w:pPr>
              <w:jc w:val="center"/>
              <w:spacing w:after="0" w:line="133" w:lineRule="exact"/>
              <w:rPr>
                <w:sz w:val="20"/>
                <w:szCs w:val="20"/>
                <w:color w:val="auto"/>
              </w:rPr>
            </w:pPr>
            <w:r>
              <w:rPr>
                <w:rFonts w:ascii="Arial" w:cs="Arial" w:eastAsia="Arial" w:hAnsi="Arial"/>
                <w:sz w:val="14"/>
                <w:szCs w:val="14"/>
                <w:color w:val="auto"/>
                <w:w w:val="86"/>
              </w:rPr>
              <w:t>other invested</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0" w:type="dxa"/>
            <w:vAlign w:val="bottom"/>
            <w:gridSpan w:val="2"/>
          </w:tcPr>
          <w:p>
            <w:pPr>
              <w:jc w:val="center"/>
              <w:spacing w:after="0" w:line="133" w:lineRule="exact"/>
              <w:rPr>
                <w:sz w:val="20"/>
                <w:szCs w:val="20"/>
                <w:color w:val="auto"/>
              </w:rPr>
            </w:pPr>
            <w:r>
              <w:rPr>
                <w:rFonts w:ascii="Arial" w:cs="Arial" w:eastAsia="Arial" w:hAnsi="Arial"/>
                <w:sz w:val="14"/>
                <w:szCs w:val="14"/>
                <w:color w:val="auto"/>
                <w:w w:val="91"/>
              </w:rPr>
              <w:t>Other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gridSpan w:val="2"/>
          </w:tcPr>
          <w:p>
            <w:pPr>
              <w:ind w:left="200"/>
              <w:spacing w:after="0" w:line="176" w:lineRule="exact"/>
              <w:rPr>
                <w:sz w:val="20"/>
                <w:szCs w:val="20"/>
                <w:color w:val="auto"/>
              </w:rPr>
            </w:pPr>
            <w:r>
              <w:rPr>
                <w:rFonts w:ascii="Arial" w:cs="Arial" w:eastAsia="Arial" w:hAnsi="Arial"/>
                <w:sz w:val="13"/>
                <w:szCs w:val="13"/>
                <w:color w:val="auto"/>
              </w:rPr>
              <w:t xml:space="preserve">securitization entities </w:t>
            </w:r>
            <w:r>
              <w:rPr>
                <w:rFonts w:ascii="Arial" w:cs="Arial" w:eastAsia="Arial" w:hAnsi="Arial"/>
                <w:sz w:val="20"/>
                <w:szCs w:val="20"/>
                <w:color w:val="auto"/>
                <w:vertAlign w:val="superscript"/>
              </w:rPr>
              <w:t>(1)</w:t>
            </w:r>
          </w:p>
        </w:tc>
        <w:tc>
          <w:tcPr>
            <w:tcW w:w="780" w:type="dxa"/>
            <w:vAlign w:val="bottom"/>
          </w:tcPr>
          <w:p>
            <w:pPr>
              <w:jc w:val="center"/>
              <w:spacing w:after="0"/>
              <w:rPr>
                <w:sz w:val="20"/>
                <w:szCs w:val="20"/>
                <w:color w:val="auto"/>
              </w:rPr>
            </w:pPr>
            <w:r>
              <w:rPr>
                <w:rFonts w:ascii="Arial" w:cs="Arial" w:eastAsia="Arial" w:hAnsi="Arial"/>
                <w:sz w:val="14"/>
                <w:szCs w:val="14"/>
                <w:color w:val="auto"/>
                <w:w w:val="74"/>
              </w:rPr>
              <w:t>assets</w:t>
            </w: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40" w:type="dxa"/>
            <w:vAlign w:val="bottom"/>
            <w:gridSpan w:val="2"/>
          </w:tcPr>
          <w:p>
            <w:pPr>
              <w:jc w:val="right"/>
              <w:ind w:right="460"/>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center"/>
              <w:ind w:right="20"/>
              <w:spacing w:after="0"/>
              <w:rPr>
                <w:sz w:val="20"/>
                <w:szCs w:val="20"/>
                <w:color w:val="auto"/>
              </w:rPr>
            </w:pPr>
            <w:r>
              <w:rPr>
                <w:rFonts w:ascii="Arial" w:cs="Arial" w:eastAsia="Arial" w:hAnsi="Arial"/>
                <w:sz w:val="14"/>
                <w:szCs w:val="14"/>
                <w:color w:val="auto"/>
                <w:w w:val="94"/>
              </w:rPr>
              <w:t>liabilities</w:t>
            </w: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23</w:t>
            </w:r>
          </w:p>
        </w:tc>
        <w:tc>
          <w:tcPr>
            <w:tcW w:w="3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4280" w:type="dxa"/>
            <w:vAlign w:val="bottom"/>
            <w:shd w:val="clear" w:color="auto" w:fill="CCEEFF"/>
          </w:tcPr>
          <w:p>
            <w:pPr>
              <w:spacing w:after="0"/>
              <w:rPr>
                <w:sz w:val="11"/>
                <w:szCs w:val="11"/>
                <w:color w:val="auto"/>
              </w:rPr>
            </w:pPr>
          </w:p>
        </w:tc>
        <w:tc>
          <w:tcPr>
            <w:tcW w:w="780" w:type="dxa"/>
            <w:vAlign w:val="bottom"/>
            <w:shd w:val="clear" w:color="auto" w:fill="CCEEFF"/>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60" w:type="dxa"/>
            <w:vAlign w:val="bottom"/>
            <w:gridSpan w:val="2"/>
            <w:shd w:val="clear" w:color="auto" w:fill="CCEEFF"/>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600" w:type="dxa"/>
            <w:vAlign w:val="bottom"/>
            <w:gridSpan w:val="2"/>
            <w:shd w:val="clear" w:color="auto" w:fill="CCEEFF"/>
          </w:tcPr>
          <w:p>
            <w:pPr>
              <w:spacing w:after="0" w:line="159" w:lineRule="exact"/>
              <w:rPr>
                <w:sz w:val="20"/>
                <w:szCs w:val="20"/>
                <w:color w:val="auto"/>
              </w:rPr>
            </w:pPr>
            <w:r>
              <w:rPr>
                <w:rFonts w:ascii="Arial" w:cs="Arial" w:eastAsia="Arial" w:hAnsi="Arial"/>
                <w:sz w:val="14"/>
                <w:szCs w:val="14"/>
                <w:color w:val="auto"/>
              </w:rPr>
              <w:t>Interest rate swaptions</w:t>
            </w:r>
          </w:p>
        </w:tc>
        <w:tc>
          <w:tcPr>
            <w:tcW w:w="780" w:type="dxa"/>
            <w:vAlign w:val="bottom"/>
            <w:shd w:val="clear" w:color="auto" w:fill="CCEEFF"/>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3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640" w:type="dxa"/>
            <w:vAlign w:val="bottom"/>
            <w:gridSpan w:val="2"/>
            <w:shd w:val="clear" w:color="auto" w:fill="CCEEFF"/>
          </w:tcPr>
          <w:p>
            <w:pPr>
              <w:jc w:val="right"/>
              <w:ind w:right="400"/>
              <w:spacing w:after="0" w:line="159" w:lineRule="exact"/>
              <w:rPr>
                <w:sz w:val="20"/>
                <w:szCs w:val="20"/>
                <w:color w:val="auto"/>
              </w:rPr>
            </w:pPr>
            <w:r>
              <w:rPr>
                <w:rFonts w:ascii="Arial" w:cs="Arial" w:eastAsia="Arial" w:hAnsi="Arial"/>
                <w:sz w:val="14"/>
                <w:szCs w:val="14"/>
                <w:color w:val="auto"/>
              </w:rPr>
              <w:t>54</w:t>
            </w:r>
          </w:p>
        </w:tc>
        <w:tc>
          <w:tcPr>
            <w:tcW w:w="760" w:type="dxa"/>
            <w:vAlign w:val="bottom"/>
            <w:gridSpan w:val="2"/>
            <w:shd w:val="clear" w:color="auto" w:fill="CCEEFF"/>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2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4280" w:type="dxa"/>
            <w:vAlign w:val="bottom"/>
          </w:tcPr>
          <w:p>
            <w:pPr>
              <w:spacing w:after="0"/>
              <w:rPr>
                <w:sz w:val="11"/>
                <w:szCs w:val="11"/>
                <w:color w:val="auto"/>
              </w:rPr>
            </w:pPr>
          </w:p>
        </w:tc>
        <w:tc>
          <w:tcPr>
            <w:tcW w:w="780" w:type="dxa"/>
            <w:vAlign w:val="bottom"/>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0" w:type="dxa"/>
            <w:vAlign w:val="bottom"/>
            <w:gridSpan w:val="2"/>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5620" w:type="dxa"/>
            <w:vAlign w:val="bottom"/>
            <w:gridSpan w:val="3"/>
          </w:tcPr>
          <w:p>
            <w:pPr>
              <w:spacing w:after="0" w:line="159" w:lineRule="exact"/>
              <w:rPr>
                <w:sz w:val="20"/>
                <w:szCs w:val="20"/>
                <w:color w:val="auto"/>
              </w:rPr>
            </w:pPr>
            <w:r>
              <w:rPr>
                <w:rFonts w:ascii="Arial" w:cs="Arial" w:eastAsia="Arial" w:hAnsi="Arial"/>
                <w:sz w:val="14"/>
                <w:szCs w:val="14"/>
                <w:color w:val="auto"/>
              </w:rPr>
              <w:t>Credit default swaps</w:t>
            </w:r>
          </w:p>
        </w:tc>
        <w:tc>
          <w:tcPr>
            <w:tcW w:w="780" w:type="dxa"/>
            <w:vAlign w:val="bottom"/>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2</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gridSpan w:val="2"/>
          </w:tcPr>
          <w:p>
            <w:pPr>
              <w:jc w:val="right"/>
              <w:ind w:right="400"/>
              <w:spacing w:after="0" w:line="159" w:lineRule="exact"/>
              <w:rPr>
                <w:sz w:val="20"/>
                <w:szCs w:val="20"/>
                <w:color w:val="auto"/>
              </w:rPr>
            </w:pPr>
            <w:r>
              <w:rPr>
                <w:rFonts w:ascii="Arial" w:cs="Arial" w:eastAsia="Arial" w:hAnsi="Arial"/>
                <w:sz w:val="14"/>
                <w:szCs w:val="14"/>
                <w:color w:val="auto"/>
              </w:rPr>
              <w:t>11</w:t>
            </w:r>
          </w:p>
        </w:tc>
        <w:tc>
          <w:tcPr>
            <w:tcW w:w="760" w:type="dxa"/>
            <w:vAlign w:val="bottom"/>
            <w:gridSpan w:val="2"/>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27</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gridSpan w:val="2"/>
          </w:tcPr>
          <w:p>
            <w:pPr>
              <w:jc w:val="right"/>
              <w:ind w:right="20"/>
              <w:spacing w:after="0" w:line="159" w:lineRule="exact"/>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4280" w:type="dxa"/>
            <w:vAlign w:val="bottom"/>
            <w:shd w:val="clear" w:color="auto" w:fill="CCEEFF"/>
          </w:tcPr>
          <w:p>
            <w:pPr>
              <w:spacing w:after="0"/>
              <w:rPr>
                <w:sz w:val="11"/>
                <w:szCs w:val="11"/>
                <w:color w:val="auto"/>
              </w:rPr>
            </w:pPr>
          </w:p>
        </w:tc>
        <w:tc>
          <w:tcPr>
            <w:tcW w:w="780" w:type="dxa"/>
            <w:vAlign w:val="bottom"/>
            <w:shd w:val="clear" w:color="auto" w:fill="CCEEFF"/>
          </w:tcPr>
          <w:p>
            <w:pPr>
              <w:jc w:val="center"/>
              <w:spacing w:after="0" w:line="138" w:lineRule="exact"/>
              <w:rPr>
                <w:sz w:val="20"/>
                <w:szCs w:val="20"/>
                <w:color w:val="auto"/>
              </w:rPr>
            </w:pPr>
            <w:r>
              <w:rPr>
                <w:rFonts w:ascii="Arial" w:cs="Arial" w:eastAsia="Arial" w:hAnsi="Arial"/>
                <w:sz w:val="14"/>
                <w:szCs w:val="14"/>
                <w:color w:val="auto"/>
                <w:w w:val="85"/>
              </w:rPr>
              <w:t>Restricted</w:t>
            </w:r>
          </w:p>
        </w:tc>
        <w:tc>
          <w:tcPr>
            <w:tcW w:w="3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600" w:type="dxa"/>
            <w:vAlign w:val="bottom"/>
            <w:gridSpan w:val="2"/>
            <w:shd w:val="clear" w:color="auto" w:fill="CCEEFF"/>
          </w:tcPr>
          <w:p>
            <w:pPr>
              <w:spacing w:after="0" w:line="133" w:lineRule="exact"/>
              <w:rPr>
                <w:sz w:val="20"/>
                <w:szCs w:val="20"/>
                <w:color w:val="auto"/>
              </w:rPr>
            </w:pPr>
            <w:r>
              <w:rPr>
                <w:rFonts w:ascii="Arial" w:cs="Arial" w:eastAsia="Arial" w:hAnsi="Arial"/>
                <w:sz w:val="14"/>
                <w:szCs w:val="14"/>
                <w:color w:val="auto"/>
              </w:rPr>
              <w:t>Credit default swaps related to</w:t>
            </w:r>
          </w:p>
        </w:tc>
        <w:tc>
          <w:tcPr>
            <w:tcW w:w="780" w:type="dxa"/>
            <w:vAlign w:val="bottom"/>
            <w:shd w:val="clear" w:color="auto" w:fill="CCEEFF"/>
          </w:tcPr>
          <w:p>
            <w:pPr>
              <w:jc w:val="center"/>
              <w:spacing w:after="0" w:line="133" w:lineRule="exact"/>
              <w:rPr>
                <w:sz w:val="20"/>
                <w:szCs w:val="20"/>
                <w:color w:val="auto"/>
              </w:rPr>
            </w:pPr>
            <w:r>
              <w:rPr>
                <w:rFonts w:ascii="Arial" w:cs="Arial" w:eastAsia="Arial" w:hAnsi="Arial"/>
                <w:sz w:val="14"/>
                <w:szCs w:val="14"/>
                <w:color w:val="auto"/>
                <w:w w:val="86"/>
              </w:rPr>
              <w:t>other invested</w:t>
            </w:r>
          </w:p>
        </w:tc>
        <w:tc>
          <w:tcPr>
            <w:tcW w:w="3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60" w:type="dxa"/>
            <w:vAlign w:val="bottom"/>
            <w:gridSpan w:val="2"/>
            <w:shd w:val="clear" w:color="auto" w:fill="CCEEFF"/>
          </w:tcPr>
          <w:p>
            <w:pPr>
              <w:jc w:val="center"/>
              <w:spacing w:after="0" w:line="133" w:lineRule="exact"/>
              <w:rPr>
                <w:sz w:val="20"/>
                <w:szCs w:val="20"/>
                <w:color w:val="auto"/>
              </w:rPr>
            </w:pPr>
            <w:r>
              <w:rPr>
                <w:rFonts w:ascii="Arial" w:cs="Arial" w:eastAsia="Arial" w:hAnsi="Arial"/>
                <w:sz w:val="14"/>
                <w:szCs w:val="14"/>
                <w:color w:val="auto"/>
                <w:w w:val="91"/>
              </w:rPr>
              <w:t>Other</w:t>
            </w:r>
          </w:p>
        </w:tc>
        <w:tc>
          <w:tcPr>
            <w:tcW w:w="3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gridSpan w:val="2"/>
            <w:shd w:val="clear" w:color="auto" w:fill="CCEEFF"/>
          </w:tcPr>
          <w:p>
            <w:pPr>
              <w:ind w:left="200"/>
              <w:spacing w:after="0" w:line="176" w:lineRule="exact"/>
              <w:rPr>
                <w:sz w:val="20"/>
                <w:szCs w:val="20"/>
                <w:color w:val="auto"/>
              </w:rPr>
            </w:pPr>
            <w:r>
              <w:rPr>
                <w:rFonts w:ascii="Arial" w:cs="Arial" w:eastAsia="Arial" w:hAnsi="Arial"/>
                <w:sz w:val="13"/>
                <w:szCs w:val="13"/>
                <w:color w:val="auto"/>
              </w:rPr>
              <w:t xml:space="preserve">securitization entities </w:t>
            </w:r>
            <w:r>
              <w:rPr>
                <w:rFonts w:ascii="Arial" w:cs="Arial" w:eastAsia="Arial" w:hAnsi="Arial"/>
                <w:sz w:val="20"/>
                <w:szCs w:val="20"/>
                <w:color w:val="auto"/>
                <w:vertAlign w:val="superscript"/>
              </w:rPr>
              <w:t>(1)</w:t>
            </w: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4"/>
              </w:rPr>
              <w:t>assets</w:t>
            </w:r>
          </w:p>
        </w:tc>
        <w:tc>
          <w:tcPr>
            <w:tcW w:w="3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640" w:type="dxa"/>
            <w:vAlign w:val="bottom"/>
            <w:gridSpan w:val="2"/>
            <w:shd w:val="clear" w:color="auto" w:fill="CCEEFF"/>
          </w:tcPr>
          <w:p>
            <w:pPr>
              <w:jc w:val="right"/>
              <w:ind w:right="46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center"/>
              <w:ind w:right="20"/>
              <w:spacing w:after="0"/>
              <w:rPr>
                <w:sz w:val="20"/>
                <w:szCs w:val="20"/>
                <w:color w:val="auto"/>
              </w:rPr>
            </w:pPr>
            <w:r>
              <w:rPr>
                <w:rFonts w:ascii="Arial" w:cs="Arial" w:eastAsia="Arial" w:hAnsi="Arial"/>
                <w:sz w:val="14"/>
                <w:szCs w:val="14"/>
                <w:color w:val="auto"/>
                <w:w w:val="94"/>
              </w:rPr>
              <w:t>liabilities</w:t>
            </w:r>
          </w:p>
        </w:tc>
        <w:tc>
          <w:tcPr>
            <w:tcW w:w="3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159</w:t>
            </w:r>
          </w:p>
        </w:tc>
        <w:tc>
          <w:tcPr>
            <w:tcW w:w="32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4280" w:type="dxa"/>
            <w:vAlign w:val="bottom"/>
          </w:tcPr>
          <w:p>
            <w:pPr>
              <w:spacing w:after="0"/>
              <w:rPr>
                <w:sz w:val="11"/>
                <w:szCs w:val="11"/>
                <w:color w:val="auto"/>
              </w:rPr>
            </w:pPr>
          </w:p>
        </w:tc>
        <w:tc>
          <w:tcPr>
            <w:tcW w:w="780" w:type="dxa"/>
            <w:vAlign w:val="bottom"/>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0" w:type="dxa"/>
            <w:vAlign w:val="bottom"/>
            <w:gridSpan w:val="2"/>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5620" w:type="dxa"/>
            <w:vAlign w:val="bottom"/>
            <w:gridSpan w:val="3"/>
          </w:tcPr>
          <w:p>
            <w:pPr>
              <w:spacing w:after="0" w:line="159" w:lineRule="exact"/>
              <w:rPr>
                <w:sz w:val="20"/>
                <w:szCs w:val="20"/>
                <w:color w:val="auto"/>
              </w:rPr>
            </w:pPr>
            <w:r>
              <w:rPr>
                <w:rFonts w:ascii="Arial" w:cs="Arial" w:eastAsia="Arial" w:hAnsi="Arial"/>
                <w:sz w:val="14"/>
                <w:szCs w:val="14"/>
                <w:color w:val="auto"/>
              </w:rPr>
              <w:t>Equity index options</w:t>
            </w:r>
          </w:p>
        </w:tc>
        <w:tc>
          <w:tcPr>
            <w:tcW w:w="780" w:type="dxa"/>
            <w:vAlign w:val="bottom"/>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97</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gridSpan w:val="2"/>
          </w:tcPr>
          <w:p>
            <w:pPr>
              <w:jc w:val="right"/>
              <w:ind w:right="400"/>
              <w:spacing w:after="0" w:line="159" w:lineRule="exact"/>
              <w:rPr>
                <w:sz w:val="20"/>
                <w:szCs w:val="20"/>
                <w:color w:val="auto"/>
              </w:rPr>
            </w:pPr>
            <w:r>
              <w:rPr>
                <w:rFonts w:ascii="Arial" w:cs="Arial" w:eastAsia="Arial" w:hAnsi="Arial"/>
                <w:sz w:val="14"/>
                <w:szCs w:val="14"/>
                <w:color w:val="auto"/>
              </w:rPr>
              <w:t>39</w:t>
            </w:r>
          </w:p>
        </w:tc>
        <w:tc>
          <w:tcPr>
            <w:tcW w:w="760" w:type="dxa"/>
            <w:vAlign w:val="bottom"/>
            <w:gridSpan w:val="2"/>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gridSpan w:val="2"/>
          </w:tcPr>
          <w:p>
            <w:pPr>
              <w:jc w:val="right"/>
              <w:ind w:right="20"/>
              <w:spacing w:after="0" w:line="159" w:lineRule="exact"/>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4280" w:type="dxa"/>
            <w:vAlign w:val="bottom"/>
            <w:shd w:val="clear" w:color="auto" w:fill="CCEEFF"/>
          </w:tcPr>
          <w:p>
            <w:pPr>
              <w:spacing w:after="0"/>
              <w:rPr>
                <w:sz w:val="11"/>
                <w:szCs w:val="11"/>
                <w:color w:val="auto"/>
              </w:rPr>
            </w:pPr>
          </w:p>
        </w:tc>
        <w:tc>
          <w:tcPr>
            <w:tcW w:w="780" w:type="dxa"/>
            <w:vAlign w:val="bottom"/>
            <w:shd w:val="clear" w:color="auto" w:fill="CCEEFF"/>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60" w:type="dxa"/>
            <w:vAlign w:val="bottom"/>
            <w:gridSpan w:val="2"/>
            <w:shd w:val="clear" w:color="auto" w:fill="CCEEFF"/>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600" w:type="dxa"/>
            <w:vAlign w:val="bottom"/>
            <w:gridSpan w:val="2"/>
            <w:shd w:val="clear" w:color="auto" w:fill="CCEEFF"/>
          </w:tcPr>
          <w:p>
            <w:pPr>
              <w:spacing w:after="0" w:line="159" w:lineRule="exact"/>
              <w:rPr>
                <w:sz w:val="20"/>
                <w:szCs w:val="20"/>
                <w:color w:val="auto"/>
              </w:rPr>
            </w:pPr>
            <w:r>
              <w:rPr>
                <w:rFonts w:ascii="Arial" w:cs="Arial" w:eastAsia="Arial" w:hAnsi="Arial"/>
                <w:sz w:val="14"/>
                <w:szCs w:val="14"/>
                <w:color w:val="auto"/>
              </w:rPr>
              <w:t>Financial futures</w:t>
            </w:r>
          </w:p>
        </w:tc>
        <w:tc>
          <w:tcPr>
            <w:tcW w:w="780" w:type="dxa"/>
            <w:vAlign w:val="bottom"/>
            <w:shd w:val="clear" w:color="auto" w:fill="CCEEFF"/>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3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640" w:type="dxa"/>
            <w:vAlign w:val="bottom"/>
            <w:gridSpan w:val="2"/>
            <w:shd w:val="clear" w:color="auto" w:fill="CCEEFF"/>
          </w:tcPr>
          <w:p>
            <w:pPr>
              <w:jc w:val="right"/>
              <w:ind w:right="460"/>
              <w:spacing w:after="0" w:line="159" w:lineRule="exact"/>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2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4280" w:type="dxa"/>
            <w:vAlign w:val="bottom"/>
          </w:tcPr>
          <w:p>
            <w:pPr>
              <w:spacing w:after="0"/>
              <w:rPr>
                <w:sz w:val="11"/>
                <w:szCs w:val="11"/>
                <w:color w:val="auto"/>
              </w:rPr>
            </w:pPr>
          </w:p>
        </w:tc>
        <w:tc>
          <w:tcPr>
            <w:tcW w:w="780" w:type="dxa"/>
            <w:vAlign w:val="bottom"/>
          </w:tcPr>
          <w:p>
            <w:pPr>
              <w:jc w:val="center"/>
              <w:spacing w:after="0" w:line="138" w:lineRule="exact"/>
              <w:rPr>
                <w:sz w:val="20"/>
                <w:szCs w:val="20"/>
                <w:color w:val="auto"/>
              </w:rPr>
            </w:pPr>
            <w:r>
              <w:rPr>
                <w:rFonts w:ascii="Arial" w:cs="Arial" w:eastAsia="Arial" w:hAnsi="Arial"/>
                <w:sz w:val="14"/>
                <w:szCs w:val="14"/>
                <w:color w:val="auto"/>
                <w:w w:val="85"/>
              </w:rPr>
              <w:t>Other invested</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0" w:type="dxa"/>
            <w:vAlign w:val="bottom"/>
            <w:gridSpan w:val="2"/>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5620" w:type="dxa"/>
            <w:vAlign w:val="bottom"/>
            <w:gridSpan w:val="3"/>
          </w:tcPr>
          <w:p>
            <w:pPr>
              <w:spacing w:after="0" w:line="159" w:lineRule="exact"/>
              <w:rPr>
                <w:sz w:val="20"/>
                <w:szCs w:val="20"/>
                <w:color w:val="auto"/>
              </w:rPr>
            </w:pPr>
            <w:r>
              <w:rPr>
                <w:rFonts w:ascii="Arial" w:cs="Arial" w:eastAsia="Arial" w:hAnsi="Arial"/>
                <w:sz w:val="14"/>
                <w:szCs w:val="14"/>
                <w:color w:val="auto"/>
              </w:rPr>
              <w:t>Other foreign currency contracts</w:t>
            </w:r>
          </w:p>
        </w:tc>
        <w:tc>
          <w:tcPr>
            <w:tcW w:w="780" w:type="dxa"/>
            <w:vAlign w:val="bottom"/>
          </w:tcPr>
          <w:p>
            <w:pPr>
              <w:jc w:val="center"/>
              <w:spacing w:after="0" w:line="159" w:lineRule="exact"/>
              <w:rPr>
                <w:sz w:val="20"/>
                <w:szCs w:val="20"/>
                <w:color w:val="auto"/>
              </w:rPr>
            </w:pPr>
            <w:r>
              <w:rPr>
                <w:rFonts w:ascii="Arial" w:cs="Arial" w:eastAsia="Arial" w:hAnsi="Arial"/>
                <w:sz w:val="14"/>
                <w:szCs w:val="14"/>
                <w:color w:val="auto"/>
                <w:w w:val="74"/>
              </w:rPr>
              <w:t>assets</w:t>
            </w: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6</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gridSpan w:val="2"/>
          </w:tcPr>
          <w:p>
            <w:pPr>
              <w:jc w:val="right"/>
              <w:ind w:right="400"/>
              <w:spacing w:after="0" w:line="159" w:lineRule="exact"/>
              <w:rPr>
                <w:sz w:val="20"/>
                <w:szCs w:val="20"/>
                <w:color w:val="auto"/>
              </w:rPr>
            </w:pPr>
            <w:r>
              <w:rPr>
                <w:rFonts w:ascii="Arial" w:cs="Arial" w:eastAsia="Arial" w:hAnsi="Arial"/>
                <w:sz w:val="14"/>
                <w:szCs w:val="14"/>
                <w:color w:val="auto"/>
              </w:rPr>
              <w:t>8</w:t>
            </w:r>
          </w:p>
        </w:tc>
        <w:tc>
          <w:tcPr>
            <w:tcW w:w="760" w:type="dxa"/>
            <w:vAlign w:val="bottom"/>
            <w:gridSpan w:val="2"/>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5600" w:type="dxa"/>
            <w:vAlign w:val="bottom"/>
            <w:gridSpan w:val="2"/>
            <w:vMerge w:val="restart"/>
            <w:shd w:val="clear" w:color="auto" w:fill="CCEEFF"/>
          </w:tcPr>
          <w:p>
            <w:pPr>
              <w:spacing w:after="0"/>
              <w:rPr>
                <w:sz w:val="20"/>
                <w:szCs w:val="20"/>
                <w:color w:val="auto"/>
              </w:rPr>
            </w:pPr>
            <w:r>
              <w:rPr>
                <w:rFonts w:ascii="Arial" w:cs="Arial" w:eastAsia="Arial" w:hAnsi="Arial"/>
                <w:sz w:val="14"/>
                <w:szCs w:val="14"/>
                <w:color w:val="auto"/>
              </w:rPr>
              <w:t xml:space="preserve">Reinsurance embedded derivatives </w:t>
            </w:r>
            <w:r>
              <w:rPr>
                <w:rFonts w:ascii="Arial" w:cs="Arial" w:eastAsia="Arial" w:hAnsi="Arial"/>
                <w:sz w:val="22"/>
                <w:szCs w:val="22"/>
                <w:color w:val="auto"/>
                <w:vertAlign w:val="superscript"/>
              </w:rPr>
              <w:t>(2)</w:t>
            </w:r>
          </w:p>
        </w:tc>
        <w:tc>
          <w:tcPr>
            <w:tcW w:w="78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60" w:type="dxa"/>
            <w:vAlign w:val="bottom"/>
            <w:gridSpan w:val="2"/>
            <w:shd w:val="clear" w:color="auto" w:fill="CCEEFF"/>
          </w:tcPr>
          <w:p>
            <w:pPr>
              <w:jc w:val="center"/>
              <w:spacing w:after="0" w:line="138" w:lineRule="exact"/>
              <w:rPr>
                <w:sz w:val="20"/>
                <w:szCs w:val="20"/>
                <w:color w:val="auto"/>
              </w:rPr>
            </w:pPr>
            <w:r>
              <w:rPr>
                <w:rFonts w:ascii="Arial" w:cs="Arial" w:eastAsia="Arial" w:hAnsi="Arial"/>
                <w:sz w:val="14"/>
                <w:szCs w:val="14"/>
                <w:color w:val="auto"/>
                <w:w w:val="91"/>
              </w:rPr>
              <w:t>Other</w:t>
            </w:r>
          </w:p>
        </w:tc>
        <w:tc>
          <w:tcPr>
            <w:tcW w:w="3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600" w:type="dxa"/>
            <w:vAlign w:val="bottom"/>
            <w:gridSpan w:val="2"/>
            <w:vMerge w:val="continue"/>
            <w:shd w:val="clear" w:color="auto" w:fill="CCEEFF"/>
          </w:tcPr>
          <w:p>
            <w:pPr>
              <w:spacing w:after="0"/>
              <w:rPr>
                <w:sz w:val="13"/>
                <w:szCs w:val="13"/>
                <w:color w:val="auto"/>
              </w:rPr>
            </w:pPr>
          </w:p>
        </w:tc>
        <w:tc>
          <w:tcPr>
            <w:tcW w:w="780" w:type="dxa"/>
            <w:vAlign w:val="bottom"/>
            <w:shd w:val="clear" w:color="auto" w:fill="CCEEFF"/>
          </w:tcPr>
          <w:p>
            <w:pPr>
              <w:jc w:val="center"/>
              <w:spacing w:after="0" w:line="159" w:lineRule="exact"/>
              <w:rPr>
                <w:sz w:val="20"/>
                <w:szCs w:val="20"/>
                <w:color w:val="auto"/>
              </w:rPr>
            </w:pPr>
            <w:r>
              <w:rPr>
                <w:rFonts w:ascii="Arial" w:cs="Arial" w:eastAsia="Arial" w:hAnsi="Arial"/>
                <w:sz w:val="14"/>
                <w:szCs w:val="14"/>
                <w:color w:val="auto"/>
                <w:w w:val="83"/>
              </w:rPr>
              <w:t>Other assets</w:t>
            </w:r>
          </w:p>
        </w:tc>
        <w:tc>
          <w:tcPr>
            <w:tcW w:w="3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640" w:type="dxa"/>
            <w:vAlign w:val="bottom"/>
            <w:gridSpan w:val="2"/>
            <w:shd w:val="clear" w:color="auto" w:fill="CCEEFF"/>
          </w:tcPr>
          <w:p>
            <w:pPr>
              <w:jc w:val="right"/>
              <w:ind w:right="460"/>
              <w:spacing w:after="0" w:line="159" w:lineRule="exact"/>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center"/>
              <w:ind w:right="20"/>
              <w:spacing w:after="0" w:line="159" w:lineRule="exact"/>
              <w:rPr>
                <w:sz w:val="20"/>
                <w:szCs w:val="20"/>
                <w:color w:val="auto"/>
              </w:rPr>
            </w:pPr>
            <w:r>
              <w:rPr>
                <w:rFonts w:ascii="Arial" w:cs="Arial" w:eastAsia="Arial" w:hAnsi="Arial"/>
                <w:sz w:val="14"/>
                <w:szCs w:val="14"/>
                <w:color w:val="auto"/>
                <w:w w:val="94"/>
              </w:rPr>
              <w:t>liabilities</w:t>
            </w:r>
          </w:p>
        </w:tc>
        <w:tc>
          <w:tcPr>
            <w:tcW w:w="3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2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4280" w:type="dxa"/>
            <w:vAlign w:val="bottom"/>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Arial" w:cs="Arial" w:eastAsia="Arial" w:hAnsi="Arial"/>
                <w:sz w:val="14"/>
                <w:szCs w:val="14"/>
                <w:color w:val="auto"/>
                <w:w w:val="83"/>
              </w:rPr>
              <w:t>Reinsurance</w:t>
            </w: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color w:val="auto"/>
                <w:w w:val="89"/>
              </w:rPr>
              <w:t>Policyholder</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20" w:type="dxa"/>
            <w:vAlign w:val="bottom"/>
            <w:gridSpan w:val="3"/>
            <w:vMerge w:val="restart"/>
          </w:tcPr>
          <w:p>
            <w:pPr>
              <w:spacing w:after="0"/>
              <w:rPr>
                <w:sz w:val="20"/>
                <w:szCs w:val="20"/>
                <w:color w:val="auto"/>
              </w:rPr>
            </w:pPr>
            <w:r>
              <w:rPr>
                <w:rFonts w:ascii="Arial" w:cs="Arial" w:eastAsia="Arial" w:hAnsi="Arial"/>
                <w:sz w:val="14"/>
                <w:szCs w:val="14"/>
                <w:color w:val="auto"/>
              </w:rPr>
              <w:t>GMWB embedded derivatives</w:t>
            </w:r>
          </w:p>
        </w:tc>
        <w:tc>
          <w:tcPr>
            <w:tcW w:w="780" w:type="dxa"/>
            <w:vAlign w:val="bottom"/>
          </w:tcPr>
          <w:p>
            <w:pPr>
              <w:ind w:left="60"/>
              <w:spacing w:after="0" w:line="149" w:lineRule="exact"/>
              <w:rPr>
                <w:sz w:val="20"/>
                <w:szCs w:val="20"/>
                <w:color w:val="auto"/>
              </w:rPr>
            </w:pPr>
            <w:r>
              <w:rPr>
                <w:rFonts w:ascii="Arial" w:cs="Arial" w:eastAsia="Arial" w:hAnsi="Arial"/>
                <w:sz w:val="14"/>
                <w:szCs w:val="14"/>
                <w:color w:val="auto"/>
                <w:w w:val="95"/>
              </w:rPr>
              <w:t>recoverable</w:t>
            </w: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vMerge w:val="restart"/>
          </w:tcPr>
          <w:p>
            <w:pPr>
              <w:jc w:val="right"/>
              <w:spacing w:after="0"/>
              <w:rPr>
                <w:sz w:val="20"/>
                <w:szCs w:val="20"/>
                <w:color w:val="auto"/>
              </w:rPr>
            </w:pPr>
            <w:r>
              <w:rPr>
                <w:rFonts w:ascii="Arial" w:cs="Arial" w:eastAsia="Arial" w:hAnsi="Arial"/>
                <w:sz w:val="14"/>
                <w:szCs w:val="14"/>
                <w:color w:val="auto"/>
              </w:rPr>
              <w:t>9</w:t>
            </w:r>
          </w:p>
        </w:tc>
        <w:tc>
          <w:tcPr>
            <w:tcW w:w="3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40" w:type="dxa"/>
            <w:vAlign w:val="bottom"/>
            <w:gridSpan w:val="2"/>
            <w:vMerge w:val="restart"/>
          </w:tcPr>
          <w:p>
            <w:pPr>
              <w:jc w:val="right"/>
              <w:ind w:right="360"/>
              <w:spacing w:after="0"/>
              <w:rPr>
                <w:sz w:val="20"/>
                <w:szCs w:val="20"/>
                <w:color w:val="auto"/>
              </w:rPr>
            </w:pPr>
            <w:r>
              <w:rPr>
                <w:rFonts w:ascii="Arial" w:cs="Arial" w:eastAsia="Arial" w:hAnsi="Arial"/>
                <w:sz w:val="14"/>
                <w:szCs w:val="14"/>
                <w:color w:val="auto"/>
              </w:rPr>
              <w:t>(5)</w:t>
            </w:r>
          </w:p>
        </w:tc>
        <w:tc>
          <w:tcPr>
            <w:tcW w:w="76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85"/>
              </w:rPr>
              <w:t>account</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vMerge w:val="restart"/>
          </w:tcPr>
          <w:p>
            <w:pPr>
              <w:jc w:val="right"/>
              <w:spacing w:after="0"/>
              <w:rPr>
                <w:sz w:val="20"/>
                <w:szCs w:val="20"/>
                <w:color w:val="auto"/>
              </w:rPr>
            </w:pPr>
            <w:r>
              <w:rPr>
                <w:rFonts w:ascii="Arial" w:cs="Arial" w:eastAsia="Arial" w:hAnsi="Arial"/>
                <w:sz w:val="14"/>
                <w:szCs w:val="14"/>
                <w:color w:val="auto"/>
              </w:rPr>
              <w:t>447</w:t>
            </w:r>
          </w:p>
        </w:tc>
        <w:tc>
          <w:tcPr>
            <w:tcW w:w="3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60" w:type="dxa"/>
            <w:vAlign w:val="bottom"/>
            <w:gridSpan w:val="2"/>
            <w:vMerge w:val="restart"/>
          </w:tcPr>
          <w:p>
            <w:pPr>
              <w:jc w:val="right"/>
              <w:ind w:right="20"/>
              <w:spacing w:after="0"/>
              <w:rPr>
                <w:sz w:val="20"/>
                <w:szCs w:val="20"/>
                <w:color w:val="auto"/>
              </w:rPr>
            </w:pPr>
            <w:r>
              <w:rPr>
                <w:rFonts w:ascii="Arial" w:cs="Arial" w:eastAsia="Arial" w:hAnsi="Arial"/>
                <w:sz w:val="14"/>
                <w:szCs w:val="14"/>
                <w:color w:val="auto"/>
                <w:w w:val="94"/>
              </w:rPr>
              <w:t>175</w:t>
            </w:r>
          </w:p>
        </w:tc>
        <w:tc>
          <w:tcPr>
            <w:tcW w:w="0" w:type="dxa"/>
            <w:vAlign w:val="bottom"/>
          </w:tcPr>
          <w:p>
            <w:pPr>
              <w:spacing w:after="0"/>
              <w:rPr>
                <w:sz w:val="1"/>
                <w:szCs w:val="1"/>
                <w:color w:val="auto"/>
              </w:rPr>
            </w:pPr>
          </w:p>
        </w:tc>
      </w:tr>
      <w:tr>
        <w:trPr>
          <w:trHeight w:val="149"/>
        </w:trPr>
        <w:tc>
          <w:tcPr>
            <w:tcW w:w="5620" w:type="dxa"/>
            <w:vAlign w:val="bottom"/>
            <w:gridSpan w:val="3"/>
            <w:vMerge w:val="continue"/>
          </w:tcPr>
          <w:p>
            <w:pPr>
              <w:spacing w:after="0"/>
              <w:rPr>
                <w:sz w:val="12"/>
                <w:szCs w:val="12"/>
                <w:color w:val="auto"/>
              </w:rPr>
            </w:pPr>
          </w:p>
        </w:tc>
        <w:tc>
          <w:tcPr>
            <w:tcW w:w="780" w:type="dxa"/>
            <w:vAlign w:val="bottom"/>
          </w:tcPr>
          <w:p>
            <w:pPr>
              <w:jc w:val="center"/>
              <w:spacing w:after="0"/>
              <w:rPr>
                <w:sz w:val="20"/>
                <w:szCs w:val="20"/>
                <w:color w:val="auto"/>
              </w:rPr>
            </w:pPr>
            <w:r>
              <w:rPr>
                <w:rFonts w:ascii="Arial" w:cs="Arial" w:eastAsia="Arial" w:hAnsi="Arial"/>
                <w:sz w:val="11"/>
                <w:szCs w:val="11"/>
                <w:color w:val="auto"/>
              </w:rPr>
              <w:t>(3)</w:t>
            </w: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40" w:type="dxa"/>
            <w:vAlign w:val="bottom"/>
            <w:gridSpan w:val="2"/>
            <w:vMerge w:val="continue"/>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1"/>
                <w:szCs w:val="11"/>
                <w:color w:val="auto"/>
              </w:rPr>
              <w:t xml:space="preserve">balances </w:t>
            </w:r>
            <w:r>
              <w:rPr>
                <w:rFonts w:ascii="Arial" w:cs="Arial" w:eastAsia="Arial" w:hAnsi="Arial"/>
                <w:sz w:val="17"/>
                <w:szCs w:val="17"/>
                <w:color w:val="auto"/>
                <w:vertAlign w:val="superscript"/>
              </w:rPr>
              <w:t>(4)</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280" w:type="dxa"/>
            <w:vAlign w:val="bottom"/>
          </w:tcPr>
          <w:p>
            <w:pPr>
              <w:spacing w:after="0"/>
              <w:rPr>
                <w:sz w:val="2"/>
                <w:szCs w:val="2"/>
                <w:color w:val="auto"/>
              </w:rPr>
            </w:pPr>
          </w:p>
        </w:tc>
        <w:tc>
          <w:tcPr>
            <w:tcW w:w="78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Total derivatives not designated as hedges</w:t>
            </w:r>
          </w:p>
        </w:tc>
        <w:tc>
          <w:tcPr>
            <w:tcW w:w="7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629</w:t>
            </w:r>
          </w:p>
        </w:tc>
        <w:tc>
          <w:tcPr>
            <w:tcW w:w="3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w w:val="94"/>
              </w:rPr>
              <w:t>612</w:t>
            </w:r>
          </w:p>
        </w:tc>
        <w:tc>
          <w:tcPr>
            <w:tcW w:w="7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697</w:t>
            </w:r>
          </w:p>
        </w:tc>
        <w:tc>
          <w:tcPr>
            <w:tcW w:w="3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306</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00" w:type="dxa"/>
            <w:vAlign w:val="bottom"/>
            <w:gridSpan w:val="2"/>
            <w:vMerge w:val="restart"/>
          </w:tcPr>
          <w:p>
            <w:pPr>
              <w:ind w:left="420"/>
              <w:spacing w:after="0"/>
              <w:rPr>
                <w:sz w:val="20"/>
                <w:szCs w:val="20"/>
                <w:color w:val="auto"/>
              </w:rPr>
            </w:pPr>
            <w:r>
              <w:rPr>
                <w:rFonts w:ascii="Arial" w:cs="Arial" w:eastAsia="Arial" w:hAnsi="Arial"/>
                <w:sz w:val="14"/>
                <w:szCs w:val="14"/>
                <w:color w:val="auto"/>
              </w:rPr>
              <w:t>Total derivatives</w:t>
            </w:r>
          </w:p>
        </w:tc>
        <w:tc>
          <w:tcPr>
            <w:tcW w:w="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20" w:type="dxa"/>
            <w:vAlign w:val="bottom"/>
          </w:tcPr>
          <w:p>
            <w:pPr>
              <w:spacing w:after="0"/>
              <w:rPr>
                <w:sz w:val="13"/>
                <w:szCs w:val="13"/>
                <w:color w:val="auto"/>
              </w:rPr>
            </w:pPr>
          </w:p>
        </w:tc>
        <w:tc>
          <w:tcPr>
            <w:tcW w:w="5600" w:type="dxa"/>
            <w:vAlign w:val="bottom"/>
            <w:gridSpan w:val="2"/>
            <w:vMerge w:val="continue"/>
          </w:tcPr>
          <w:p>
            <w:pPr>
              <w:spacing w:after="0"/>
              <w:rPr>
                <w:sz w:val="13"/>
                <w:szCs w:val="13"/>
                <w:color w:val="auto"/>
              </w:rPr>
            </w:pPr>
          </w:p>
        </w:tc>
        <w:tc>
          <w:tcPr>
            <w:tcW w:w="780" w:type="dxa"/>
            <w:vAlign w:val="bottom"/>
          </w:tcPr>
          <w:p>
            <w:pPr>
              <w:spacing w:after="0"/>
              <w:rPr>
                <w:sz w:val="13"/>
                <w:szCs w:val="13"/>
                <w:color w:val="auto"/>
              </w:rPr>
            </w:pPr>
          </w:p>
        </w:tc>
        <w:tc>
          <w:tcPr>
            <w:tcW w:w="420" w:type="dxa"/>
            <w:vAlign w:val="bottom"/>
            <w:gridSpan w:val="2"/>
          </w:tcPr>
          <w:p>
            <w:pPr>
              <w:ind w:left="340"/>
              <w:spacing w:after="0" w:line="155" w:lineRule="exact"/>
              <w:rPr>
                <w:sz w:val="20"/>
                <w:szCs w:val="20"/>
                <w:color w:val="auto"/>
              </w:rPr>
            </w:pPr>
            <w:r>
              <w:rPr>
                <w:rFonts w:ascii="Arial" w:cs="Arial" w:eastAsia="Arial" w:hAnsi="Arial"/>
                <w:sz w:val="14"/>
                <w:szCs w:val="14"/>
                <w:color w:val="auto"/>
                <w:w w:val="76"/>
              </w:rPr>
              <w:t>$</w:t>
            </w:r>
          </w:p>
        </w:tc>
        <w:tc>
          <w:tcPr>
            <w:tcW w:w="400" w:type="dxa"/>
            <w:vAlign w:val="bottom"/>
          </w:tcPr>
          <w:p>
            <w:pPr>
              <w:jc w:val="right"/>
              <w:spacing w:after="0" w:line="155" w:lineRule="exact"/>
              <w:rPr>
                <w:sz w:val="20"/>
                <w:szCs w:val="20"/>
                <w:color w:val="auto"/>
              </w:rPr>
            </w:pPr>
            <w:r>
              <w:rPr>
                <w:rFonts w:ascii="Arial" w:cs="Arial" w:eastAsia="Arial" w:hAnsi="Arial"/>
                <w:sz w:val="14"/>
                <w:szCs w:val="14"/>
                <w:color w:val="auto"/>
              </w:rPr>
              <w:t>1,454</w:t>
            </w:r>
          </w:p>
        </w:tc>
        <w:tc>
          <w:tcPr>
            <w:tcW w:w="880" w:type="dxa"/>
            <w:vAlign w:val="bottom"/>
            <w:gridSpan w:val="2"/>
          </w:tcPr>
          <w:p>
            <w:pPr>
              <w:ind w:left="320"/>
              <w:spacing w:after="0" w:line="155" w:lineRule="exact"/>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400"/>
              <w:spacing w:after="0" w:line="155" w:lineRule="exact"/>
              <w:rPr>
                <w:sz w:val="20"/>
                <w:szCs w:val="20"/>
                <w:color w:val="auto"/>
              </w:rPr>
            </w:pPr>
            <w:r>
              <w:rPr>
                <w:rFonts w:ascii="Arial" w:cs="Arial" w:eastAsia="Arial" w:hAnsi="Arial"/>
                <w:sz w:val="14"/>
                <w:szCs w:val="14"/>
                <w:color w:val="auto"/>
                <w:w w:val="94"/>
              </w:rPr>
              <w:t>941</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gridSpan w:val="2"/>
          </w:tcPr>
          <w:p>
            <w:pPr>
              <w:ind w:left="320"/>
              <w:spacing w:after="0" w:line="155" w:lineRule="exact"/>
              <w:rPr>
                <w:sz w:val="20"/>
                <w:szCs w:val="20"/>
                <w:color w:val="auto"/>
              </w:rPr>
            </w:pPr>
            <w:r>
              <w:rPr>
                <w:rFonts w:ascii="Arial" w:cs="Arial" w:eastAsia="Arial" w:hAnsi="Arial"/>
                <w:sz w:val="14"/>
                <w:szCs w:val="14"/>
                <w:color w:val="auto"/>
                <w:w w:val="76"/>
              </w:rPr>
              <w:t>$</w:t>
            </w:r>
          </w:p>
        </w:tc>
        <w:tc>
          <w:tcPr>
            <w:tcW w:w="400" w:type="dxa"/>
            <w:vAlign w:val="bottom"/>
          </w:tcPr>
          <w:p>
            <w:pPr>
              <w:jc w:val="right"/>
              <w:spacing w:after="0" w:line="155" w:lineRule="exact"/>
              <w:rPr>
                <w:sz w:val="20"/>
                <w:szCs w:val="20"/>
                <w:color w:val="auto"/>
              </w:rPr>
            </w:pPr>
            <w:r>
              <w:rPr>
                <w:rFonts w:ascii="Arial" w:cs="Arial" w:eastAsia="Arial" w:hAnsi="Arial"/>
                <w:sz w:val="14"/>
                <w:szCs w:val="14"/>
                <w:color w:val="auto"/>
              </w:rPr>
              <w:t>739</w:t>
            </w:r>
          </w:p>
        </w:tc>
        <w:tc>
          <w:tcPr>
            <w:tcW w:w="880" w:type="dxa"/>
            <w:vAlign w:val="bottom"/>
            <w:gridSpan w:val="2"/>
          </w:tcPr>
          <w:p>
            <w:pPr>
              <w:ind w:left="320"/>
              <w:spacing w:after="0" w:line="155" w:lineRule="exact"/>
              <w:rPr>
                <w:sz w:val="20"/>
                <w:szCs w:val="20"/>
                <w:color w:val="auto"/>
              </w:rPr>
            </w:pPr>
            <w:r>
              <w:rPr>
                <w:rFonts w:ascii="Arial" w:cs="Arial" w:eastAsia="Arial" w:hAnsi="Arial"/>
                <w:sz w:val="14"/>
                <w:szCs w:val="14"/>
                <w:color w:val="auto"/>
              </w:rPr>
              <w:t>$</w:t>
            </w:r>
          </w:p>
        </w:tc>
        <w:tc>
          <w:tcPr>
            <w:tcW w:w="260" w:type="dxa"/>
            <w:vAlign w:val="bottom"/>
            <w:gridSpan w:val="2"/>
          </w:tcPr>
          <w:p>
            <w:pPr>
              <w:jc w:val="right"/>
              <w:ind w:right="20"/>
              <w:spacing w:after="0" w:line="155" w:lineRule="exact"/>
              <w:rPr>
                <w:sz w:val="20"/>
                <w:szCs w:val="20"/>
                <w:color w:val="auto"/>
              </w:rPr>
            </w:pPr>
            <w:r>
              <w:rPr>
                <w:rFonts w:ascii="Arial" w:cs="Arial" w:eastAsia="Arial" w:hAnsi="Arial"/>
                <w:sz w:val="14"/>
                <w:szCs w:val="14"/>
                <w:color w:val="auto"/>
                <w:w w:val="94"/>
              </w:rPr>
              <w:t>456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59" w:lineRule="exact"/>
        <w:rPr>
          <w:sz w:val="20"/>
          <w:szCs w:val="20"/>
          <w:color w:val="auto"/>
        </w:rPr>
      </w:pPr>
    </w:p>
    <w:p>
      <w:pPr>
        <w:ind w:left="340" w:hanging="332"/>
        <w:spacing w:after="0"/>
        <w:tabs>
          <w:tab w:leader="none" w:pos="340" w:val="left"/>
        </w:tabs>
        <w:numPr>
          <w:ilvl w:val="0"/>
          <w:numId w:val="15"/>
        </w:numPr>
        <w:rPr>
          <w:rFonts w:ascii="Arial" w:cs="Arial" w:eastAsia="Arial" w:hAnsi="Arial"/>
          <w:sz w:val="22"/>
          <w:szCs w:val="22"/>
          <w:color w:val="auto"/>
          <w:vertAlign w:val="superscript"/>
        </w:rPr>
      </w:pPr>
      <w:r>
        <w:rPr>
          <w:rFonts w:ascii="Arial" w:cs="Arial" w:eastAsia="Arial" w:hAnsi="Arial"/>
          <w:sz w:val="14"/>
          <w:szCs w:val="14"/>
          <w:color w:val="auto"/>
        </w:rPr>
        <w:t>See note 7 for additional information related to consolidated securitization entities.</w:t>
      </w:r>
    </w:p>
    <w:p>
      <w:pPr>
        <w:ind w:left="340" w:hanging="332"/>
        <w:spacing w:after="0" w:line="182" w:lineRule="auto"/>
        <w:tabs>
          <w:tab w:leader="none" w:pos="340" w:val="left"/>
        </w:tabs>
        <w:numPr>
          <w:ilvl w:val="0"/>
          <w:numId w:val="15"/>
        </w:numPr>
        <w:rPr>
          <w:rFonts w:ascii="Arial" w:cs="Arial" w:eastAsia="Arial" w:hAnsi="Arial"/>
          <w:sz w:val="17"/>
          <w:szCs w:val="17"/>
          <w:color w:val="auto"/>
          <w:vertAlign w:val="superscript"/>
        </w:rPr>
      </w:pPr>
      <w:r>
        <w:rPr>
          <w:rFonts w:ascii="Arial" w:cs="Arial" w:eastAsia="Arial" w:hAnsi="Arial"/>
          <w:sz w:val="11"/>
          <w:szCs w:val="11"/>
          <w:color w:val="auto"/>
        </w:rPr>
        <w:t>Represents embedded derivatives associated with certain reinsurance agreements.</w:t>
      </w:r>
    </w:p>
    <w:p>
      <w:pPr>
        <w:ind w:left="340" w:hanging="332"/>
        <w:spacing w:after="0" w:line="182" w:lineRule="auto"/>
        <w:tabs>
          <w:tab w:leader="none" w:pos="340" w:val="left"/>
        </w:tabs>
        <w:numPr>
          <w:ilvl w:val="0"/>
          <w:numId w:val="15"/>
        </w:numPr>
        <w:rPr>
          <w:rFonts w:ascii="Arial" w:cs="Arial" w:eastAsia="Arial" w:hAnsi="Arial"/>
          <w:sz w:val="17"/>
          <w:szCs w:val="17"/>
          <w:color w:val="auto"/>
          <w:vertAlign w:val="superscript"/>
        </w:rPr>
      </w:pPr>
      <w:r>
        <w:rPr>
          <w:rFonts w:ascii="Arial" w:cs="Arial" w:eastAsia="Arial" w:hAnsi="Arial"/>
          <w:sz w:val="11"/>
          <w:szCs w:val="11"/>
          <w:color w:val="auto"/>
        </w:rPr>
        <w:t>Represents embedded derivatives associated with the reinsured portion of our guaranteed minimum withdrawal benefits (“GMWB”) liabilities.</w:t>
      </w:r>
    </w:p>
    <w:p>
      <w:pPr>
        <w:ind w:left="340" w:hanging="332"/>
        <w:spacing w:after="0" w:line="185" w:lineRule="auto"/>
        <w:tabs>
          <w:tab w:leader="none" w:pos="340" w:val="left"/>
        </w:tabs>
        <w:numPr>
          <w:ilvl w:val="0"/>
          <w:numId w:val="15"/>
        </w:numPr>
        <w:rPr>
          <w:rFonts w:ascii="Arial" w:cs="Arial" w:eastAsia="Arial" w:hAnsi="Arial"/>
          <w:sz w:val="18"/>
          <w:szCs w:val="18"/>
          <w:color w:val="auto"/>
          <w:vertAlign w:val="superscript"/>
        </w:rPr>
      </w:pPr>
      <w:r>
        <w:rPr>
          <w:rFonts w:ascii="Arial" w:cs="Arial" w:eastAsia="Arial" w:hAnsi="Arial"/>
          <w:sz w:val="12"/>
          <w:szCs w:val="12"/>
          <w:color w:val="auto"/>
        </w:rPr>
        <w:t>Represents the embedded derivatives associated with our GMWB liabilities, excluding the impact of reinsurance.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-410210</wp:posOffset>
            </wp:positionV>
            <wp:extent cx="72898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45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The fair value of derivative positions presented above was not offset by the respective collateral amounts retained or provided under these agreements. The amounts recognized for derivative counterparty collateral retained by us was recorded in other invested assets with a corresponding amount recorded in other liabilities to represent our obligation to return the collateral retained by us.</w:t>
      </w:r>
    </w:p>
    <w:p>
      <w:pPr>
        <w:spacing w:after="0" w:line="140" w:lineRule="exact"/>
        <w:rPr>
          <w:sz w:val="20"/>
          <w:szCs w:val="20"/>
          <w:color w:val="auto"/>
        </w:rPr>
      </w:pPr>
    </w:p>
    <w:p>
      <w:pPr>
        <w:jc w:val="both"/>
        <w:ind w:right="240" w:firstLine="456"/>
        <w:spacing w:after="0" w:line="259" w:lineRule="auto"/>
        <w:rPr>
          <w:sz w:val="20"/>
          <w:szCs w:val="20"/>
          <w:color w:val="auto"/>
        </w:rPr>
      </w:pPr>
      <w:r>
        <w:rPr>
          <w:rFonts w:ascii="Arial" w:cs="Arial" w:eastAsia="Arial" w:hAnsi="Arial"/>
          <w:sz w:val="18"/>
          <w:szCs w:val="18"/>
          <w:color w:val="auto"/>
        </w:rPr>
        <w:t>The activity associated with derivative instruments can generally be measured by the change in notional value over the periods presented. However, for GMWB embedded derivatives, the change between periods is best illustrated by the number of policies. The following tables represent activity associated with derivative instruments as of the dates indicated:</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40" w:type="dxa"/>
            <w:vAlign w:val="bottom"/>
            <w:gridSpan w:val="3"/>
          </w:tcPr>
          <w:p>
            <w:pPr>
              <w:jc w:val="right"/>
              <w:ind w:right="740"/>
              <w:spacing w:after="0"/>
              <w:rPr>
                <w:sz w:val="20"/>
                <w:szCs w:val="20"/>
                <w:color w:val="auto"/>
              </w:rPr>
            </w:pPr>
            <w:r>
              <w:rPr>
                <w:rFonts w:ascii="Arial" w:cs="Arial" w:eastAsia="Arial" w:hAnsi="Arial"/>
                <w:sz w:val="14"/>
                <w:szCs w:val="14"/>
                <w:b w:val="1"/>
                <w:bCs w:val="1"/>
                <w:color w:val="auto"/>
                <w:w w:val="97"/>
              </w:rPr>
              <w:t>Maturities/</w:t>
            </w: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4960" w:type="dxa"/>
            <w:vAlign w:val="bottom"/>
            <w:gridSpan w:val="3"/>
          </w:tcPr>
          <w:p>
            <w:pPr>
              <w:spacing w:after="0"/>
              <w:rPr>
                <w:sz w:val="20"/>
                <w:szCs w:val="20"/>
                <w:color w:val="auto"/>
              </w:rPr>
            </w:pPr>
            <w:r>
              <w:rPr>
                <w:rFonts w:ascii="Arial" w:cs="Arial" w:eastAsia="Arial" w:hAnsi="Arial"/>
                <w:sz w:val="14"/>
                <w:szCs w:val="14"/>
                <w:b w:val="1"/>
                <w:bCs w:val="1"/>
                <w:color w:val="auto"/>
              </w:rPr>
              <w:t>(Notional in millions)</w:t>
            </w:r>
          </w:p>
        </w:tc>
        <w:tc>
          <w:tcPr>
            <w:tcW w:w="740" w:type="dxa"/>
            <w:vAlign w:val="bottom"/>
          </w:tcPr>
          <w:p>
            <w:pPr>
              <w:jc w:val="center"/>
              <w:spacing w:after="0"/>
              <w:rPr>
                <w:sz w:val="20"/>
                <w:szCs w:val="20"/>
                <w:color w:val="auto"/>
              </w:rPr>
            </w:pPr>
            <w:r>
              <w:rPr>
                <w:rFonts w:ascii="Arial" w:cs="Arial" w:eastAsia="Arial" w:hAnsi="Arial"/>
                <w:sz w:val="14"/>
                <w:szCs w:val="14"/>
                <w:b w:val="1"/>
                <w:bCs w:val="1"/>
                <w:color w:val="auto"/>
                <w:w w:val="86"/>
              </w:rPr>
              <w:t>Measurement</w:t>
            </w:r>
          </w:p>
        </w:tc>
        <w:tc>
          <w:tcPr>
            <w:tcW w:w="620" w:type="dxa"/>
            <w:vAlign w:val="bottom"/>
          </w:tcPr>
          <w:p>
            <w:pPr>
              <w:spacing w:after="0"/>
              <w:rPr>
                <w:sz w:val="14"/>
                <w:szCs w:val="14"/>
                <w:color w:val="auto"/>
              </w:rPr>
            </w:pPr>
          </w:p>
        </w:tc>
        <w:tc>
          <w:tcPr>
            <w:tcW w:w="1080" w:type="dxa"/>
            <w:vAlign w:val="bottom"/>
            <w:gridSpan w:val="2"/>
          </w:tcPr>
          <w:p>
            <w:pPr>
              <w:ind w:left="20"/>
              <w:spacing w:after="0"/>
              <w:rPr>
                <w:sz w:val="20"/>
                <w:szCs w:val="20"/>
                <w:color w:val="auto"/>
              </w:rPr>
            </w:pPr>
            <w:r>
              <w:rPr>
                <w:rFonts w:ascii="Arial" w:cs="Arial" w:eastAsia="Arial" w:hAnsi="Arial"/>
                <w:sz w:val="14"/>
                <w:szCs w:val="14"/>
                <w:b w:val="1"/>
                <w:bCs w:val="1"/>
                <w:color w:val="auto"/>
                <w:w w:val="80"/>
              </w:rPr>
              <w:t>December 31, 2009</w:t>
            </w:r>
          </w:p>
        </w:tc>
        <w:tc>
          <w:tcPr>
            <w:tcW w:w="620" w:type="dxa"/>
            <w:vAlign w:val="bottom"/>
          </w:tcPr>
          <w:p>
            <w:pPr>
              <w:spacing w:after="0"/>
              <w:rPr>
                <w:sz w:val="14"/>
                <w:szCs w:val="14"/>
                <w:color w:val="auto"/>
              </w:rPr>
            </w:pPr>
          </w:p>
        </w:tc>
        <w:tc>
          <w:tcPr>
            <w:tcW w:w="540" w:type="dxa"/>
            <w:vAlign w:val="bottom"/>
            <w:gridSpan w:val="2"/>
          </w:tcPr>
          <w:p>
            <w:pPr>
              <w:spacing w:after="0"/>
              <w:rPr>
                <w:sz w:val="20"/>
                <w:szCs w:val="20"/>
                <w:color w:val="auto"/>
              </w:rPr>
            </w:pPr>
            <w:r>
              <w:rPr>
                <w:rFonts w:ascii="Arial" w:cs="Arial" w:eastAsia="Arial" w:hAnsi="Arial"/>
                <w:sz w:val="14"/>
                <w:szCs w:val="14"/>
                <w:b w:val="1"/>
                <w:bCs w:val="1"/>
                <w:color w:val="auto"/>
                <w:w w:val="77"/>
              </w:rPr>
              <w:t>Additions</w:t>
            </w:r>
          </w:p>
        </w:tc>
        <w:tc>
          <w:tcPr>
            <w:tcW w:w="620" w:type="dxa"/>
            <w:vAlign w:val="bottom"/>
          </w:tcPr>
          <w:p>
            <w:pPr>
              <w:spacing w:after="0"/>
              <w:rPr>
                <w:sz w:val="14"/>
                <w:szCs w:val="14"/>
                <w:color w:val="auto"/>
              </w:rPr>
            </w:pPr>
          </w:p>
        </w:tc>
        <w:tc>
          <w:tcPr>
            <w:tcW w:w="1440" w:type="dxa"/>
            <w:vAlign w:val="bottom"/>
            <w:gridSpan w:val="3"/>
          </w:tcPr>
          <w:p>
            <w:pPr>
              <w:spacing w:after="0"/>
              <w:rPr>
                <w:sz w:val="20"/>
                <w:szCs w:val="20"/>
                <w:color w:val="auto"/>
              </w:rPr>
            </w:pPr>
            <w:r>
              <w:rPr>
                <w:rFonts w:ascii="Arial" w:cs="Arial" w:eastAsia="Arial" w:hAnsi="Arial"/>
                <w:sz w:val="14"/>
                <w:szCs w:val="14"/>
                <w:b w:val="1"/>
                <w:bCs w:val="1"/>
                <w:color w:val="auto"/>
              </w:rPr>
              <w:t>terminations</w:t>
            </w:r>
          </w:p>
        </w:tc>
        <w:tc>
          <w:tcPr>
            <w:tcW w:w="820" w:type="dxa"/>
            <w:vAlign w:val="bottom"/>
            <w:gridSpan w:val="3"/>
          </w:tcPr>
          <w:p>
            <w:pPr>
              <w:spacing w:after="0"/>
              <w:rPr>
                <w:sz w:val="20"/>
                <w:szCs w:val="20"/>
                <w:color w:val="auto"/>
              </w:rPr>
            </w:pPr>
            <w:r>
              <w:rPr>
                <w:rFonts w:ascii="Arial" w:cs="Arial" w:eastAsia="Arial" w:hAnsi="Arial"/>
                <w:sz w:val="14"/>
                <w:szCs w:val="14"/>
                <w:b w:val="1"/>
                <w:bCs w:val="1"/>
                <w:color w:val="auto"/>
                <w:w w:val="87"/>
              </w:rPr>
              <w:t>June 30, 2010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3700" w:type="dxa"/>
            <w:vAlign w:val="bottom"/>
            <w:tcBorders>
              <w:left w:val="single" w:sz="8" w:color="auto"/>
            </w:tcBorders>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20" w:type="dxa"/>
            <w:vAlign w:val="bottom"/>
            <w:tcBorders>
              <w:left w:val="single" w:sz="8" w:color="auto"/>
            </w:tcBorders>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20" w:type="dxa"/>
            <w:vAlign w:val="bottom"/>
            <w:tcBorders>
              <w:lef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20" w:type="dxa"/>
            <w:vAlign w:val="bottom"/>
            <w:tcBorders>
              <w:left w:val="single" w:sz="8" w:color="auto"/>
            </w:tcBorders>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Derivatives designated as hedges</w:t>
            </w:r>
          </w:p>
        </w:tc>
        <w:tc>
          <w:tcPr>
            <w:tcW w:w="740" w:type="dxa"/>
            <w:vAlign w:val="bottom"/>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2"/>
          </w:tcPr>
          <w:p>
            <w:pPr>
              <w:spacing w:after="0"/>
              <w:rPr>
                <w:sz w:val="20"/>
                <w:szCs w:val="20"/>
                <w:color w:val="auto"/>
              </w:rPr>
            </w:pPr>
            <w:r>
              <w:rPr>
                <w:rFonts w:ascii="Arial" w:cs="Arial" w:eastAsia="Arial" w:hAnsi="Arial"/>
                <w:sz w:val="18"/>
                <w:szCs w:val="18"/>
                <w:color w:val="auto"/>
              </w:rPr>
              <w:t>Cash flow hedges:</w:t>
            </w:r>
          </w:p>
        </w:tc>
        <w:tc>
          <w:tcPr>
            <w:tcW w:w="7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rPr>
              <w:t>Interest rate swaps</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Notional</w:t>
            </w:r>
          </w:p>
        </w:tc>
        <w:tc>
          <w:tcPr>
            <w:tcW w:w="960" w:type="dxa"/>
            <w:vAlign w:val="bottom"/>
            <w:tcBorders>
              <w:left w:val="single" w:sz="8" w:color="CCEEFF"/>
            </w:tcBorders>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9,479</w:t>
            </w:r>
          </w:p>
        </w:tc>
        <w:tc>
          <w:tcPr>
            <w:tcW w:w="740" w:type="dxa"/>
            <w:vAlign w:val="bottom"/>
            <w:tcBorders>
              <w:left w:val="single" w:sz="8" w:color="CCEEFF"/>
            </w:tcBorders>
            <w:gridSpan w:val="2"/>
            <w:shd w:val="clear" w:color="auto" w:fill="CCEEFF"/>
          </w:tcPr>
          <w:p>
            <w:pPr>
              <w:ind w:left="620"/>
              <w:spacing w:after="0"/>
              <w:rPr>
                <w:sz w:val="20"/>
                <w:szCs w:val="20"/>
                <w:color w:val="auto"/>
              </w:rPr>
            </w:pPr>
            <w:r>
              <w:rPr>
                <w:rFonts w:ascii="Arial" w:cs="Arial" w:eastAsia="Arial" w:hAnsi="Arial"/>
                <w:sz w:val="18"/>
                <w:szCs w:val="18"/>
                <w:color w:val="auto"/>
                <w:w w:val="99"/>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1,382</w:t>
            </w:r>
          </w:p>
        </w:tc>
        <w:tc>
          <w:tcPr>
            <w:tcW w:w="760" w:type="dxa"/>
            <w:vAlign w:val="bottom"/>
            <w:tcBorders>
              <w:left w:val="single" w:sz="8" w:color="CCEEFF"/>
            </w:tcBorders>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(206)</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2"/>
          </w:tcPr>
          <w:p>
            <w:pPr>
              <w:ind w:left="420"/>
              <w:spacing w:after="0"/>
              <w:rPr>
                <w:sz w:val="20"/>
                <w:szCs w:val="20"/>
                <w:color w:val="auto"/>
              </w:rPr>
            </w:pPr>
            <w:r>
              <w:rPr>
                <w:rFonts w:ascii="Arial" w:cs="Arial" w:eastAsia="Arial" w:hAnsi="Arial"/>
                <w:sz w:val="18"/>
                <w:szCs w:val="18"/>
                <w:color w:val="auto"/>
              </w:rPr>
              <w:t>Inflation indexed swaps</w:t>
            </w:r>
          </w:p>
        </w:tc>
        <w:tc>
          <w:tcPr>
            <w:tcW w:w="740" w:type="dxa"/>
            <w:vAlign w:val="bottom"/>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376</w:t>
            </w: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157</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(6)</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rPr>
              <w:t>Foreign currency swaps</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491</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940" w:type="dxa"/>
            <w:vAlign w:val="bottom"/>
            <w:gridSpan w:val="2"/>
          </w:tcPr>
          <w:p>
            <w:pPr>
              <w:ind w:left="420"/>
              <w:spacing w:after="0"/>
              <w:rPr>
                <w:sz w:val="20"/>
                <w:szCs w:val="20"/>
                <w:color w:val="auto"/>
              </w:rPr>
            </w:pPr>
            <w:r>
              <w:rPr>
                <w:rFonts w:ascii="Arial" w:cs="Arial" w:eastAsia="Arial" w:hAnsi="Arial"/>
                <w:sz w:val="18"/>
                <w:szCs w:val="18"/>
                <w:color w:val="auto"/>
              </w:rPr>
              <w:t>Total cash flow hedges</w:t>
            </w:r>
          </w:p>
        </w:tc>
        <w:tc>
          <w:tcPr>
            <w:tcW w:w="7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10,346</w:t>
            </w:r>
          </w:p>
        </w:tc>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93"/>
              </w:rPr>
              <w:t>1,539</w:t>
            </w:r>
          </w:p>
        </w:tc>
        <w:tc>
          <w:tcPr>
            <w:tcW w:w="6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(212)</w:t>
            </w:r>
          </w:p>
        </w:tc>
        <w:tc>
          <w:tcPr>
            <w:tcW w:w="200" w:type="dxa"/>
            <w:vAlign w:val="bottom"/>
          </w:tcPr>
          <w:p>
            <w:pPr>
              <w:spacing w:after="0"/>
              <w:rPr>
                <w:sz w:val="20"/>
                <w:szCs w:val="20"/>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11,673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Fair value hedges:</w:t>
            </w:r>
          </w:p>
        </w:tc>
        <w:tc>
          <w:tcPr>
            <w:tcW w:w="740" w:type="dxa"/>
            <w:vAlign w:val="bottom"/>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2"/>
          </w:tcPr>
          <w:p>
            <w:pPr>
              <w:ind w:left="420"/>
              <w:spacing w:after="0"/>
              <w:rPr>
                <w:sz w:val="20"/>
                <w:szCs w:val="20"/>
                <w:color w:val="auto"/>
              </w:rPr>
            </w:pPr>
            <w:r>
              <w:rPr>
                <w:rFonts w:ascii="Arial" w:cs="Arial" w:eastAsia="Arial" w:hAnsi="Arial"/>
                <w:sz w:val="18"/>
                <w:szCs w:val="18"/>
                <w:color w:val="auto"/>
              </w:rPr>
              <w:t>Interest rate swaps</w:t>
            </w:r>
          </w:p>
        </w:tc>
        <w:tc>
          <w:tcPr>
            <w:tcW w:w="740" w:type="dxa"/>
            <w:vAlign w:val="bottom"/>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2,366</w:t>
            </w: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ind w:left="18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(139)</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2,227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rPr>
              <w:t>Foreign currency swaps</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940" w:type="dxa"/>
            <w:vAlign w:val="bottom"/>
            <w:gridSpan w:val="2"/>
          </w:tcPr>
          <w:p>
            <w:pPr>
              <w:ind w:left="420"/>
              <w:spacing w:after="0"/>
              <w:rPr>
                <w:sz w:val="20"/>
                <w:szCs w:val="20"/>
                <w:color w:val="auto"/>
              </w:rPr>
            </w:pPr>
            <w:r>
              <w:rPr>
                <w:rFonts w:ascii="Arial" w:cs="Arial" w:eastAsia="Arial" w:hAnsi="Arial"/>
                <w:sz w:val="18"/>
                <w:szCs w:val="18"/>
                <w:color w:val="auto"/>
              </w:rPr>
              <w:t>Total fair value hedges</w:t>
            </w:r>
          </w:p>
        </w:tc>
        <w:tc>
          <w:tcPr>
            <w:tcW w:w="7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2,451</w:t>
            </w: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ind w:left="18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(139)</w:t>
            </w:r>
          </w:p>
        </w:tc>
        <w:tc>
          <w:tcPr>
            <w:tcW w:w="200" w:type="dxa"/>
            <w:vAlign w:val="bottom"/>
          </w:tcPr>
          <w:p>
            <w:pPr>
              <w:spacing w:after="0"/>
              <w:rPr>
                <w:sz w:val="19"/>
                <w:szCs w:val="19"/>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2,312</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700" w:type="dxa"/>
            <w:vAlign w:val="bottom"/>
          </w:tcPr>
          <w:p>
            <w:pPr>
              <w:spacing w:after="0"/>
              <w:rPr>
                <w:sz w:val="2"/>
                <w:szCs w:val="2"/>
                <w:color w:val="auto"/>
              </w:rPr>
            </w:pPr>
          </w:p>
        </w:tc>
        <w:tc>
          <w:tcPr>
            <w:tcW w:w="740" w:type="dxa"/>
            <w:vAlign w:val="bottom"/>
          </w:tcPr>
          <w:p>
            <w:pPr>
              <w:spacing w:after="0"/>
              <w:rPr>
                <w:sz w:val="2"/>
                <w:szCs w:val="2"/>
                <w:color w:val="auto"/>
              </w:rPr>
            </w:pPr>
          </w:p>
        </w:tc>
        <w:tc>
          <w:tcPr>
            <w:tcW w:w="62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620" w:type="dxa"/>
            <w:vAlign w:val="bottom"/>
            <w:tcBorders>
              <w:left w:val="single" w:sz="8" w:color="auto"/>
            </w:tcBorders>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20" w:type="dxa"/>
            <w:vAlign w:val="bottom"/>
            <w:tcBorders>
              <w:left w:val="single" w:sz="8" w:color="auto"/>
            </w:tcBorders>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7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rPr>
              <w:t>Total derivatives designated as hedges</w:t>
            </w:r>
          </w:p>
        </w:tc>
        <w:tc>
          <w:tcPr>
            <w:tcW w:w="740" w:type="dxa"/>
            <w:vAlign w:val="bottom"/>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12,797</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1,539</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(351)</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13,985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4960" w:type="dxa"/>
            <w:vAlign w:val="bottom"/>
            <w:gridSpan w:val="3"/>
          </w:tcPr>
          <w:p>
            <w:pPr>
              <w:spacing w:after="0"/>
              <w:rPr>
                <w:sz w:val="20"/>
                <w:szCs w:val="20"/>
                <w:color w:val="auto"/>
              </w:rPr>
            </w:pPr>
            <w:r>
              <w:rPr>
                <w:rFonts w:ascii="Arial" w:cs="Arial" w:eastAsia="Arial" w:hAnsi="Arial"/>
                <w:sz w:val="18"/>
                <w:szCs w:val="18"/>
                <w:b w:val="1"/>
                <w:bCs w:val="1"/>
                <w:color w:val="auto"/>
              </w:rPr>
              <w:t>Derivatives not designated as hedges</w:t>
            </w:r>
          </w:p>
        </w:tc>
        <w:tc>
          <w:tcPr>
            <w:tcW w:w="7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6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7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Interest rate swaps</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6,474</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2,345</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(577)</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2"/>
          </w:tcPr>
          <w:p>
            <w:pPr>
              <w:spacing w:after="0"/>
              <w:rPr>
                <w:sz w:val="20"/>
                <w:szCs w:val="20"/>
                <w:color w:val="auto"/>
              </w:rPr>
            </w:pPr>
            <w:r>
              <w:rPr>
                <w:rFonts w:ascii="Arial" w:cs="Arial" w:eastAsia="Arial" w:hAnsi="Arial"/>
                <w:sz w:val="18"/>
                <w:szCs w:val="18"/>
                <w:color w:val="auto"/>
              </w:rPr>
              <w:t>Interest rate swaps related to securitization entities</w:t>
            </w:r>
          </w:p>
        </w:tc>
        <w:tc>
          <w:tcPr>
            <w:tcW w:w="740" w:type="dxa"/>
            <w:vAlign w:val="bottom"/>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ind w:left="50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138</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Interest rate swaptions</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5,100</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(5,100)</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2"/>
          </w:tcPr>
          <w:p>
            <w:pPr>
              <w:spacing w:after="0"/>
              <w:rPr>
                <w:sz w:val="20"/>
                <w:szCs w:val="20"/>
                <w:color w:val="auto"/>
              </w:rPr>
            </w:pPr>
            <w:r>
              <w:rPr>
                <w:rFonts w:ascii="Arial" w:cs="Arial" w:eastAsia="Arial" w:hAnsi="Arial"/>
                <w:sz w:val="18"/>
                <w:szCs w:val="18"/>
                <w:color w:val="auto"/>
              </w:rPr>
              <w:t>Credit default swaps</w:t>
            </w:r>
          </w:p>
        </w:tc>
        <w:tc>
          <w:tcPr>
            <w:tcW w:w="740" w:type="dxa"/>
            <w:vAlign w:val="bottom"/>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1,090</w:t>
            </w: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50</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Credit default swaps related to securitization entities</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2"/>
          </w:tcPr>
          <w:p>
            <w:pPr>
              <w:spacing w:after="0"/>
              <w:rPr>
                <w:sz w:val="20"/>
                <w:szCs w:val="20"/>
                <w:color w:val="auto"/>
              </w:rPr>
            </w:pPr>
            <w:r>
              <w:rPr>
                <w:rFonts w:ascii="Arial" w:cs="Arial" w:eastAsia="Arial" w:hAnsi="Arial"/>
                <w:sz w:val="18"/>
                <w:szCs w:val="18"/>
                <w:color w:val="auto"/>
              </w:rPr>
              <w:t>Equity index options</w:t>
            </w:r>
          </w:p>
        </w:tc>
        <w:tc>
          <w:tcPr>
            <w:tcW w:w="740" w:type="dxa"/>
            <w:vAlign w:val="bottom"/>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912</w:t>
            </w: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397</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(614)</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695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Financial futures</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5,822</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3,696</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(5,019)</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4,499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2"/>
          </w:tcPr>
          <w:p>
            <w:pPr>
              <w:spacing w:after="0"/>
              <w:rPr>
                <w:sz w:val="20"/>
                <w:szCs w:val="20"/>
                <w:color w:val="auto"/>
              </w:rPr>
            </w:pPr>
            <w:r>
              <w:rPr>
                <w:rFonts w:ascii="Arial" w:cs="Arial" w:eastAsia="Arial" w:hAnsi="Arial"/>
                <w:sz w:val="18"/>
                <w:szCs w:val="18"/>
                <w:color w:val="auto"/>
              </w:rPr>
              <w:t>Other foreign currency contracts</w:t>
            </w:r>
          </w:p>
        </w:tc>
        <w:tc>
          <w:tcPr>
            <w:tcW w:w="740" w:type="dxa"/>
            <w:vAlign w:val="bottom"/>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521</w:t>
            </w: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73</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Reinsurance embedded derivatives</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Notional</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940" w:type="dxa"/>
            <w:vAlign w:val="bottom"/>
            <w:gridSpan w:val="2"/>
          </w:tcPr>
          <w:p>
            <w:pPr>
              <w:ind w:left="420"/>
              <w:spacing w:after="0"/>
              <w:rPr>
                <w:sz w:val="20"/>
                <w:szCs w:val="20"/>
                <w:color w:val="auto"/>
              </w:rPr>
            </w:pPr>
            <w:r>
              <w:rPr>
                <w:rFonts w:ascii="Arial" w:cs="Arial" w:eastAsia="Arial" w:hAnsi="Arial"/>
                <w:sz w:val="18"/>
                <w:szCs w:val="18"/>
                <w:color w:val="auto"/>
              </w:rPr>
              <w:t>Total derivatives not designated as hedges</w:t>
            </w:r>
          </w:p>
        </w:tc>
        <w:tc>
          <w:tcPr>
            <w:tcW w:w="7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19,919</w:t>
            </w: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93"/>
              </w:rPr>
              <w:t>7,268</w:t>
            </w: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w w:val="95"/>
              </w:rPr>
              <w:t>(11,318)</w:t>
            </w:r>
          </w:p>
        </w:tc>
        <w:tc>
          <w:tcPr>
            <w:tcW w:w="200" w:type="dxa"/>
            <w:vAlign w:val="bottom"/>
          </w:tcPr>
          <w:p>
            <w:pPr>
              <w:spacing w:after="0"/>
              <w:rPr>
                <w:sz w:val="19"/>
                <w:szCs w:val="19"/>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15,869</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700" w:type="dxa"/>
            <w:vAlign w:val="bottom"/>
          </w:tcPr>
          <w:p>
            <w:pPr>
              <w:spacing w:after="0"/>
              <w:rPr>
                <w:sz w:val="2"/>
                <w:szCs w:val="2"/>
                <w:color w:val="auto"/>
              </w:rPr>
            </w:pPr>
          </w:p>
        </w:tc>
        <w:tc>
          <w:tcPr>
            <w:tcW w:w="740" w:type="dxa"/>
            <w:vAlign w:val="bottom"/>
          </w:tcPr>
          <w:p>
            <w:pPr>
              <w:spacing w:after="0"/>
              <w:rPr>
                <w:sz w:val="2"/>
                <w:szCs w:val="2"/>
                <w:color w:val="auto"/>
              </w:rPr>
            </w:pPr>
          </w:p>
        </w:tc>
        <w:tc>
          <w:tcPr>
            <w:tcW w:w="62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620" w:type="dxa"/>
            <w:vAlign w:val="bottom"/>
            <w:tcBorders>
              <w:left w:val="single" w:sz="8" w:color="auto"/>
            </w:tcBorders>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20" w:type="dxa"/>
            <w:vAlign w:val="bottom"/>
            <w:tcBorders>
              <w:left w:val="single" w:sz="8" w:color="auto"/>
            </w:tcBorders>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7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Borders>
              <w:right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rPr>
              <w:t>Total derivatives</w:t>
            </w:r>
          </w:p>
        </w:tc>
        <w:tc>
          <w:tcPr>
            <w:tcW w:w="740" w:type="dxa"/>
            <w:vAlign w:val="bottom"/>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32,716</w:t>
            </w:r>
          </w:p>
        </w:tc>
        <w:tc>
          <w:tcPr>
            <w:tcW w:w="740" w:type="dxa"/>
            <w:vAlign w:val="bottom"/>
            <w:tcBorders>
              <w:left w:val="single" w:sz="8" w:color="CCEEFF"/>
            </w:tcBorders>
            <w:gridSpan w:val="2"/>
            <w:shd w:val="clear" w:color="auto" w:fill="CCEEFF"/>
          </w:tcPr>
          <w:p>
            <w:pPr>
              <w:ind w:left="620"/>
              <w:spacing w:after="0"/>
              <w:rPr>
                <w:sz w:val="20"/>
                <w:szCs w:val="20"/>
                <w:color w:val="auto"/>
              </w:rPr>
            </w:pPr>
            <w:r>
              <w:rPr>
                <w:rFonts w:ascii="Arial" w:cs="Arial" w:eastAsia="Arial" w:hAnsi="Arial"/>
                <w:sz w:val="18"/>
                <w:szCs w:val="18"/>
                <w:color w:val="auto"/>
                <w:w w:val="99"/>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8,807</w:t>
            </w:r>
          </w:p>
        </w:tc>
        <w:tc>
          <w:tcPr>
            <w:tcW w:w="760" w:type="dxa"/>
            <w:vAlign w:val="bottom"/>
            <w:tcBorders>
              <w:left w:val="single" w:sz="8" w:color="CCEEFF"/>
            </w:tcBorders>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95"/>
              </w:rPr>
              <w:t>(11,669)</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29,854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60" w:type="dxa"/>
            <w:vAlign w:val="bottom"/>
            <w:gridSpan w:val="2"/>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gridSpan w:val="2"/>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4960" w:type="dxa"/>
            <w:vAlign w:val="bottom"/>
            <w:gridSpan w:val="3"/>
          </w:tcPr>
          <w:p>
            <w:pPr>
              <w:spacing w:after="0"/>
              <w:rPr>
                <w:sz w:val="20"/>
                <w:szCs w:val="20"/>
                <w:color w:val="auto"/>
              </w:rPr>
            </w:pPr>
            <w:r>
              <w:rPr>
                <w:rFonts w:ascii="Arial" w:cs="Arial" w:eastAsia="Arial" w:hAnsi="Arial"/>
                <w:sz w:val="14"/>
                <w:szCs w:val="14"/>
                <w:b w:val="1"/>
                <w:bCs w:val="1"/>
                <w:color w:val="auto"/>
              </w:rPr>
              <w:t>(Number of policies)</w:t>
            </w:r>
          </w:p>
        </w:tc>
        <w:tc>
          <w:tcPr>
            <w:tcW w:w="740" w:type="dxa"/>
            <w:vAlign w:val="bottom"/>
          </w:tcPr>
          <w:p>
            <w:pPr>
              <w:jc w:val="right"/>
              <w:spacing w:after="0"/>
              <w:rPr>
                <w:sz w:val="20"/>
                <w:szCs w:val="20"/>
                <w:color w:val="auto"/>
              </w:rPr>
            </w:pPr>
            <w:r>
              <w:rPr>
                <w:rFonts w:ascii="Arial" w:cs="Arial" w:eastAsia="Arial" w:hAnsi="Arial"/>
                <w:sz w:val="14"/>
                <w:szCs w:val="14"/>
                <w:b w:val="1"/>
                <w:bCs w:val="1"/>
                <w:color w:val="auto"/>
                <w:w w:val="79"/>
              </w:rPr>
              <w:t>Measurement</w:t>
            </w:r>
          </w:p>
        </w:tc>
        <w:tc>
          <w:tcPr>
            <w:tcW w:w="620" w:type="dxa"/>
            <w:vAlign w:val="bottom"/>
          </w:tcPr>
          <w:p>
            <w:pPr>
              <w:spacing w:after="0"/>
              <w:rPr>
                <w:sz w:val="24"/>
                <w:szCs w:val="24"/>
                <w:color w:val="auto"/>
              </w:rPr>
            </w:pPr>
          </w:p>
        </w:tc>
        <w:tc>
          <w:tcPr>
            <w:tcW w:w="1080" w:type="dxa"/>
            <w:vAlign w:val="bottom"/>
            <w:gridSpan w:val="2"/>
          </w:tcPr>
          <w:p>
            <w:pPr>
              <w:jc w:val="right"/>
              <w:spacing w:after="0"/>
              <w:rPr>
                <w:sz w:val="20"/>
                <w:szCs w:val="20"/>
                <w:color w:val="auto"/>
              </w:rPr>
            </w:pPr>
            <w:r>
              <w:rPr>
                <w:rFonts w:ascii="Arial" w:cs="Arial" w:eastAsia="Arial" w:hAnsi="Arial"/>
                <w:sz w:val="14"/>
                <w:szCs w:val="14"/>
                <w:b w:val="1"/>
                <w:bCs w:val="1"/>
                <w:color w:val="auto"/>
                <w:w w:val="84"/>
              </w:rPr>
              <w:t>December 31, 2009</w:t>
            </w:r>
          </w:p>
        </w:tc>
        <w:tc>
          <w:tcPr>
            <w:tcW w:w="620" w:type="dxa"/>
            <w:vAlign w:val="bottom"/>
          </w:tcPr>
          <w:p>
            <w:pPr>
              <w:spacing w:after="0"/>
              <w:rPr>
                <w:sz w:val="24"/>
                <w:szCs w:val="24"/>
                <w:color w:val="auto"/>
              </w:rPr>
            </w:pPr>
          </w:p>
        </w:tc>
        <w:tc>
          <w:tcPr>
            <w:tcW w:w="540" w:type="dxa"/>
            <w:vAlign w:val="bottom"/>
            <w:gridSpan w:val="2"/>
          </w:tcPr>
          <w:p>
            <w:pPr>
              <w:jc w:val="right"/>
              <w:spacing w:after="0"/>
              <w:rPr>
                <w:sz w:val="20"/>
                <w:szCs w:val="20"/>
                <w:color w:val="auto"/>
              </w:rPr>
            </w:pPr>
            <w:r>
              <w:rPr>
                <w:rFonts w:ascii="Arial" w:cs="Arial" w:eastAsia="Arial" w:hAnsi="Arial"/>
                <w:sz w:val="14"/>
                <w:szCs w:val="14"/>
                <w:b w:val="1"/>
                <w:bCs w:val="1"/>
                <w:color w:val="auto"/>
                <w:w w:val="80"/>
              </w:rPr>
              <w:t>Additions</w:t>
            </w:r>
          </w:p>
        </w:tc>
        <w:tc>
          <w:tcPr>
            <w:tcW w:w="620" w:type="dxa"/>
            <w:vAlign w:val="bottom"/>
          </w:tcPr>
          <w:p>
            <w:pPr>
              <w:spacing w:after="0"/>
              <w:rPr>
                <w:sz w:val="24"/>
                <w:szCs w:val="24"/>
                <w:color w:val="auto"/>
              </w:rPr>
            </w:pPr>
          </w:p>
        </w:tc>
        <w:tc>
          <w:tcPr>
            <w:tcW w:w="1440" w:type="dxa"/>
            <w:vAlign w:val="bottom"/>
            <w:gridSpan w:val="3"/>
          </w:tcPr>
          <w:p>
            <w:pPr>
              <w:jc w:val="right"/>
              <w:ind w:right="700"/>
              <w:spacing w:after="0"/>
              <w:rPr>
                <w:sz w:val="20"/>
                <w:szCs w:val="20"/>
                <w:color w:val="auto"/>
              </w:rPr>
            </w:pPr>
            <w:r>
              <w:rPr>
                <w:rFonts w:ascii="Arial" w:cs="Arial" w:eastAsia="Arial" w:hAnsi="Arial"/>
                <w:sz w:val="14"/>
                <w:szCs w:val="14"/>
                <w:b w:val="1"/>
                <w:bCs w:val="1"/>
                <w:color w:val="auto"/>
                <w:w w:val="81"/>
              </w:rPr>
              <w:t>Terminations</w:t>
            </w:r>
          </w:p>
        </w:tc>
        <w:tc>
          <w:tcPr>
            <w:tcW w:w="820" w:type="dxa"/>
            <w:vAlign w:val="bottom"/>
            <w:gridSpan w:val="3"/>
          </w:tcPr>
          <w:p>
            <w:pPr>
              <w:spacing w:after="0"/>
              <w:rPr>
                <w:sz w:val="20"/>
                <w:szCs w:val="20"/>
                <w:color w:val="auto"/>
              </w:rPr>
            </w:pPr>
            <w:r>
              <w:rPr>
                <w:rFonts w:ascii="Arial" w:cs="Arial" w:eastAsia="Arial" w:hAnsi="Arial"/>
                <w:sz w:val="14"/>
                <w:szCs w:val="14"/>
                <w:b w:val="1"/>
                <w:bCs w:val="1"/>
                <w:color w:val="auto"/>
                <w:w w:val="87"/>
              </w:rPr>
              <w:t>June 30, 2010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3700" w:type="dxa"/>
            <w:vAlign w:val="bottom"/>
            <w:tcBorders>
              <w:right w:val="single" w:sz="8" w:color="auto"/>
            </w:tcBorders>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20" w:type="dxa"/>
            <w:vAlign w:val="bottom"/>
            <w:tcBorders>
              <w:right w:val="single" w:sz="8" w:color="auto"/>
            </w:tcBorders>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20" w:type="dxa"/>
            <w:vAlign w:val="bottom"/>
            <w:tcBorders>
              <w:righ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20" w:type="dxa"/>
            <w:vAlign w:val="bottom"/>
            <w:tcBorders>
              <w:right w:val="single" w:sz="8" w:color="auto"/>
            </w:tcBorders>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Derivatives not designated as hedges</w:t>
            </w:r>
          </w:p>
        </w:tc>
        <w:tc>
          <w:tcPr>
            <w:tcW w:w="740" w:type="dxa"/>
            <w:vAlign w:val="bottom"/>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2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940" w:type="dxa"/>
            <w:vAlign w:val="bottom"/>
            <w:gridSpan w:val="2"/>
          </w:tcPr>
          <w:p>
            <w:pPr>
              <w:spacing w:after="0"/>
              <w:rPr>
                <w:sz w:val="20"/>
                <w:szCs w:val="20"/>
                <w:color w:val="auto"/>
              </w:rPr>
            </w:pPr>
            <w:r>
              <w:rPr>
                <w:rFonts w:ascii="Arial" w:cs="Arial" w:eastAsia="Arial" w:hAnsi="Arial"/>
                <w:sz w:val="18"/>
                <w:szCs w:val="18"/>
                <w:color w:val="auto"/>
              </w:rPr>
              <w:t>GMWB embedded derivatives</w:t>
            </w:r>
          </w:p>
        </w:tc>
        <w:tc>
          <w:tcPr>
            <w:tcW w:w="740" w:type="dxa"/>
            <w:vAlign w:val="bottom"/>
          </w:tcPr>
          <w:p>
            <w:pPr>
              <w:jc w:val="right"/>
              <w:spacing w:after="0"/>
              <w:rPr>
                <w:sz w:val="20"/>
                <w:szCs w:val="20"/>
                <w:color w:val="auto"/>
              </w:rPr>
            </w:pPr>
            <w:r>
              <w:rPr>
                <w:rFonts w:ascii="Arial" w:cs="Arial" w:eastAsia="Arial" w:hAnsi="Arial"/>
                <w:sz w:val="18"/>
                <w:szCs w:val="18"/>
                <w:color w:val="auto"/>
              </w:rPr>
              <w:t>Policies</w:t>
            </w:r>
          </w:p>
        </w:tc>
        <w:tc>
          <w:tcPr>
            <w:tcW w:w="6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47,543</w:t>
            </w: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2,244</w:t>
            </w: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(1,445)</w:t>
            </w:r>
          </w:p>
        </w:tc>
        <w:tc>
          <w:tcPr>
            <w:tcW w:w="2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48,342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47" w:lineRule="exact"/>
        <w:rPr>
          <w:sz w:val="20"/>
          <w:szCs w:val="20"/>
          <w:color w:val="auto"/>
        </w:rPr>
      </w:pPr>
    </w:p>
    <w:p>
      <w:pPr>
        <w:ind w:right="560" w:firstLine="456"/>
        <w:spacing w:after="0" w:line="268" w:lineRule="auto"/>
        <w:rPr>
          <w:sz w:val="20"/>
          <w:szCs w:val="20"/>
          <w:color w:val="auto"/>
        </w:rPr>
      </w:pPr>
      <w:r>
        <w:rPr>
          <w:rFonts w:ascii="Arial" w:cs="Arial" w:eastAsia="Arial" w:hAnsi="Arial"/>
          <w:sz w:val="18"/>
          <w:szCs w:val="18"/>
          <w:color w:val="auto"/>
        </w:rPr>
        <w:t>Approximately $1.1 billion of notional value above is related to derivatives with counterparties that can be terminated at the option of the derivative counterparty and represented a net fair value asset of $148 million as of June 30, 2010.</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45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Cash Flow Hedges</w:t>
      </w:r>
    </w:p>
    <w:p>
      <w:pPr>
        <w:spacing w:after="0" w:line="90"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Certain derivative instruments are designated as cash flow hedges. The changes in fair value of these instruments are recorded as a component of OCI. We designate and account for the following as cash flow hedges when they have met the effectiveness requirements: (i) various types of interest rate swaps to convert floating rate investments to fixed rate investments; (ii) various types of interest rate swaps to convert floating rate liabilities into fixed rate liabilities; (iii) receive U.S. dollar fixed on foreign currency swaps to hedge the foreign currency cash flow exposure of foreign currency denominated investments; (iv) pay U.S. dollar fixed on foreign currency swaps to hedge the foreign currency cash flow exposure on liabilities denominated in foreign currencies; (v) forward starting interest rate swaps to hedge against changes in interest rates associated with future fixed-rate bond purchases and/or interest income; and (vi) other instruments to hedge the cash flows of various forecasted transactions.</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provides information about the pre-tax income (loss) effects of cash flow hedges for the three months ended June 30, 2010:</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00" w:type="dxa"/>
            <w:vAlign w:val="bottom"/>
            <w:gridSpan w:val="2"/>
          </w:tcPr>
          <w:p>
            <w:pPr>
              <w:jc w:val="center"/>
              <w:ind w:right="800"/>
              <w:spacing w:after="0"/>
              <w:rPr>
                <w:sz w:val="20"/>
                <w:szCs w:val="20"/>
                <w:color w:val="auto"/>
              </w:rPr>
            </w:pPr>
            <w:r>
              <w:rPr>
                <w:rFonts w:ascii="Arial" w:cs="Arial" w:eastAsia="Arial" w:hAnsi="Arial"/>
                <w:sz w:val="14"/>
                <w:szCs w:val="14"/>
                <w:b w:val="1"/>
                <w:bCs w:val="1"/>
                <w:color w:val="auto"/>
                <w:w w:val="85"/>
              </w:rPr>
              <w:t>Gain (loss)</w:t>
            </w: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20" w:type="dxa"/>
            <w:vAlign w:val="bottom"/>
            <w:gridSpan w:val="3"/>
          </w:tcPr>
          <w:p>
            <w:pPr>
              <w:jc w:val="center"/>
              <w:ind w:right="660"/>
              <w:spacing w:after="0" w:line="149" w:lineRule="exact"/>
              <w:rPr>
                <w:sz w:val="20"/>
                <w:szCs w:val="20"/>
                <w:color w:val="auto"/>
              </w:rPr>
            </w:pPr>
            <w:r>
              <w:rPr>
                <w:rFonts w:ascii="Arial" w:cs="Arial" w:eastAsia="Arial" w:hAnsi="Arial"/>
                <w:sz w:val="14"/>
                <w:szCs w:val="14"/>
                <w:b w:val="1"/>
                <w:bCs w:val="1"/>
                <w:color w:val="auto"/>
                <w:w w:val="86"/>
              </w:rPr>
              <w:t>reclassified into</w:t>
            </w:r>
          </w:p>
        </w:tc>
        <w:tc>
          <w:tcPr>
            <w:tcW w:w="12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Classification of gain</w:t>
            </w: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40" w:type="dxa"/>
            <w:vAlign w:val="bottom"/>
            <w:gridSpan w:val="2"/>
          </w:tcPr>
          <w:p>
            <w:pPr>
              <w:jc w:val="center"/>
              <w:ind w:right="680"/>
              <w:spacing w:after="0" w:line="149" w:lineRule="exact"/>
              <w:rPr>
                <w:sz w:val="20"/>
                <w:szCs w:val="20"/>
                <w:color w:val="auto"/>
              </w:rPr>
            </w:pPr>
            <w:r>
              <w:rPr>
                <w:rFonts w:ascii="Arial" w:cs="Arial" w:eastAsia="Arial" w:hAnsi="Arial"/>
                <w:sz w:val="14"/>
                <w:szCs w:val="14"/>
                <w:b w:val="1"/>
                <w:bCs w:val="1"/>
                <w:color w:val="auto"/>
                <w:w w:val="85"/>
              </w:rPr>
              <w:t>Gain (loss)</w:t>
            </w:r>
          </w:p>
        </w:tc>
        <w:tc>
          <w:tcPr>
            <w:tcW w:w="12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Classification of gain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0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60" w:type="dxa"/>
            <w:vAlign w:val="bottom"/>
            <w:gridSpan w:val="2"/>
          </w:tcPr>
          <w:p>
            <w:pPr>
              <w:jc w:val="right"/>
              <w:ind w:right="580"/>
              <w:spacing w:after="0" w:line="135" w:lineRule="exact"/>
              <w:rPr>
                <w:sz w:val="20"/>
                <w:szCs w:val="20"/>
                <w:color w:val="auto"/>
              </w:rPr>
            </w:pPr>
            <w:r>
              <w:rPr>
                <w:rFonts w:ascii="Arial" w:cs="Arial" w:eastAsia="Arial" w:hAnsi="Arial"/>
                <w:sz w:val="14"/>
                <w:szCs w:val="14"/>
                <w:b w:val="1"/>
                <w:bCs w:val="1"/>
                <w:color w:val="auto"/>
                <w:w w:val="91"/>
              </w:rPr>
              <w:t>Gain (loss)</w:t>
            </w:r>
          </w:p>
        </w:tc>
        <w:tc>
          <w:tcPr>
            <w:tcW w:w="300" w:type="dxa"/>
            <w:vAlign w:val="bottom"/>
          </w:tcPr>
          <w:p>
            <w:pPr>
              <w:spacing w:after="0"/>
              <w:rPr>
                <w:sz w:val="11"/>
                <w:szCs w:val="11"/>
                <w:color w:val="auto"/>
              </w:rPr>
            </w:pPr>
          </w:p>
        </w:tc>
        <w:tc>
          <w:tcPr>
            <w:tcW w:w="1620" w:type="dxa"/>
            <w:vAlign w:val="bottom"/>
            <w:gridSpan w:val="3"/>
          </w:tcPr>
          <w:p>
            <w:pPr>
              <w:jc w:val="center"/>
              <w:ind w:right="660"/>
              <w:spacing w:after="0" w:line="135" w:lineRule="exact"/>
              <w:rPr>
                <w:sz w:val="20"/>
                <w:szCs w:val="20"/>
                <w:color w:val="auto"/>
              </w:rPr>
            </w:pPr>
            <w:r>
              <w:rPr>
                <w:rFonts w:ascii="Arial" w:cs="Arial" w:eastAsia="Arial" w:hAnsi="Arial"/>
                <w:sz w:val="14"/>
                <w:szCs w:val="14"/>
                <w:b w:val="1"/>
                <w:bCs w:val="1"/>
                <w:color w:val="auto"/>
                <w:w w:val="83"/>
              </w:rPr>
              <w:t>net income (loss)</w:t>
            </w:r>
          </w:p>
        </w:tc>
        <w:tc>
          <w:tcPr>
            <w:tcW w:w="12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3"/>
              </w:rPr>
              <w:t>(loss) reclassified into</w:t>
            </w: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540" w:type="dxa"/>
            <w:vAlign w:val="bottom"/>
            <w:gridSpan w:val="2"/>
          </w:tcPr>
          <w:p>
            <w:pPr>
              <w:jc w:val="center"/>
              <w:ind w:right="700"/>
              <w:spacing w:after="0" w:line="135" w:lineRule="exact"/>
              <w:rPr>
                <w:sz w:val="20"/>
                <w:szCs w:val="20"/>
                <w:color w:val="auto"/>
              </w:rPr>
            </w:pPr>
            <w:r>
              <w:rPr>
                <w:rFonts w:ascii="Arial" w:cs="Arial" w:eastAsia="Arial" w:hAnsi="Arial"/>
                <w:sz w:val="14"/>
                <w:szCs w:val="14"/>
                <w:b w:val="1"/>
                <w:bCs w:val="1"/>
                <w:color w:val="auto"/>
                <w:w w:val="84"/>
              </w:rPr>
              <w:t>recognized in</w:t>
            </w:r>
          </w:p>
        </w:tc>
        <w:tc>
          <w:tcPr>
            <w:tcW w:w="12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3"/>
              </w:rPr>
              <w:t>(loss) recognized in</w:t>
            </w:r>
          </w:p>
        </w:tc>
        <w:tc>
          <w:tcPr>
            <w:tcW w:w="0" w:type="dxa"/>
            <w:vAlign w:val="bottom"/>
          </w:tcPr>
          <w:p>
            <w:pPr>
              <w:spacing w:after="0"/>
              <w:rPr>
                <w:sz w:val="1"/>
                <w:szCs w:val="1"/>
                <w:color w:val="auto"/>
              </w:rPr>
            </w:pPr>
          </w:p>
        </w:tc>
      </w:tr>
      <w:tr>
        <w:trPr>
          <w:trHeight w:val="176"/>
        </w:trPr>
        <w:tc>
          <w:tcPr>
            <w:tcW w:w="340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420" w:type="dxa"/>
            <w:vAlign w:val="bottom"/>
            <w:gridSpan w:val="3"/>
          </w:tcPr>
          <w:p>
            <w:pPr>
              <w:spacing w:after="0"/>
              <w:rPr>
                <w:sz w:val="20"/>
                <w:szCs w:val="20"/>
                <w:color w:val="auto"/>
              </w:rPr>
            </w:pPr>
            <w:r>
              <w:rPr>
                <w:rFonts w:ascii="Arial" w:cs="Arial" w:eastAsia="Arial" w:hAnsi="Arial"/>
                <w:sz w:val="14"/>
                <w:szCs w:val="14"/>
                <w:b w:val="1"/>
                <w:bCs w:val="1"/>
                <w:color w:val="auto"/>
              </w:rPr>
              <w:t>recognized in OCI</w:t>
            </w: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00" w:type="dxa"/>
            <w:vAlign w:val="bottom"/>
            <w:gridSpan w:val="2"/>
          </w:tcPr>
          <w:p>
            <w:pPr>
              <w:jc w:val="center"/>
              <w:ind w:right="820"/>
              <w:spacing w:after="0"/>
              <w:rPr>
                <w:sz w:val="20"/>
                <w:szCs w:val="20"/>
                <w:color w:val="auto"/>
              </w:rPr>
            </w:pPr>
            <w:r>
              <w:rPr>
                <w:rFonts w:ascii="Arial" w:cs="Arial" w:eastAsia="Arial" w:hAnsi="Arial"/>
                <w:sz w:val="14"/>
                <w:szCs w:val="14"/>
                <w:b w:val="1"/>
                <w:bCs w:val="1"/>
                <w:color w:val="auto"/>
                <w:w w:val="93"/>
              </w:rPr>
              <w:t>from OCI</w:t>
            </w: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540" w:type="dxa"/>
            <w:vAlign w:val="bottom"/>
          </w:tcPr>
          <w:p>
            <w:pPr>
              <w:spacing w:after="0"/>
              <w:rPr>
                <w:sz w:val="15"/>
                <w:szCs w:val="15"/>
                <w:color w:val="auto"/>
              </w:rPr>
            </w:pPr>
          </w:p>
        </w:tc>
        <w:tc>
          <w:tcPr>
            <w:tcW w:w="1680" w:type="dxa"/>
            <w:vAlign w:val="bottom"/>
            <w:gridSpan w:val="3"/>
          </w:tcPr>
          <w:p>
            <w:pPr>
              <w:spacing w:after="0" w:line="176" w:lineRule="exact"/>
              <w:rPr>
                <w:sz w:val="20"/>
                <w:szCs w:val="20"/>
                <w:color w:val="auto"/>
              </w:rPr>
            </w:pPr>
            <w:r>
              <w:rPr>
                <w:rFonts w:ascii="Arial" w:cs="Arial" w:eastAsia="Arial" w:hAnsi="Arial"/>
                <w:sz w:val="13"/>
                <w:szCs w:val="13"/>
                <w:b w:val="1"/>
                <w:bCs w:val="1"/>
                <w:color w:val="auto"/>
              </w:rPr>
              <w:t xml:space="preserve">net income (loss) </w:t>
            </w:r>
            <w:r>
              <w:rPr>
                <w:rFonts w:ascii="Arial" w:cs="Arial" w:eastAsia="Arial" w:hAnsi="Arial"/>
                <w:sz w:val="20"/>
                <w:szCs w:val="20"/>
                <w:color w:val="auto"/>
                <w:vertAlign w:val="superscript"/>
              </w:rPr>
              <w:t>(1)</w:t>
            </w:r>
          </w:p>
        </w:tc>
        <w:tc>
          <w:tcPr>
            <w:tcW w:w="122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3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Interest rate swaps hedging assets</w:t>
            </w:r>
          </w:p>
        </w:tc>
        <w:tc>
          <w:tcPr>
            <w:tcW w:w="1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4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8"/>
              </w:rPr>
              <w:t>Net investment</w:t>
            </w: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2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8"/>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20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599</w:t>
            </w:r>
          </w:p>
        </w:tc>
        <w:tc>
          <w:tcPr>
            <w:tcW w:w="360" w:type="dxa"/>
            <w:vAlign w:val="bottom"/>
            <w:shd w:val="clear" w:color="auto" w:fill="CCEEFF"/>
          </w:tcPr>
          <w:p>
            <w:pPr>
              <w:spacing w:after="0"/>
              <w:rPr>
                <w:sz w:val="19"/>
                <w:szCs w:val="19"/>
                <w:color w:val="auto"/>
              </w:rPr>
            </w:pP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4</w:t>
            </w:r>
          </w:p>
        </w:tc>
        <w:tc>
          <w:tcPr>
            <w:tcW w:w="12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income</w:t>
            </w:r>
          </w:p>
        </w:tc>
        <w:tc>
          <w:tcPr>
            <w:tcW w:w="68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15</w:t>
            </w:r>
          </w:p>
        </w:tc>
        <w:tc>
          <w:tcPr>
            <w:tcW w:w="12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gains (losses)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380" w:type="dxa"/>
            <w:vAlign w:val="bottom"/>
            <w:gridSpan w:val="2"/>
          </w:tcPr>
          <w:p>
            <w:pPr>
              <w:spacing w:after="0"/>
              <w:rPr>
                <w:sz w:val="20"/>
                <w:szCs w:val="20"/>
                <w:color w:val="auto"/>
              </w:rPr>
            </w:pPr>
            <w:r>
              <w:rPr>
                <w:rFonts w:ascii="Arial" w:cs="Arial" w:eastAsia="Arial" w:hAnsi="Arial"/>
                <w:sz w:val="18"/>
                <w:szCs w:val="18"/>
                <w:color w:val="auto"/>
              </w:rPr>
              <w:t>Interest rate swaps hedging liabilities</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20" w:type="dxa"/>
            <w:vAlign w:val="bottom"/>
          </w:tcPr>
          <w:p>
            <w:pPr>
              <w:jc w:val="center"/>
              <w:spacing w:after="0"/>
              <w:rPr>
                <w:sz w:val="20"/>
                <w:szCs w:val="20"/>
                <w:color w:val="auto"/>
              </w:rPr>
            </w:pPr>
            <w:r>
              <w:rPr>
                <w:rFonts w:ascii="Arial" w:cs="Arial" w:eastAsia="Arial" w:hAnsi="Arial"/>
                <w:sz w:val="18"/>
                <w:szCs w:val="18"/>
                <w:color w:val="auto"/>
                <w:w w:val="88"/>
              </w:rPr>
              <w:t>Net investment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(3)</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00" w:type="dxa"/>
            <w:vAlign w:val="bottom"/>
            <w:gridSpan w:val="2"/>
          </w:tcPr>
          <w:p>
            <w:pPr>
              <w:jc w:val="right"/>
              <w:ind w:right="660"/>
              <w:spacing w:after="0"/>
              <w:rPr>
                <w:sz w:val="20"/>
                <w:szCs w:val="20"/>
                <w:color w:val="auto"/>
              </w:rPr>
            </w:pPr>
            <w:r>
              <w:rPr>
                <w:rFonts w:ascii="Arial" w:cs="Arial" w:eastAsia="Arial" w:hAnsi="Arial"/>
                <w:sz w:val="18"/>
                <w:szCs w:val="18"/>
                <w:color w:val="auto"/>
              </w:rPr>
              <w:t>1</w:t>
            </w:r>
          </w:p>
        </w:tc>
        <w:tc>
          <w:tcPr>
            <w:tcW w:w="1240" w:type="dxa"/>
            <w:vAlign w:val="bottom"/>
          </w:tcPr>
          <w:p>
            <w:pPr>
              <w:jc w:val="center"/>
              <w:spacing w:after="0"/>
              <w:rPr>
                <w:sz w:val="20"/>
                <w:szCs w:val="20"/>
                <w:color w:val="auto"/>
              </w:rPr>
            </w:pPr>
            <w:r>
              <w:rPr>
                <w:rFonts w:ascii="Arial" w:cs="Arial" w:eastAsia="Arial" w:hAnsi="Arial"/>
                <w:sz w:val="18"/>
                <w:szCs w:val="18"/>
                <w:color w:val="auto"/>
                <w:w w:val="85"/>
              </w:rPr>
              <w:t>Interest expense</w:t>
            </w: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4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84"/>
              </w:rPr>
              <w:t>gains (losses)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w:t>
            </w: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swaps</w:t>
            </w:r>
          </w:p>
        </w:tc>
        <w:tc>
          <w:tcPr>
            <w:tcW w:w="1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3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w:t>
            </w:r>
          </w:p>
        </w:tc>
        <w:tc>
          <w:tcPr>
            <w:tcW w:w="12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5"/>
              </w:rPr>
              <w:t>Interest expense</w:t>
            </w:r>
          </w:p>
        </w:tc>
        <w:tc>
          <w:tcPr>
            <w:tcW w:w="5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540" w:type="dxa"/>
            <w:vAlign w:val="bottom"/>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gains (losses)</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8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w:t>
            </w:r>
          </w:p>
        </w:tc>
        <w:tc>
          <w:tcPr>
            <w:tcW w:w="1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3380" w:type="dxa"/>
            <w:vAlign w:val="bottom"/>
            <w:gridSpan w:val="2"/>
            <w:vMerge w:val="continue"/>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602</w:t>
            </w:r>
          </w:p>
        </w:tc>
        <w:tc>
          <w:tcPr>
            <w:tcW w:w="360" w:type="dxa"/>
            <w:vAlign w:val="bottom"/>
          </w:tcPr>
          <w:p>
            <w:pPr>
              <w:spacing w:after="0"/>
              <w:rPr>
                <w:sz w:val="19"/>
                <w:szCs w:val="19"/>
                <w:color w:val="auto"/>
              </w:rPr>
            </w:pP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00" w:type="dxa"/>
            <w:vAlign w:val="bottom"/>
            <w:gridSpan w:val="2"/>
          </w:tcPr>
          <w:p>
            <w:pPr>
              <w:jc w:val="right"/>
              <w:ind w:right="660"/>
              <w:spacing w:after="0"/>
              <w:rPr>
                <w:sz w:val="20"/>
                <w:szCs w:val="20"/>
                <w:color w:val="auto"/>
              </w:rPr>
            </w:pPr>
            <w:r>
              <w:rPr>
                <w:rFonts w:ascii="Arial" w:cs="Arial" w:eastAsia="Arial" w:hAnsi="Arial"/>
                <w:sz w:val="18"/>
                <w:szCs w:val="18"/>
                <w:color w:val="auto"/>
              </w:rPr>
              <w:t>3</w:t>
            </w:r>
          </w:p>
        </w:tc>
        <w:tc>
          <w:tcPr>
            <w:tcW w:w="1240" w:type="dxa"/>
            <w:vAlign w:val="bottom"/>
          </w:tcPr>
          <w:p>
            <w:pPr>
              <w:spacing w:after="0"/>
              <w:rPr>
                <w:sz w:val="19"/>
                <w:szCs w:val="19"/>
                <w:color w:val="auto"/>
              </w:rPr>
            </w:pPr>
          </w:p>
        </w:tc>
        <w:tc>
          <w:tcPr>
            <w:tcW w:w="68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540"/>
              <w:spacing w:after="0"/>
              <w:rPr>
                <w:sz w:val="20"/>
                <w:szCs w:val="20"/>
                <w:color w:val="auto"/>
              </w:rPr>
            </w:pPr>
            <w:r>
              <w:rPr>
                <w:rFonts w:ascii="Arial" w:cs="Arial" w:eastAsia="Arial" w:hAnsi="Arial"/>
                <w:sz w:val="18"/>
                <w:szCs w:val="18"/>
                <w:color w:val="auto"/>
              </w:rPr>
              <w:t>15</w:t>
            </w:r>
          </w:p>
        </w:tc>
        <w:tc>
          <w:tcPr>
            <w:tcW w:w="1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6"/>
        </w:numPr>
        <w:rPr>
          <w:rFonts w:ascii="Arial" w:cs="Arial" w:eastAsia="Arial" w:hAnsi="Arial"/>
          <w:sz w:val="22"/>
          <w:szCs w:val="22"/>
          <w:color w:val="auto"/>
          <w:vertAlign w:val="superscript"/>
        </w:rPr>
      </w:pPr>
      <w:r>
        <w:rPr>
          <w:rFonts w:ascii="Arial" w:cs="Arial" w:eastAsia="Arial" w:hAnsi="Arial"/>
          <w:sz w:val="18"/>
          <w:szCs w:val="18"/>
          <w:color w:val="auto"/>
        </w:rPr>
        <w:t>Represents ineffective portion of cash flow hedges, as there were no amounts excluded from the measurement of effectiveness.</w:t>
      </w:r>
    </w:p>
    <w:p>
      <w:pPr>
        <w:spacing w:after="0" w:line="155" w:lineRule="exact"/>
        <w:rPr>
          <w:rFonts w:ascii="Arial" w:cs="Arial" w:eastAsia="Arial" w:hAnsi="Arial"/>
          <w:sz w:val="22"/>
          <w:szCs w:val="22"/>
          <w:color w:val="auto"/>
          <w:vertAlign w:val="superscript"/>
        </w:rPr>
      </w:pPr>
    </w:p>
    <w:p>
      <w:pPr>
        <w:ind w:left="460"/>
        <w:spacing w:after="0"/>
        <w:rPr>
          <w:rFonts w:ascii="Arial" w:cs="Arial" w:eastAsia="Arial" w:hAnsi="Arial"/>
          <w:sz w:val="22"/>
          <w:szCs w:val="22"/>
          <w:color w:val="auto"/>
          <w:vertAlign w:val="superscript"/>
        </w:rPr>
      </w:pPr>
      <w:r>
        <w:rPr>
          <w:rFonts w:ascii="Arial" w:cs="Arial" w:eastAsia="Arial" w:hAnsi="Arial"/>
          <w:sz w:val="16"/>
          <w:szCs w:val="16"/>
          <w:color w:val="auto"/>
        </w:rPr>
        <w:t>The following table provides information about the pre-tax income (loss) effects of cash flow hedges for the three months ended June 30,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-376555</wp:posOffset>
            </wp:positionV>
            <wp:extent cx="72898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280" w:type="dxa"/>
            <w:vAlign w:val="bottom"/>
          </w:tcPr>
          <w:p>
            <w:pPr>
              <w:spacing w:after="0"/>
              <w:rPr>
                <w:sz w:val="14"/>
                <w:szCs w:val="14"/>
                <w:color w:val="auto"/>
              </w:rPr>
            </w:pPr>
          </w:p>
        </w:tc>
        <w:tc>
          <w:tcPr>
            <w:tcW w:w="2420" w:type="dxa"/>
            <w:vAlign w:val="bottom"/>
          </w:tcPr>
          <w:p>
            <w:pPr>
              <w:spacing w:after="0"/>
              <w:rPr>
                <w:sz w:val="14"/>
                <w:szCs w:val="14"/>
                <w:color w:val="auto"/>
              </w:rPr>
            </w:pP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w w:val="85"/>
              </w:rPr>
              <w:t>Gain (loss)</w:t>
            </w:r>
          </w:p>
        </w:tc>
        <w:tc>
          <w:tcPr>
            <w:tcW w:w="184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540" w:type="dxa"/>
            <w:vAlign w:val="bottom"/>
          </w:tcPr>
          <w:p>
            <w:pPr>
              <w:spacing w:after="0"/>
              <w:rPr>
                <w:sz w:val="14"/>
                <w:szCs w:val="14"/>
                <w:color w:val="auto"/>
              </w:rPr>
            </w:pPr>
          </w:p>
        </w:tc>
      </w:tr>
      <w:tr>
        <w:trPr>
          <w:trHeight w:val="149"/>
        </w:trPr>
        <w:tc>
          <w:tcPr>
            <w:tcW w:w="2280" w:type="dxa"/>
            <w:vAlign w:val="bottom"/>
          </w:tcPr>
          <w:p>
            <w:pPr>
              <w:spacing w:after="0"/>
              <w:rPr>
                <w:sz w:val="12"/>
                <w:szCs w:val="12"/>
                <w:color w:val="auto"/>
              </w:rPr>
            </w:pPr>
          </w:p>
        </w:tc>
        <w:tc>
          <w:tcPr>
            <w:tcW w:w="2420" w:type="dxa"/>
            <w:vAlign w:val="bottom"/>
          </w:tcPr>
          <w:p>
            <w:pPr>
              <w:spacing w:after="0"/>
              <w:rPr>
                <w:sz w:val="12"/>
                <w:szCs w:val="12"/>
                <w:color w:val="auto"/>
              </w:rPr>
            </w:pPr>
          </w:p>
        </w:tc>
        <w:tc>
          <w:tcPr>
            <w:tcW w:w="1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reclassified into</w:t>
            </w:r>
          </w:p>
        </w:tc>
        <w:tc>
          <w:tcPr>
            <w:tcW w:w="1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Classification of gain</w:t>
            </w:r>
          </w:p>
        </w:tc>
        <w:tc>
          <w:tcPr>
            <w:tcW w:w="1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Gain (loss)</w:t>
            </w:r>
          </w:p>
        </w:tc>
        <w:tc>
          <w:tcPr>
            <w:tcW w:w="1540" w:type="dxa"/>
            <w:vAlign w:val="bottom"/>
          </w:tcPr>
          <w:p>
            <w:pPr>
              <w:jc w:val="center"/>
              <w:ind w:left="252"/>
              <w:spacing w:after="0" w:line="149" w:lineRule="exact"/>
              <w:rPr>
                <w:sz w:val="20"/>
                <w:szCs w:val="20"/>
                <w:color w:val="auto"/>
              </w:rPr>
            </w:pPr>
            <w:r>
              <w:rPr>
                <w:rFonts w:ascii="Arial" w:cs="Arial" w:eastAsia="Arial" w:hAnsi="Arial"/>
                <w:sz w:val="14"/>
                <w:szCs w:val="14"/>
                <w:b w:val="1"/>
                <w:bCs w:val="1"/>
                <w:color w:val="auto"/>
                <w:w w:val="86"/>
              </w:rPr>
              <w:t>Classification of gain</w:t>
            </w:r>
          </w:p>
        </w:tc>
      </w:tr>
      <w:tr>
        <w:trPr>
          <w:trHeight w:val="134"/>
        </w:trPr>
        <w:tc>
          <w:tcPr>
            <w:tcW w:w="2280" w:type="dxa"/>
            <w:vAlign w:val="bottom"/>
          </w:tcPr>
          <w:p>
            <w:pPr>
              <w:spacing w:after="0"/>
              <w:rPr>
                <w:sz w:val="11"/>
                <w:szCs w:val="11"/>
                <w:color w:val="auto"/>
              </w:rPr>
            </w:pPr>
          </w:p>
        </w:tc>
        <w:tc>
          <w:tcPr>
            <w:tcW w:w="2420" w:type="dxa"/>
            <w:vAlign w:val="bottom"/>
          </w:tcPr>
          <w:p>
            <w:pPr>
              <w:jc w:val="center"/>
              <w:ind w:left="612"/>
              <w:spacing w:after="0" w:line="135" w:lineRule="exact"/>
              <w:rPr>
                <w:sz w:val="20"/>
                <w:szCs w:val="20"/>
                <w:color w:val="auto"/>
              </w:rPr>
            </w:pPr>
            <w:r>
              <w:rPr>
                <w:rFonts w:ascii="Arial" w:cs="Arial" w:eastAsia="Arial" w:hAnsi="Arial"/>
                <w:sz w:val="14"/>
                <w:szCs w:val="14"/>
                <w:b w:val="1"/>
                <w:bCs w:val="1"/>
                <w:color w:val="auto"/>
                <w:w w:val="85"/>
              </w:rPr>
              <w:t>Gain (loss)</w:t>
            </w:r>
          </w:p>
        </w:tc>
        <w:tc>
          <w:tcPr>
            <w:tcW w:w="16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3"/>
              </w:rPr>
              <w:t>net income (loss)</w:t>
            </w:r>
          </w:p>
        </w:tc>
        <w:tc>
          <w:tcPr>
            <w:tcW w:w="18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3"/>
              </w:rPr>
              <w:t>(loss) reclassified into</w:t>
            </w:r>
          </w:p>
        </w:tc>
        <w:tc>
          <w:tcPr>
            <w:tcW w:w="17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6"/>
              </w:rPr>
              <w:t>recognized in</w:t>
            </w:r>
          </w:p>
        </w:tc>
        <w:tc>
          <w:tcPr>
            <w:tcW w:w="1540" w:type="dxa"/>
            <w:vAlign w:val="bottom"/>
          </w:tcPr>
          <w:p>
            <w:pPr>
              <w:jc w:val="center"/>
              <w:ind w:left="252"/>
              <w:spacing w:after="0" w:line="135" w:lineRule="exact"/>
              <w:rPr>
                <w:sz w:val="20"/>
                <w:szCs w:val="20"/>
                <w:color w:val="auto"/>
              </w:rPr>
            </w:pPr>
            <w:r>
              <w:rPr>
                <w:rFonts w:ascii="Arial" w:cs="Arial" w:eastAsia="Arial" w:hAnsi="Arial"/>
                <w:sz w:val="14"/>
                <w:szCs w:val="14"/>
                <w:b w:val="1"/>
                <w:bCs w:val="1"/>
                <w:color w:val="auto"/>
                <w:w w:val="83"/>
              </w:rPr>
              <w:t>(loss) recognized in</w:t>
            </w:r>
          </w:p>
        </w:tc>
      </w:tr>
      <w:tr>
        <w:trPr>
          <w:trHeight w:val="176"/>
        </w:trPr>
        <w:tc>
          <w:tcPr>
            <w:tcW w:w="2280" w:type="dxa"/>
            <w:vAlign w:val="bottom"/>
          </w:tcPr>
          <w:p>
            <w:pPr>
              <w:spacing w:after="0"/>
              <w:rPr>
                <w:sz w:val="20"/>
                <w:szCs w:val="20"/>
                <w:color w:val="auto"/>
              </w:rPr>
            </w:pPr>
            <w:r>
              <w:rPr>
                <w:rFonts w:ascii="Arial" w:cs="Arial" w:eastAsia="Arial" w:hAnsi="Arial"/>
                <w:sz w:val="14"/>
                <w:szCs w:val="14"/>
                <w:b w:val="1"/>
                <w:bCs w:val="1"/>
                <w:color w:val="auto"/>
              </w:rPr>
              <w:t>(Amounts in millions)</w:t>
            </w:r>
          </w:p>
        </w:tc>
        <w:tc>
          <w:tcPr>
            <w:tcW w:w="2420" w:type="dxa"/>
            <w:vAlign w:val="bottom"/>
          </w:tcPr>
          <w:p>
            <w:pPr>
              <w:jc w:val="center"/>
              <w:ind w:left="612"/>
              <w:spacing w:after="0"/>
              <w:rPr>
                <w:sz w:val="20"/>
                <w:szCs w:val="20"/>
                <w:color w:val="auto"/>
              </w:rPr>
            </w:pPr>
            <w:r>
              <w:rPr>
                <w:rFonts w:ascii="Arial" w:cs="Arial" w:eastAsia="Arial" w:hAnsi="Arial"/>
                <w:sz w:val="14"/>
                <w:szCs w:val="14"/>
                <w:b w:val="1"/>
                <w:bCs w:val="1"/>
                <w:color w:val="auto"/>
                <w:w w:val="89"/>
              </w:rPr>
              <w:t>recognized in OCI</w:t>
            </w: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w w:val="96"/>
              </w:rPr>
              <w:t>from OCI</w:t>
            </w:r>
          </w:p>
        </w:tc>
        <w:tc>
          <w:tcPr>
            <w:tcW w:w="184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1720" w:type="dxa"/>
            <w:vAlign w:val="bottom"/>
          </w:tcPr>
          <w:p>
            <w:pPr>
              <w:jc w:val="center"/>
              <w:spacing w:after="0" w:line="176" w:lineRule="exact"/>
              <w:rPr>
                <w:sz w:val="20"/>
                <w:szCs w:val="20"/>
                <w:color w:val="auto"/>
              </w:rPr>
            </w:pPr>
            <w:r>
              <w:rPr>
                <w:rFonts w:ascii="Arial" w:cs="Arial" w:eastAsia="Arial" w:hAnsi="Arial"/>
                <w:sz w:val="13"/>
                <w:szCs w:val="13"/>
                <w:b w:val="1"/>
                <w:bCs w:val="1"/>
                <w:color w:val="auto"/>
                <w:w w:val="89"/>
              </w:rPr>
              <w:t xml:space="preserve">net income (loss) </w:t>
            </w:r>
            <w:r>
              <w:rPr>
                <w:rFonts w:ascii="Arial" w:cs="Arial" w:eastAsia="Arial" w:hAnsi="Arial"/>
                <w:sz w:val="20"/>
                <w:szCs w:val="20"/>
                <w:color w:val="auto"/>
                <w:w w:val="89"/>
                <w:vertAlign w:val="superscript"/>
              </w:rPr>
              <w:t>(1)</w:t>
            </w:r>
          </w:p>
        </w:tc>
        <w:tc>
          <w:tcPr>
            <w:tcW w:w="1540" w:type="dxa"/>
            <w:vAlign w:val="bottom"/>
          </w:tcPr>
          <w:p>
            <w:pPr>
              <w:jc w:val="center"/>
              <w:ind w:left="272"/>
              <w:spacing w:after="0"/>
              <w:rPr>
                <w:sz w:val="20"/>
                <w:szCs w:val="20"/>
                <w:color w:val="auto"/>
              </w:rPr>
            </w:pPr>
            <w:r>
              <w:rPr>
                <w:rFonts w:ascii="Arial" w:cs="Arial" w:eastAsia="Arial" w:hAnsi="Arial"/>
                <w:sz w:val="14"/>
                <w:szCs w:val="14"/>
                <w:b w:val="1"/>
                <w:bCs w:val="1"/>
                <w:color w:val="auto"/>
                <w:w w:val="83"/>
              </w:rPr>
              <w:t>net income (loss)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6479540</wp:posOffset>
            </wp:positionH>
            <wp:positionV relativeFrom="paragraph">
              <wp:posOffset>0</wp:posOffset>
            </wp:positionV>
            <wp:extent cx="771525"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sectPr>
      </w:pP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20"/>
        </w:trPr>
        <w:tc>
          <w:tcPr>
            <w:tcW w:w="1340" w:type="dxa"/>
            <w:vAlign w:val="bottom"/>
            <w:shd w:val="clear" w:color="auto" w:fill="000000"/>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1"/>
        </w:trPr>
        <w:tc>
          <w:tcPr>
            <w:tcW w:w="3300" w:type="dxa"/>
            <w:vAlign w:val="bottom"/>
            <w:gridSpan w:val="2"/>
          </w:tcPr>
          <w:p>
            <w:pPr>
              <w:spacing w:after="0" w:line="182" w:lineRule="exact"/>
              <w:rPr>
                <w:sz w:val="20"/>
                <w:szCs w:val="20"/>
                <w:color w:val="auto"/>
              </w:rPr>
            </w:pPr>
            <w:r>
              <w:rPr>
                <w:rFonts w:ascii="Arial" w:cs="Arial" w:eastAsia="Arial" w:hAnsi="Arial"/>
                <w:sz w:val="18"/>
                <w:szCs w:val="18"/>
                <w:color w:val="auto"/>
              </w:rPr>
              <w:t>Interest rate swaps hedging assets</w:t>
            </w:r>
          </w:p>
        </w:tc>
        <w:tc>
          <w:tcPr>
            <w:tcW w:w="4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240" w:type="dxa"/>
            <w:vAlign w:val="bottom"/>
          </w:tcPr>
          <w:p>
            <w:pPr>
              <w:jc w:val="center"/>
              <w:spacing w:after="0" w:line="182" w:lineRule="exact"/>
              <w:rPr>
                <w:sz w:val="20"/>
                <w:szCs w:val="20"/>
                <w:color w:val="auto"/>
              </w:rPr>
            </w:pPr>
            <w:r>
              <w:rPr>
                <w:rFonts w:ascii="Arial" w:cs="Arial" w:eastAsia="Arial" w:hAnsi="Arial"/>
                <w:sz w:val="18"/>
                <w:szCs w:val="18"/>
                <w:color w:val="auto"/>
                <w:w w:val="89"/>
              </w:rPr>
              <w:t>Net investment</w:t>
            </w:r>
          </w:p>
        </w:tc>
        <w:tc>
          <w:tcPr>
            <w:tcW w:w="5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1340" w:type="dxa"/>
            <w:vAlign w:val="bottom"/>
          </w:tcPr>
          <w:p>
            <w:pPr>
              <w:spacing w:after="0"/>
              <w:rPr>
                <w:sz w:val="19"/>
                <w:szCs w:val="19"/>
                <w:color w:val="auto"/>
              </w:rPr>
            </w:pPr>
          </w:p>
        </w:tc>
        <w:tc>
          <w:tcPr>
            <w:tcW w:w="1960" w:type="dxa"/>
            <w:vAlign w:val="bottom"/>
          </w:tcPr>
          <w:p>
            <w:pPr>
              <w:spacing w:after="0"/>
              <w:rPr>
                <w:sz w:val="19"/>
                <w:szCs w:val="19"/>
                <w:color w:val="auto"/>
              </w:rPr>
            </w:pPr>
          </w:p>
        </w:tc>
        <w:tc>
          <w:tcPr>
            <w:tcW w:w="420" w:type="dxa"/>
            <w:vAlign w:val="bottom"/>
          </w:tcPr>
          <w:p>
            <w:pPr>
              <w:jc w:val="right"/>
              <w:ind w:right="232"/>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(177)</w:t>
            </w:r>
          </w:p>
        </w:tc>
        <w:tc>
          <w:tcPr>
            <w:tcW w:w="7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3</w:t>
            </w:r>
          </w:p>
        </w:tc>
        <w:tc>
          <w:tcPr>
            <w:tcW w:w="640" w:type="dxa"/>
            <w:vAlign w:val="bottom"/>
          </w:tcPr>
          <w:p>
            <w:pPr>
              <w:spacing w:after="0"/>
              <w:rPr>
                <w:sz w:val="19"/>
                <w:szCs w:val="19"/>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9"/>
              </w:rPr>
              <w:t>income</w:t>
            </w:r>
          </w:p>
        </w:tc>
        <w:tc>
          <w:tcPr>
            <w:tcW w:w="102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3300" w:type="dxa"/>
            <w:vAlign w:val="bottom"/>
            <w:gridSpan w:val="2"/>
          </w:tcPr>
          <w:p>
            <w:pPr>
              <w:spacing w:after="0"/>
              <w:rPr>
                <w:sz w:val="20"/>
                <w:szCs w:val="20"/>
                <w:color w:val="auto"/>
              </w:rPr>
            </w:pPr>
            <w:r>
              <w:rPr>
                <w:rFonts w:ascii="Arial" w:cs="Arial" w:eastAsia="Arial" w:hAnsi="Arial"/>
                <w:sz w:val="18"/>
                <w:szCs w:val="18"/>
                <w:color w:val="auto"/>
              </w:rPr>
              <w:t>Interest rate swaps hedging assets</w:t>
            </w:r>
          </w:p>
        </w:tc>
        <w:tc>
          <w:tcPr>
            <w:tcW w:w="4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9"/>
              </w:rPr>
              <w:t>Net investment</w:t>
            </w:r>
          </w:p>
        </w:tc>
        <w:tc>
          <w:tcPr>
            <w:tcW w:w="5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3300" w:type="dxa"/>
            <w:vAlign w:val="bottom"/>
            <w:gridSpan w:val="2"/>
            <w:vMerge w:val="restart"/>
          </w:tcPr>
          <w:p>
            <w:pPr>
              <w:spacing w:after="0"/>
              <w:rPr>
                <w:sz w:val="20"/>
                <w:szCs w:val="20"/>
                <w:color w:val="auto"/>
              </w:rPr>
            </w:pPr>
            <w:r>
              <w:rPr>
                <w:rFonts w:ascii="Arial" w:cs="Arial" w:eastAsia="Arial" w:hAnsi="Arial"/>
                <w:sz w:val="18"/>
                <w:szCs w:val="18"/>
                <w:color w:val="auto"/>
              </w:rPr>
              <w:t>Foreign currency</w:t>
            </w:r>
          </w:p>
        </w:tc>
        <w:tc>
          <w:tcPr>
            <w:tcW w:w="420" w:type="dxa"/>
            <w:vAlign w:val="bottom"/>
          </w:tcPr>
          <w:p>
            <w:pPr>
              <w:spacing w:after="0"/>
              <w:rPr>
                <w:sz w:val="20"/>
                <w:szCs w:val="20"/>
                <w:color w:val="auto"/>
              </w:rPr>
            </w:pPr>
          </w:p>
        </w:tc>
        <w:tc>
          <w:tcPr>
            <w:tcW w:w="100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w:t>
            </w:r>
          </w:p>
        </w:tc>
        <w:tc>
          <w:tcPr>
            <w:tcW w:w="640" w:type="dxa"/>
            <w:vAlign w:val="bottom"/>
          </w:tcPr>
          <w:p>
            <w:pPr>
              <w:spacing w:after="0"/>
              <w:rPr>
                <w:sz w:val="20"/>
                <w:szCs w:val="20"/>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5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2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300" w:type="dxa"/>
            <w:vAlign w:val="bottom"/>
            <w:gridSpan w:val="2"/>
            <w:vMerge w:val="continue"/>
          </w:tcPr>
          <w:p>
            <w:pPr>
              <w:spacing w:after="0"/>
              <w:rPr>
                <w:sz w:val="18"/>
                <w:szCs w:val="18"/>
                <w:color w:val="auto"/>
              </w:rPr>
            </w:pPr>
          </w:p>
        </w:tc>
        <w:tc>
          <w:tcPr>
            <w:tcW w:w="4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3300" w:type="dxa"/>
            <w:vAlign w:val="bottom"/>
            <w:gridSpan w:val="2"/>
          </w:tcPr>
          <w:p>
            <w:pPr>
              <w:ind w:left="220"/>
              <w:spacing w:after="0"/>
              <w:rPr>
                <w:sz w:val="20"/>
                <w:szCs w:val="20"/>
                <w:color w:val="auto"/>
              </w:rPr>
            </w:pPr>
            <w:r>
              <w:rPr>
                <w:rFonts w:ascii="Arial" w:cs="Arial" w:eastAsia="Arial" w:hAnsi="Arial"/>
                <w:sz w:val="18"/>
                <w:szCs w:val="18"/>
                <w:color w:val="auto"/>
              </w:rPr>
              <w:t>swaps</w:t>
            </w:r>
          </w:p>
        </w:tc>
        <w:tc>
          <w:tcPr>
            <w:tcW w:w="420" w:type="dxa"/>
            <w:vAlign w:val="bottom"/>
          </w:tcPr>
          <w:p>
            <w:pPr>
              <w:spacing w:after="0"/>
              <w:rPr>
                <w:sz w:val="20"/>
                <w:szCs w:val="20"/>
                <w:color w:val="auto"/>
              </w:rPr>
            </w:pP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(1)</w:t>
            </w:r>
          </w:p>
        </w:tc>
        <w:tc>
          <w:tcPr>
            <w:tcW w:w="3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20" w:type="dxa"/>
            <w:vAlign w:val="bottom"/>
            <w:gridSpan w:val="2"/>
          </w:tcPr>
          <w:p>
            <w:pPr>
              <w:jc w:val="right"/>
              <w:ind w:right="600"/>
              <w:spacing w:after="0"/>
              <w:rPr>
                <w:sz w:val="20"/>
                <w:szCs w:val="20"/>
                <w:color w:val="auto"/>
              </w:rPr>
            </w:pPr>
            <w:r>
              <w:rPr>
                <w:rFonts w:ascii="Arial" w:cs="Arial" w:eastAsia="Arial" w:hAnsi="Arial"/>
                <w:sz w:val="18"/>
                <w:szCs w:val="18"/>
                <w:color w:val="auto"/>
              </w:rPr>
              <w:t>(5)</w:t>
            </w:r>
          </w:p>
        </w:tc>
        <w:tc>
          <w:tcPr>
            <w:tcW w:w="1240" w:type="dxa"/>
            <w:vAlign w:val="bottom"/>
          </w:tcPr>
          <w:p>
            <w:pPr>
              <w:jc w:val="center"/>
              <w:spacing w:after="0"/>
              <w:rPr>
                <w:sz w:val="20"/>
                <w:szCs w:val="20"/>
                <w:color w:val="auto"/>
              </w:rPr>
            </w:pPr>
            <w:r>
              <w:rPr>
                <w:rFonts w:ascii="Arial" w:cs="Arial" w:eastAsia="Arial" w:hAnsi="Arial"/>
                <w:sz w:val="18"/>
                <w:szCs w:val="18"/>
                <w:color w:val="auto"/>
                <w:w w:val="84"/>
              </w:rPr>
              <w:t>Interest expense</w:t>
            </w:r>
          </w:p>
        </w:tc>
        <w:tc>
          <w:tcPr>
            <w:tcW w:w="5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2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300" w:type="dxa"/>
            <w:vAlign w:val="bottom"/>
            <w:gridSpan w:val="2"/>
            <w:vMerge w:val="restart"/>
          </w:tcPr>
          <w:p>
            <w:pPr>
              <w:ind w:left="440"/>
              <w:spacing w:after="0"/>
              <w:rPr>
                <w:sz w:val="20"/>
                <w:szCs w:val="20"/>
                <w:color w:val="auto"/>
              </w:rPr>
            </w:pPr>
            <w:r>
              <w:rPr>
                <w:rFonts w:ascii="Arial" w:cs="Arial" w:eastAsia="Arial" w:hAnsi="Arial"/>
                <w:sz w:val="18"/>
                <w:szCs w:val="18"/>
                <w:color w:val="auto"/>
              </w:rPr>
              <w:t>Total</w:t>
            </w:r>
          </w:p>
        </w:tc>
        <w:tc>
          <w:tcPr>
            <w:tcW w:w="4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3300" w:type="dxa"/>
            <w:vAlign w:val="bottom"/>
            <w:gridSpan w:val="2"/>
            <w:vMerge w:val="continue"/>
          </w:tcPr>
          <w:p>
            <w:pPr>
              <w:spacing w:after="0"/>
              <w:rPr>
                <w:sz w:val="19"/>
                <w:szCs w:val="19"/>
                <w:color w:val="auto"/>
              </w:rPr>
            </w:pPr>
          </w:p>
        </w:tc>
        <w:tc>
          <w:tcPr>
            <w:tcW w:w="420" w:type="dxa"/>
            <w:vAlign w:val="bottom"/>
          </w:tcPr>
          <w:p>
            <w:pPr>
              <w:jc w:val="right"/>
              <w:ind w:right="232"/>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(178)</w:t>
            </w:r>
          </w:p>
        </w:tc>
        <w:tc>
          <w:tcPr>
            <w:tcW w:w="7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74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19"/>
                <w:szCs w:val="19"/>
                <w:color w:val="auto"/>
              </w:rPr>
            </w:pPr>
          </w:p>
        </w:tc>
        <w:tc>
          <w:tcPr>
            <w:tcW w:w="102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-1028700</wp:posOffset>
            </wp:positionV>
            <wp:extent cx="7246620" cy="2832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28321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-462280</wp:posOffset>
            </wp:positionV>
            <wp:extent cx="7246620" cy="2832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46620" cy="283210"/>
                    </a:xfrm>
                    <a:prstGeom prst="rect">
                      <a:avLst/>
                    </a:prstGeom>
                    <a:noFill/>
                  </pic:spPr>
                </pic:pic>
              </a:graphicData>
            </a:graphic>
          </wp:anchor>
        </w:drawing>
      </w:r>
    </w:p>
    <w:p>
      <w:pPr>
        <w:spacing w:after="0" w:line="134" w:lineRule="exact"/>
        <w:rPr>
          <w:sz w:val="20"/>
          <w:szCs w:val="20"/>
          <w:color w:val="auto"/>
        </w:rPr>
      </w:pPr>
    </w:p>
    <w:p>
      <w:pPr>
        <w:ind w:left="5620" w:right="240" w:hanging="5612"/>
        <w:spacing w:after="0" w:line="387" w:lineRule="auto"/>
        <w:tabs>
          <w:tab w:leader="none" w:pos="448" w:val="left"/>
        </w:tabs>
        <w:numPr>
          <w:ilvl w:val="0"/>
          <w:numId w:val="17"/>
        </w:numPr>
        <w:rPr>
          <w:rFonts w:ascii="Arial" w:cs="Arial" w:eastAsia="Arial" w:hAnsi="Arial"/>
          <w:sz w:val="22"/>
          <w:szCs w:val="22"/>
          <w:color w:val="auto"/>
          <w:vertAlign w:val="superscript"/>
        </w:rPr>
      </w:pPr>
      <w:r>
        <w:rPr>
          <w:rFonts w:ascii="Arial" w:cs="Arial" w:eastAsia="Arial" w:hAnsi="Arial"/>
          <w:sz w:val="18"/>
          <w:szCs w:val="18"/>
          <w:color w:val="auto"/>
        </w:rPr>
        <w:t>Represents ineffective portion of cash flow hedges, as there were no amounts excluded from the measurement of effectiveness. 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-490855</wp:posOffset>
            </wp:positionV>
            <wp:extent cx="72898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Net investment</w:t>
      </w:r>
    </w:p>
    <w:p>
      <w:pPr>
        <w:spacing w:after="0" w:line="50" w:lineRule="exact"/>
        <w:rPr>
          <w:sz w:val="20"/>
          <w:szCs w:val="20"/>
          <w:color w:val="auto"/>
        </w:rPr>
      </w:pPr>
    </w:p>
    <w:p>
      <w:pPr>
        <w:ind w:left="60"/>
        <w:spacing w:after="0"/>
        <w:rPr>
          <w:sz w:val="20"/>
          <w:szCs w:val="20"/>
          <w:color w:val="auto"/>
        </w:rPr>
      </w:pPr>
      <w:r>
        <w:rPr>
          <w:rFonts w:ascii="Arial" w:cs="Arial" w:eastAsia="Arial" w:hAnsi="Arial"/>
          <w:sz w:val="16"/>
          <w:szCs w:val="16"/>
          <w:color w:val="auto"/>
        </w:rPr>
        <w:t>gains (losses)</w:t>
      </w:r>
    </w:p>
    <w:p>
      <w:pPr>
        <w:spacing w:after="0" w:line="39" w:lineRule="exact"/>
        <w:rPr>
          <w:sz w:val="20"/>
          <w:szCs w:val="20"/>
          <w:color w:val="auto"/>
        </w:rPr>
      </w:pPr>
    </w:p>
    <w:p>
      <w:pPr>
        <w:spacing w:after="0"/>
        <w:rPr>
          <w:sz w:val="20"/>
          <w:szCs w:val="20"/>
          <w:color w:val="auto"/>
        </w:rPr>
      </w:pPr>
      <w:r>
        <w:rPr>
          <w:rFonts w:ascii="Arial" w:cs="Arial" w:eastAsia="Arial" w:hAnsi="Arial"/>
          <w:sz w:val="15"/>
          <w:szCs w:val="15"/>
          <w:color w:val="auto"/>
        </w:rPr>
        <w:t>Net investment</w:t>
      </w:r>
    </w:p>
    <w:p>
      <w:pPr>
        <w:spacing w:after="0" w:line="50" w:lineRule="exact"/>
        <w:rPr>
          <w:sz w:val="20"/>
          <w:szCs w:val="20"/>
          <w:color w:val="auto"/>
        </w:rPr>
      </w:pPr>
    </w:p>
    <w:p>
      <w:pPr>
        <w:ind w:left="60"/>
        <w:spacing w:after="0"/>
        <w:rPr>
          <w:sz w:val="20"/>
          <w:szCs w:val="20"/>
          <w:color w:val="auto"/>
        </w:rPr>
      </w:pPr>
      <w:r>
        <w:rPr>
          <w:rFonts w:ascii="Arial" w:cs="Arial" w:eastAsia="Arial" w:hAnsi="Arial"/>
          <w:sz w:val="16"/>
          <w:szCs w:val="16"/>
          <w:color w:val="auto"/>
        </w:rPr>
        <w:t>gains (losses)</w:t>
      </w:r>
    </w:p>
    <w:p>
      <w:pPr>
        <w:spacing w:after="0" w:line="39" w:lineRule="exact"/>
        <w:rPr>
          <w:sz w:val="20"/>
          <w:szCs w:val="20"/>
          <w:color w:val="auto"/>
        </w:rPr>
      </w:pPr>
    </w:p>
    <w:p>
      <w:pPr>
        <w:spacing w:after="0"/>
        <w:rPr>
          <w:sz w:val="20"/>
          <w:szCs w:val="20"/>
          <w:color w:val="auto"/>
        </w:rPr>
      </w:pPr>
      <w:r>
        <w:rPr>
          <w:rFonts w:ascii="Arial" w:cs="Arial" w:eastAsia="Arial" w:hAnsi="Arial"/>
          <w:sz w:val="15"/>
          <w:szCs w:val="15"/>
          <w:color w:val="auto"/>
        </w:rPr>
        <w:t>Net investment</w:t>
      </w:r>
    </w:p>
    <w:p>
      <w:pPr>
        <w:spacing w:after="0" w:line="50" w:lineRule="exact"/>
        <w:rPr>
          <w:sz w:val="20"/>
          <w:szCs w:val="20"/>
          <w:color w:val="auto"/>
        </w:rPr>
      </w:pPr>
    </w:p>
    <w:p>
      <w:pPr>
        <w:ind w:left="60"/>
        <w:spacing w:after="0"/>
        <w:rPr>
          <w:sz w:val="20"/>
          <w:szCs w:val="20"/>
          <w:color w:val="auto"/>
        </w:rPr>
      </w:pPr>
      <w:r>
        <w:rPr>
          <w:rFonts w:ascii="Arial" w:cs="Arial" w:eastAsia="Arial" w:hAnsi="Arial"/>
          <w:sz w:val="16"/>
          <w:szCs w:val="16"/>
          <w:color w:val="auto"/>
        </w:rPr>
        <w:t>gains (losses)</w:t>
      </w:r>
    </w:p>
    <w:p>
      <w:pPr>
        <w:sectPr>
          <w:pgSz w:w="11900" w:h="16838" w:orient="portrait"/>
          <w:cols w:equalWidth="0" w:num="2">
            <w:col w:w="9620" w:space="660"/>
            <w:col w:w="1140"/>
          </w:cols>
          <w:pgMar w:left="240" w:top="459" w:right="239" w:bottom="1440" w:gutter="0" w:footer="0" w:header="0"/>
          <w:type w:val="continuous"/>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provides information about the pre-tax income (loss) effects of cash flow hedges for the six months ended June 30, 2010:</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00" w:type="dxa"/>
            <w:vAlign w:val="bottom"/>
            <w:gridSpan w:val="2"/>
          </w:tcPr>
          <w:p>
            <w:pPr>
              <w:jc w:val="center"/>
              <w:ind w:right="800"/>
              <w:spacing w:after="0"/>
              <w:rPr>
                <w:sz w:val="20"/>
                <w:szCs w:val="20"/>
                <w:color w:val="auto"/>
              </w:rPr>
            </w:pPr>
            <w:r>
              <w:rPr>
                <w:rFonts w:ascii="Arial" w:cs="Arial" w:eastAsia="Arial" w:hAnsi="Arial"/>
                <w:sz w:val="14"/>
                <w:szCs w:val="14"/>
                <w:b w:val="1"/>
                <w:bCs w:val="1"/>
                <w:color w:val="auto"/>
                <w:w w:val="85"/>
              </w:rPr>
              <w:t>Gain (loss)</w:t>
            </w: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20" w:type="dxa"/>
            <w:vAlign w:val="bottom"/>
            <w:gridSpan w:val="3"/>
          </w:tcPr>
          <w:p>
            <w:pPr>
              <w:jc w:val="center"/>
              <w:ind w:right="660"/>
              <w:spacing w:after="0" w:line="149" w:lineRule="exact"/>
              <w:rPr>
                <w:sz w:val="20"/>
                <w:szCs w:val="20"/>
                <w:color w:val="auto"/>
              </w:rPr>
            </w:pPr>
            <w:r>
              <w:rPr>
                <w:rFonts w:ascii="Arial" w:cs="Arial" w:eastAsia="Arial" w:hAnsi="Arial"/>
                <w:sz w:val="14"/>
                <w:szCs w:val="14"/>
                <w:b w:val="1"/>
                <w:bCs w:val="1"/>
                <w:color w:val="auto"/>
                <w:w w:val="86"/>
              </w:rPr>
              <w:t>reclassified into</w:t>
            </w:r>
          </w:p>
        </w:tc>
        <w:tc>
          <w:tcPr>
            <w:tcW w:w="12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Classification of gain</w:t>
            </w: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40" w:type="dxa"/>
            <w:vAlign w:val="bottom"/>
            <w:gridSpan w:val="2"/>
          </w:tcPr>
          <w:p>
            <w:pPr>
              <w:jc w:val="center"/>
              <w:ind w:right="680"/>
              <w:spacing w:after="0" w:line="149" w:lineRule="exact"/>
              <w:rPr>
                <w:sz w:val="20"/>
                <w:szCs w:val="20"/>
                <w:color w:val="auto"/>
              </w:rPr>
            </w:pPr>
            <w:r>
              <w:rPr>
                <w:rFonts w:ascii="Arial" w:cs="Arial" w:eastAsia="Arial" w:hAnsi="Arial"/>
                <w:sz w:val="14"/>
                <w:szCs w:val="14"/>
                <w:b w:val="1"/>
                <w:bCs w:val="1"/>
                <w:color w:val="auto"/>
                <w:w w:val="85"/>
              </w:rPr>
              <w:t>Gain (loss)</w:t>
            </w:r>
          </w:p>
        </w:tc>
        <w:tc>
          <w:tcPr>
            <w:tcW w:w="12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Classification of gain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60" w:type="dxa"/>
            <w:vAlign w:val="bottom"/>
            <w:gridSpan w:val="2"/>
          </w:tcPr>
          <w:p>
            <w:pPr>
              <w:jc w:val="right"/>
              <w:ind w:right="580"/>
              <w:spacing w:after="0" w:line="135" w:lineRule="exact"/>
              <w:rPr>
                <w:sz w:val="20"/>
                <w:szCs w:val="20"/>
                <w:color w:val="auto"/>
              </w:rPr>
            </w:pPr>
            <w:r>
              <w:rPr>
                <w:rFonts w:ascii="Arial" w:cs="Arial" w:eastAsia="Arial" w:hAnsi="Arial"/>
                <w:sz w:val="14"/>
                <w:szCs w:val="14"/>
                <w:b w:val="1"/>
                <w:bCs w:val="1"/>
                <w:color w:val="auto"/>
                <w:w w:val="91"/>
              </w:rPr>
              <w:t>Gain (loss)</w:t>
            </w:r>
          </w:p>
        </w:tc>
        <w:tc>
          <w:tcPr>
            <w:tcW w:w="300" w:type="dxa"/>
            <w:vAlign w:val="bottom"/>
          </w:tcPr>
          <w:p>
            <w:pPr>
              <w:spacing w:after="0"/>
              <w:rPr>
                <w:sz w:val="11"/>
                <w:szCs w:val="11"/>
                <w:color w:val="auto"/>
              </w:rPr>
            </w:pPr>
          </w:p>
        </w:tc>
        <w:tc>
          <w:tcPr>
            <w:tcW w:w="1620" w:type="dxa"/>
            <w:vAlign w:val="bottom"/>
            <w:gridSpan w:val="3"/>
          </w:tcPr>
          <w:p>
            <w:pPr>
              <w:jc w:val="center"/>
              <w:ind w:right="660"/>
              <w:spacing w:after="0" w:line="135" w:lineRule="exact"/>
              <w:rPr>
                <w:sz w:val="20"/>
                <w:szCs w:val="20"/>
                <w:color w:val="auto"/>
              </w:rPr>
            </w:pPr>
            <w:r>
              <w:rPr>
                <w:rFonts w:ascii="Arial" w:cs="Arial" w:eastAsia="Arial" w:hAnsi="Arial"/>
                <w:sz w:val="14"/>
                <w:szCs w:val="14"/>
                <w:b w:val="1"/>
                <w:bCs w:val="1"/>
                <w:color w:val="auto"/>
                <w:w w:val="83"/>
              </w:rPr>
              <w:t>net income (loss)</w:t>
            </w:r>
          </w:p>
        </w:tc>
        <w:tc>
          <w:tcPr>
            <w:tcW w:w="12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3"/>
              </w:rPr>
              <w:t>(loss) reclassified into</w:t>
            </w: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540" w:type="dxa"/>
            <w:vAlign w:val="bottom"/>
            <w:gridSpan w:val="2"/>
          </w:tcPr>
          <w:p>
            <w:pPr>
              <w:jc w:val="center"/>
              <w:ind w:right="700"/>
              <w:spacing w:after="0" w:line="135" w:lineRule="exact"/>
              <w:rPr>
                <w:sz w:val="20"/>
                <w:szCs w:val="20"/>
                <w:color w:val="auto"/>
              </w:rPr>
            </w:pPr>
            <w:r>
              <w:rPr>
                <w:rFonts w:ascii="Arial" w:cs="Arial" w:eastAsia="Arial" w:hAnsi="Arial"/>
                <w:sz w:val="14"/>
                <w:szCs w:val="14"/>
                <w:b w:val="1"/>
                <w:bCs w:val="1"/>
                <w:color w:val="auto"/>
                <w:w w:val="84"/>
              </w:rPr>
              <w:t>recognized in</w:t>
            </w:r>
          </w:p>
        </w:tc>
        <w:tc>
          <w:tcPr>
            <w:tcW w:w="12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3"/>
              </w:rPr>
              <w:t>(loss) recognized in</w:t>
            </w:r>
          </w:p>
        </w:tc>
        <w:tc>
          <w:tcPr>
            <w:tcW w:w="0" w:type="dxa"/>
            <w:vAlign w:val="bottom"/>
          </w:tcPr>
          <w:p>
            <w:pPr>
              <w:spacing w:after="0"/>
              <w:rPr>
                <w:sz w:val="1"/>
                <w:szCs w:val="1"/>
                <w:color w:val="auto"/>
              </w:rPr>
            </w:pPr>
          </w:p>
        </w:tc>
      </w:tr>
      <w:tr>
        <w:trPr>
          <w:trHeight w:val="176"/>
        </w:trPr>
        <w:tc>
          <w:tcPr>
            <w:tcW w:w="300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400" w:type="dxa"/>
            <w:vAlign w:val="bottom"/>
          </w:tcPr>
          <w:p>
            <w:pPr>
              <w:spacing w:after="0"/>
              <w:rPr>
                <w:sz w:val="15"/>
                <w:szCs w:val="15"/>
                <w:color w:val="auto"/>
              </w:rPr>
            </w:pPr>
          </w:p>
        </w:tc>
        <w:tc>
          <w:tcPr>
            <w:tcW w:w="1420" w:type="dxa"/>
            <w:vAlign w:val="bottom"/>
            <w:gridSpan w:val="3"/>
          </w:tcPr>
          <w:p>
            <w:pPr>
              <w:spacing w:after="0"/>
              <w:rPr>
                <w:sz w:val="20"/>
                <w:szCs w:val="20"/>
                <w:color w:val="auto"/>
              </w:rPr>
            </w:pPr>
            <w:r>
              <w:rPr>
                <w:rFonts w:ascii="Arial" w:cs="Arial" w:eastAsia="Arial" w:hAnsi="Arial"/>
                <w:sz w:val="14"/>
                <w:szCs w:val="14"/>
                <w:b w:val="1"/>
                <w:bCs w:val="1"/>
                <w:color w:val="auto"/>
              </w:rPr>
              <w:t>recognized in OCI</w:t>
            </w: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00" w:type="dxa"/>
            <w:vAlign w:val="bottom"/>
            <w:gridSpan w:val="2"/>
          </w:tcPr>
          <w:p>
            <w:pPr>
              <w:jc w:val="center"/>
              <w:ind w:right="820"/>
              <w:spacing w:after="0"/>
              <w:rPr>
                <w:sz w:val="20"/>
                <w:szCs w:val="20"/>
                <w:color w:val="auto"/>
              </w:rPr>
            </w:pPr>
            <w:r>
              <w:rPr>
                <w:rFonts w:ascii="Arial" w:cs="Arial" w:eastAsia="Arial" w:hAnsi="Arial"/>
                <w:sz w:val="14"/>
                <w:szCs w:val="14"/>
                <w:b w:val="1"/>
                <w:bCs w:val="1"/>
                <w:color w:val="auto"/>
                <w:w w:val="93"/>
              </w:rPr>
              <w:t>from OCI</w:t>
            </w: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540" w:type="dxa"/>
            <w:vAlign w:val="bottom"/>
          </w:tcPr>
          <w:p>
            <w:pPr>
              <w:spacing w:after="0"/>
              <w:rPr>
                <w:sz w:val="15"/>
                <w:szCs w:val="15"/>
                <w:color w:val="auto"/>
              </w:rPr>
            </w:pPr>
          </w:p>
        </w:tc>
        <w:tc>
          <w:tcPr>
            <w:tcW w:w="1680" w:type="dxa"/>
            <w:vAlign w:val="bottom"/>
            <w:gridSpan w:val="3"/>
          </w:tcPr>
          <w:p>
            <w:pPr>
              <w:spacing w:after="0" w:line="176" w:lineRule="exact"/>
              <w:rPr>
                <w:sz w:val="20"/>
                <w:szCs w:val="20"/>
                <w:color w:val="auto"/>
              </w:rPr>
            </w:pPr>
            <w:r>
              <w:rPr>
                <w:rFonts w:ascii="Arial" w:cs="Arial" w:eastAsia="Arial" w:hAnsi="Arial"/>
                <w:sz w:val="13"/>
                <w:szCs w:val="13"/>
                <w:b w:val="1"/>
                <w:bCs w:val="1"/>
                <w:color w:val="auto"/>
              </w:rPr>
              <w:t xml:space="preserve">net income (loss) </w:t>
            </w:r>
            <w:r>
              <w:rPr>
                <w:rFonts w:ascii="Arial" w:cs="Arial" w:eastAsia="Arial" w:hAnsi="Arial"/>
                <w:sz w:val="20"/>
                <w:szCs w:val="20"/>
                <w:color w:val="auto"/>
                <w:vertAlign w:val="superscript"/>
              </w:rPr>
              <w:t>(1)</w:t>
            </w:r>
          </w:p>
        </w:tc>
        <w:tc>
          <w:tcPr>
            <w:tcW w:w="122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29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Interest rate swaps hedging assets</w:t>
            </w:r>
          </w:p>
        </w:tc>
        <w:tc>
          <w:tcPr>
            <w:tcW w:w="4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4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8"/>
              </w:rPr>
              <w:t>Net investment</w:t>
            </w: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2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8"/>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66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563</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8</w:t>
            </w:r>
          </w:p>
        </w:tc>
        <w:tc>
          <w:tcPr>
            <w:tcW w:w="12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income</w:t>
            </w:r>
          </w:p>
        </w:tc>
        <w:tc>
          <w:tcPr>
            <w:tcW w:w="68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12</w:t>
            </w:r>
          </w:p>
        </w:tc>
        <w:tc>
          <w:tcPr>
            <w:tcW w:w="12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gains (losses)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980" w:type="dxa"/>
            <w:vAlign w:val="bottom"/>
            <w:gridSpan w:val="2"/>
          </w:tcPr>
          <w:p>
            <w:pPr>
              <w:spacing w:after="0"/>
              <w:rPr>
                <w:sz w:val="20"/>
                <w:szCs w:val="20"/>
                <w:color w:val="auto"/>
              </w:rPr>
            </w:pPr>
            <w:r>
              <w:rPr>
                <w:rFonts w:ascii="Arial" w:cs="Arial" w:eastAsia="Arial" w:hAnsi="Arial"/>
                <w:sz w:val="18"/>
                <w:szCs w:val="18"/>
                <w:color w:val="auto"/>
              </w:rPr>
              <w:t>Interest rate swaps hedging assets</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8"/>
              </w:rPr>
              <w:t>Net investment</w:t>
            </w: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20" w:type="dxa"/>
            <w:vAlign w:val="bottom"/>
          </w:tcPr>
          <w:p>
            <w:pPr>
              <w:jc w:val="center"/>
              <w:spacing w:after="0"/>
              <w:rPr>
                <w:sz w:val="20"/>
                <w:szCs w:val="20"/>
                <w:color w:val="auto"/>
              </w:rPr>
            </w:pPr>
            <w:r>
              <w:rPr>
                <w:rFonts w:ascii="Arial" w:cs="Arial" w:eastAsia="Arial" w:hAnsi="Arial"/>
                <w:sz w:val="18"/>
                <w:szCs w:val="18"/>
                <w:color w:val="auto"/>
                <w:w w:val="88"/>
              </w:rPr>
              <w:t>Net investment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00" w:type="dxa"/>
            <w:vAlign w:val="bottom"/>
            <w:gridSpan w:val="2"/>
          </w:tcPr>
          <w:p>
            <w:pPr>
              <w:jc w:val="right"/>
              <w:ind w:right="660"/>
              <w:spacing w:after="0"/>
              <w:rPr>
                <w:sz w:val="20"/>
                <w:szCs w:val="20"/>
                <w:color w:val="auto"/>
              </w:rPr>
            </w:pPr>
            <w:r>
              <w:rPr>
                <w:rFonts w:ascii="Arial" w:cs="Arial" w:eastAsia="Arial" w:hAnsi="Arial"/>
                <w:sz w:val="18"/>
                <w:szCs w:val="18"/>
                <w:color w:val="auto"/>
              </w:rPr>
              <w:t>1</w:t>
            </w:r>
          </w:p>
        </w:tc>
        <w:tc>
          <w:tcPr>
            <w:tcW w:w="124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4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84"/>
              </w:rPr>
              <w:t>gains (losses)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swaps hedging liabilities</w:t>
            </w: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66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w:t>
            </w:r>
          </w:p>
        </w:tc>
        <w:tc>
          <w:tcPr>
            <w:tcW w:w="3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w:t>
            </w:r>
          </w:p>
        </w:tc>
        <w:tc>
          <w:tcPr>
            <w:tcW w:w="12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5"/>
              </w:rPr>
              <w:t>Interest expense</w:t>
            </w:r>
          </w:p>
        </w:tc>
        <w:tc>
          <w:tcPr>
            <w:tcW w:w="5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540" w:type="dxa"/>
            <w:vAlign w:val="bottom"/>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gains (losses)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980" w:type="dxa"/>
            <w:vAlign w:val="bottom"/>
            <w:gridSpan w:val="2"/>
          </w:tcPr>
          <w:p>
            <w:pPr>
              <w:spacing w:after="0"/>
              <w:rPr>
                <w:sz w:val="20"/>
                <w:szCs w:val="20"/>
                <w:color w:val="auto"/>
              </w:rPr>
            </w:pPr>
            <w:r>
              <w:rPr>
                <w:rFonts w:ascii="Arial" w:cs="Arial" w:eastAsia="Arial" w:hAnsi="Arial"/>
                <w:sz w:val="18"/>
                <w:szCs w:val="18"/>
                <w:color w:val="auto"/>
              </w:rPr>
              <w:t>Foreign currency</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20" w:type="dxa"/>
            <w:vAlign w:val="bottom"/>
          </w:tcPr>
          <w:p>
            <w:pPr>
              <w:jc w:val="center"/>
              <w:spacing w:after="0"/>
              <w:rPr>
                <w:sz w:val="20"/>
                <w:szCs w:val="20"/>
                <w:color w:val="auto"/>
              </w:rPr>
            </w:pPr>
            <w:r>
              <w:rPr>
                <w:rFonts w:ascii="Arial" w:cs="Arial" w:eastAsia="Arial" w:hAnsi="Arial"/>
                <w:sz w:val="18"/>
                <w:szCs w:val="18"/>
                <w:color w:val="auto"/>
                <w:w w:val="88"/>
              </w:rPr>
              <w:t>Net investment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980" w:type="dxa"/>
            <w:vAlign w:val="bottom"/>
            <w:gridSpan w:val="2"/>
          </w:tcPr>
          <w:p>
            <w:pPr>
              <w:ind w:left="200"/>
              <w:spacing w:after="0"/>
              <w:rPr>
                <w:sz w:val="20"/>
                <w:szCs w:val="20"/>
                <w:color w:val="auto"/>
              </w:rPr>
            </w:pPr>
            <w:r>
              <w:rPr>
                <w:rFonts w:ascii="Arial" w:cs="Arial" w:eastAsia="Arial" w:hAnsi="Arial"/>
                <w:sz w:val="18"/>
                <w:szCs w:val="18"/>
                <w:color w:val="auto"/>
              </w:rPr>
              <w:t>swaps</w:t>
            </w:r>
          </w:p>
        </w:tc>
        <w:tc>
          <w:tcPr>
            <w:tcW w:w="4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gridSpan w:val="2"/>
          </w:tcPr>
          <w:p>
            <w:pPr>
              <w:jc w:val="right"/>
              <w:ind w:right="360"/>
              <w:spacing w:after="0"/>
              <w:rPr>
                <w:sz w:val="20"/>
                <w:szCs w:val="20"/>
                <w:color w:val="auto"/>
              </w:rPr>
            </w:pPr>
            <w:r>
              <w:rPr>
                <w:rFonts w:ascii="Arial" w:cs="Arial" w:eastAsia="Arial" w:hAnsi="Arial"/>
                <w:sz w:val="18"/>
                <w:szCs w:val="18"/>
                <w:color w:val="auto"/>
              </w:rPr>
              <w:t>7</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00" w:type="dxa"/>
            <w:vAlign w:val="bottom"/>
            <w:gridSpan w:val="2"/>
          </w:tcPr>
          <w:p>
            <w:pPr>
              <w:jc w:val="right"/>
              <w:ind w:right="600"/>
              <w:spacing w:after="0"/>
              <w:rPr>
                <w:sz w:val="20"/>
                <w:szCs w:val="20"/>
                <w:color w:val="auto"/>
              </w:rPr>
            </w:pPr>
            <w:r>
              <w:rPr>
                <w:rFonts w:ascii="Arial" w:cs="Arial" w:eastAsia="Arial" w:hAnsi="Arial"/>
                <w:sz w:val="18"/>
                <w:szCs w:val="18"/>
                <w:color w:val="auto"/>
              </w:rPr>
              <w:t>(4)</w:t>
            </w:r>
          </w:p>
        </w:tc>
        <w:tc>
          <w:tcPr>
            <w:tcW w:w="1240" w:type="dxa"/>
            <w:vAlign w:val="bottom"/>
          </w:tcPr>
          <w:p>
            <w:pPr>
              <w:jc w:val="center"/>
              <w:spacing w:after="0"/>
              <w:rPr>
                <w:sz w:val="20"/>
                <w:szCs w:val="20"/>
                <w:color w:val="auto"/>
              </w:rPr>
            </w:pPr>
            <w:r>
              <w:rPr>
                <w:rFonts w:ascii="Arial" w:cs="Arial" w:eastAsia="Arial" w:hAnsi="Arial"/>
                <w:sz w:val="18"/>
                <w:szCs w:val="18"/>
                <w:color w:val="auto"/>
                <w:w w:val="85"/>
              </w:rPr>
              <w:t>Interest expense</w:t>
            </w: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4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84"/>
              </w:rPr>
              <w:t>gains (losses)</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w:t>
            </w:r>
          </w:p>
        </w:tc>
        <w:tc>
          <w:tcPr>
            <w:tcW w:w="5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567</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w:t>
            </w:r>
          </w:p>
        </w:tc>
        <w:tc>
          <w:tcPr>
            <w:tcW w:w="12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12</w:t>
            </w:r>
          </w:p>
        </w:tc>
        <w:tc>
          <w:tcPr>
            <w:tcW w:w="1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8"/>
        </w:numPr>
        <w:rPr>
          <w:rFonts w:ascii="Arial" w:cs="Arial" w:eastAsia="Arial" w:hAnsi="Arial"/>
          <w:sz w:val="22"/>
          <w:szCs w:val="22"/>
          <w:color w:val="auto"/>
          <w:vertAlign w:val="superscript"/>
        </w:rPr>
      </w:pPr>
      <w:r>
        <w:rPr>
          <w:rFonts w:ascii="Arial" w:cs="Arial" w:eastAsia="Arial" w:hAnsi="Arial"/>
          <w:sz w:val="18"/>
          <w:szCs w:val="18"/>
          <w:color w:val="auto"/>
        </w:rPr>
        <w:t>Represents ineffective portion of cash flow hedges as there were no amounts excluded from the measurement of effectiveness.</w:t>
      </w:r>
    </w:p>
    <w:p>
      <w:pPr>
        <w:spacing w:after="0" w:line="155" w:lineRule="exact"/>
        <w:rPr>
          <w:rFonts w:ascii="Arial" w:cs="Arial" w:eastAsia="Arial" w:hAnsi="Arial"/>
          <w:sz w:val="22"/>
          <w:szCs w:val="22"/>
          <w:color w:val="auto"/>
          <w:vertAlign w:val="superscript"/>
        </w:rPr>
      </w:pPr>
    </w:p>
    <w:p>
      <w:pPr>
        <w:ind w:left="460"/>
        <w:spacing w:after="0"/>
        <w:rPr>
          <w:rFonts w:ascii="Arial" w:cs="Arial" w:eastAsia="Arial" w:hAnsi="Arial"/>
          <w:sz w:val="22"/>
          <w:szCs w:val="22"/>
          <w:color w:val="auto"/>
          <w:vertAlign w:val="superscript"/>
        </w:rPr>
      </w:pPr>
      <w:r>
        <w:rPr>
          <w:rFonts w:ascii="Arial" w:cs="Arial" w:eastAsia="Arial" w:hAnsi="Arial"/>
          <w:sz w:val="16"/>
          <w:szCs w:val="16"/>
          <w:color w:val="auto"/>
        </w:rPr>
        <w:t>The following table provides information about the pre-tax income (loss) effects of cash flow hedges for the six months ended June 30,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-376555</wp:posOffset>
            </wp:positionV>
            <wp:extent cx="72898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280" w:type="dxa"/>
            <w:vAlign w:val="bottom"/>
          </w:tcPr>
          <w:p>
            <w:pPr>
              <w:spacing w:after="0"/>
              <w:rPr>
                <w:sz w:val="14"/>
                <w:szCs w:val="14"/>
                <w:color w:val="auto"/>
              </w:rPr>
            </w:pPr>
          </w:p>
        </w:tc>
        <w:tc>
          <w:tcPr>
            <w:tcW w:w="2420" w:type="dxa"/>
            <w:vAlign w:val="bottom"/>
          </w:tcPr>
          <w:p>
            <w:pPr>
              <w:spacing w:after="0"/>
              <w:rPr>
                <w:sz w:val="14"/>
                <w:szCs w:val="14"/>
                <w:color w:val="auto"/>
              </w:rPr>
            </w:pP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w w:val="85"/>
              </w:rPr>
              <w:t>Gain (loss)</w:t>
            </w:r>
          </w:p>
        </w:tc>
        <w:tc>
          <w:tcPr>
            <w:tcW w:w="184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540" w:type="dxa"/>
            <w:vAlign w:val="bottom"/>
          </w:tcPr>
          <w:p>
            <w:pPr>
              <w:spacing w:after="0"/>
              <w:rPr>
                <w:sz w:val="14"/>
                <w:szCs w:val="14"/>
                <w:color w:val="auto"/>
              </w:rPr>
            </w:pPr>
          </w:p>
        </w:tc>
      </w:tr>
      <w:tr>
        <w:trPr>
          <w:trHeight w:val="149"/>
        </w:trPr>
        <w:tc>
          <w:tcPr>
            <w:tcW w:w="2280" w:type="dxa"/>
            <w:vAlign w:val="bottom"/>
          </w:tcPr>
          <w:p>
            <w:pPr>
              <w:spacing w:after="0"/>
              <w:rPr>
                <w:sz w:val="12"/>
                <w:szCs w:val="12"/>
                <w:color w:val="auto"/>
              </w:rPr>
            </w:pPr>
          </w:p>
        </w:tc>
        <w:tc>
          <w:tcPr>
            <w:tcW w:w="2420" w:type="dxa"/>
            <w:vAlign w:val="bottom"/>
          </w:tcPr>
          <w:p>
            <w:pPr>
              <w:spacing w:after="0"/>
              <w:rPr>
                <w:sz w:val="12"/>
                <w:szCs w:val="12"/>
                <w:color w:val="auto"/>
              </w:rPr>
            </w:pPr>
          </w:p>
        </w:tc>
        <w:tc>
          <w:tcPr>
            <w:tcW w:w="1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reclassified into</w:t>
            </w:r>
          </w:p>
        </w:tc>
        <w:tc>
          <w:tcPr>
            <w:tcW w:w="1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Classification of gain</w:t>
            </w:r>
          </w:p>
        </w:tc>
        <w:tc>
          <w:tcPr>
            <w:tcW w:w="1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Gain (loss)</w:t>
            </w:r>
          </w:p>
        </w:tc>
        <w:tc>
          <w:tcPr>
            <w:tcW w:w="1540" w:type="dxa"/>
            <w:vAlign w:val="bottom"/>
          </w:tcPr>
          <w:p>
            <w:pPr>
              <w:jc w:val="center"/>
              <w:ind w:left="252"/>
              <w:spacing w:after="0" w:line="149" w:lineRule="exact"/>
              <w:rPr>
                <w:sz w:val="20"/>
                <w:szCs w:val="20"/>
                <w:color w:val="auto"/>
              </w:rPr>
            </w:pPr>
            <w:r>
              <w:rPr>
                <w:rFonts w:ascii="Arial" w:cs="Arial" w:eastAsia="Arial" w:hAnsi="Arial"/>
                <w:sz w:val="14"/>
                <w:szCs w:val="14"/>
                <w:b w:val="1"/>
                <w:bCs w:val="1"/>
                <w:color w:val="auto"/>
                <w:w w:val="86"/>
              </w:rPr>
              <w:t>Classification of gain</w:t>
            </w:r>
          </w:p>
        </w:tc>
      </w:tr>
      <w:tr>
        <w:trPr>
          <w:trHeight w:val="134"/>
        </w:trPr>
        <w:tc>
          <w:tcPr>
            <w:tcW w:w="2280" w:type="dxa"/>
            <w:vAlign w:val="bottom"/>
          </w:tcPr>
          <w:p>
            <w:pPr>
              <w:spacing w:after="0"/>
              <w:rPr>
                <w:sz w:val="11"/>
                <w:szCs w:val="11"/>
                <w:color w:val="auto"/>
              </w:rPr>
            </w:pPr>
          </w:p>
        </w:tc>
        <w:tc>
          <w:tcPr>
            <w:tcW w:w="2420" w:type="dxa"/>
            <w:vAlign w:val="bottom"/>
          </w:tcPr>
          <w:p>
            <w:pPr>
              <w:jc w:val="center"/>
              <w:ind w:left="612"/>
              <w:spacing w:after="0" w:line="135" w:lineRule="exact"/>
              <w:rPr>
                <w:sz w:val="20"/>
                <w:szCs w:val="20"/>
                <w:color w:val="auto"/>
              </w:rPr>
            </w:pPr>
            <w:r>
              <w:rPr>
                <w:rFonts w:ascii="Arial" w:cs="Arial" w:eastAsia="Arial" w:hAnsi="Arial"/>
                <w:sz w:val="14"/>
                <w:szCs w:val="14"/>
                <w:b w:val="1"/>
                <w:bCs w:val="1"/>
                <w:color w:val="auto"/>
                <w:w w:val="85"/>
              </w:rPr>
              <w:t>Gain (loss)</w:t>
            </w:r>
          </w:p>
        </w:tc>
        <w:tc>
          <w:tcPr>
            <w:tcW w:w="16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3"/>
              </w:rPr>
              <w:t>net income (loss)</w:t>
            </w:r>
          </w:p>
        </w:tc>
        <w:tc>
          <w:tcPr>
            <w:tcW w:w="18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3"/>
              </w:rPr>
              <w:t>(loss) reclassified into</w:t>
            </w:r>
          </w:p>
        </w:tc>
        <w:tc>
          <w:tcPr>
            <w:tcW w:w="17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6"/>
              </w:rPr>
              <w:t>recognized in</w:t>
            </w:r>
          </w:p>
        </w:tc>
        <w:tc>
          <w:tcPr>
            <w:tcW w:w="1540" w:type="dxa"/>
            <w:vAlign w:val="bottom"/>
          </w:tcPr>
          <w:p>
            <w:pPr>
              <w:jc w:val="center"/>
              <w:ind w:left="252"/>
              <w:spacing w:after="0" w:line="135" w:lineRule="exact"/>
              <w:rPr>
                <w:sz w:val="20"/>
                <w:szCs w:val="20"/>
                <w:color w:val="auto"/>
              </w:rPr>
            </w:pPr>
            <w:r>
              <w:rPr>
                <w:rFonts w:ascii="Arial" w:cs="Arial" w:eastAsia="Arial" w:hAnsi="Arial"/>
                <w:sz w:val="14"/>
                <w:szCs w:val="14"/>
                <w:b w:val="1"/>
                <w:bCs w:val="1"/>
                <w:color w:val="auto"/>
                <w:w w:val="83"/>
              </w:rPr>
              <w:t>(loss) recognized in</w:t>
            </w:r>
          </w:p>
        </w:tc>
      </w:tr>
      <w:tr>
        <w:trPr>
          <w:trHeight w:val="176"/>
        </w:trPr>
        <w:tc>
          <w:tcPr>
            <w:tcW w:w="2280" w:type="dxa"/>
            <w:vAlign w:val="bottom"/>
          </w:tcPr>
          <w:p>
            <w:pPr>
              <w:spacing w:after="0"/>
              <w:rPr>
                <w:sz w:val="20"/>
                <w:szCs w:val="20"/>
                <w:color w:val="auto"/>
              </w:rPr>
            </w:pPr>
            <w:r>
              <w:rPr>
                <w:rFonts w:ascii="Arial" w:cs="Arial" w:eastAsia="Arial" w:hAnsi="Arial"/>
                <w:sz w:val="14"/>
                <w:szCs w:val="14"/>
                <w:b w:val="1"/>
                <w:bCs w:val="1"/>
                <w:color w:val="auto"/>
              </w:rPr>
              <w:t>(Amounts in millions)</w:t>
            </w:r>
          </w:p>
        </w:tc>
        <w:tc>
          <w:tcPr>
            <w:tcW w:w="2420" w:type="dxa"/>
            <w:vAlign w:val="bottom"/>
          </w:tcPr>
          <w:p>
            <w:pPr>
              <w:jc w:val="center"/>
              <w:ind w:left="612"/>
              <w:spacing w:after="0"/>
              <w:rPr>
                <w:sz w:val="20"/>
                <w:szCs w:val="20"/>
                <w:color w:val="auto"/>
              </w:rPr>
            </w:pPr>
            <w:r>
              <w:rPr>
                <w:rFonts w:ascii="Arial" w:cs="Arial" w:eastAsia="Arial" w:hAnsi="Arial"/>
                <w:sz w:val="14"/>
                <w:szCs w:val="14"/>
                <w:b w:val="1"/>
                <w:bCs w:val="1"/>
                <w:color w:val="auto"/>
                <w:w w:val="89"/>
              </w:rPr>
              <w:t>recognized in OCI</w:t>
            </w: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w w:val="96"/>
              </w:rPr>
              <w:t>from OCI</w:t>
            </w:r>
          </w:p>
        </w:tc>
        <w:tc>
          <w:tcPr>
            <w:tcW w:w="184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1720" w:type="dxa"/>
            <w:vAlign w:val="bottom"/>
          </w:tcPr>
          <w:p>
            <w:pPr>
              <w:jc w:val="center"/>
              <w:spacing w:after="0" w:line="176" w:lineRule="exact"/>
              <w:rPr>
                <w:sz w:val="20"/>
                <w:szCs w:val="20"/>
                <w:color w:val="auto"/>
              </w:rPr>
            </w:pPr>
            <w:r>
              <w:rPr>
                <w:rFonts w:ascii="Arial" w:cs="Arial" w:eastAsia="Arial" w:hAnsi="Arial"/>
                <w:sz w:val="13"/>
                <w:szCs w:val="13"/>
                <w:b w:val="1"/>
                <w:bCs w:val="1"/>
                <w:color w:val="auto"/>
                <w:w w:val="89"/>
              </w:rPr>
              <w:t xml:space="preserve">net income (loss) </w:t>
            </w:r>
            <w:r>
              <w:rPr>
                <w:rFonts w:ascii="Arial" w:cs="Arial" w:eastAsia="Arial" w:hAnsi="Arial"/>
                <w:sz w:val="20"/>
                <w:szCs w:val="20"/>
                <w:color w:val="auto"/>
                <w:w w:val="89"/>
                <w:vertAlign w:val="superscript"/>
              </w:rPr>
              <w:t>(1)</w:t>
            </w:r>
          </w:p>
        </w:tc>
        <w:tc>
          <w:tcPr>
            <w:tcW w:w="1540" w:type="dxa"/>
            <w:vAlign w:val="bottom"/>
          </w:tcPr>
          <w:p>
            <w:pPr>
              <w:jc w:val="center"/>
              <w:ind w:left="272"/>
              <w:spacing w:after="0"/>
              <w:rPr>
                <w:sz w:val="20"/>
                <w:szCs w:val="20"/>
                <w:color w:val="auto"/>
              </w:rPr>
            </w:pPr>
            <w:r>
              <w:rPr>
                <w:rFonts w:ascii="Arial" w:cs="Arial" w:eastAsia="Arial" w:hAnsi="Arial"/>
                <w:sz w:val="14"/>
                <w:szCs w:val="14"/>
                <w:b w:val="1"/>
                <w:bCs w:val="1"/>
                <w:color w:val="auto"/>
                <w:w w:val="83"/>
              </w:rPr>
              <w:t>net income (loss)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6479540</wp:posOffset>
            </wp:positionH>
            <wp:positionV relativeFrom="paragraph">
              <wp:posOffset>0</wp:posOffset>
            </wp:positionV>
            <wp:extent cx="77152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sectPr>
      </w:pP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20"/>
        </w:trPr>
        <w:tc>
          <w:tcPr>
            <w:tcW w:w="1340" w:type="dxa"/>
            <w:vAlign w:val="bottom"/>
            <w:shd w:val="clear" w:color="auto" w:fill="000000"/>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300" w:type="dxa"/>
            <w:vAlign w:val="bottom"/>
            <w:gridSpan w:val="2"/>
          </w:tcPr>
          <w:p>
            <w:pPr>
              <w:spacing w:after="0" w:line="195" w:lineRule="exact"/>
              <w:rPr>
                <w:sz w:val="20"/>
                <w:szCs w:val="20"/>
                <w:color w:val="auto"/>
              </w:rPr>
            </w:pPr>
            <w:r>
              <w:rPr>
                <w:rFonts w:ascii="Arial" w:cs="Arial" w:eastAsia="Arial" w:hAnsi="Arial"/>
                <w:sz w:val="18"/>
                <w:szCs w:val="18"/>
                <w:color w:val="auto"/>
              </w:rPr>
              <w:t>Interest rate swaps hedging assets</w:t>
            </w:r>
          </w:p>
        </w:tc>
        <w:tc>
          <w:tcPr>
            <w:tcW w:w="4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40" w:type="dxa"/>
            <w:vAlign w:val="bottom"/>
          </w:tcPr>
          <w:p>
            <w:pPr>
              <w:jc w:val="center"/>
              <w:spacing w:after="0" w:line="195" w:lineRule="exact"/>
              <w:rPr>
                <w:sz w:val="20"/>
                <w:szCs w:val="20"/>
                <w:color w:val="auto"/>
              </w:rPr>
            </w:pPr>
            <w:r>
              <w:rPr>
                <w:rFonts w:ascii="Arial" w:cs="Arial" w:eastAsia="Arial" w:hAnsi="Arial"/>
                <w:sz w:val="18"/>
                <w:szCs w:val="18"/>
                <w:color w:val="auto"/>
                <w:w w:val="89"/>
              </w:rPr>
              <w:t>Net investment</w:t>
            </w:r>
          </w:p>
        </w:tc>
        <w:tc>
          <w:tcPr>
            <w:tcW w:w="5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34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420" w:type="dxa"/>
            <w:vAlign w:val="bottom"/>
          </w:tcPr>
          <w:p>
            <w:pPr>
              <w:jc w:val="right"/>
              <w:ind w:right="232"/>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(322)</w:t>
            </w:r>
          </w:p>
        </w:tc>
        <w:tc>
          <w:tcPr>
            <w:tcW w:w="76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8</w:t>
            </w:r>
          </w:p>
        </w:tc>
        <w:tc>
          <w:tcPr>
            <w:tcW w:w="640" w:type="dxa"/>
            <w:vAlign w:val="bottom"/>
          </w:tcPr>
          <w:p>
            <w:pPr>
              <w:spacing w:after="0"/>
              <w:rPr>
                <w:sz w:val="18"/>
                <w:szCs w:val="18"/>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9"/>
              </w:rPr>
              <w:t>income</w:t>
            </w:r>
          </w:p>
        </w:tc>
        <w:tc>
          <w:tcPr>
            <w:tcW w:w="102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3300" w:type="dxa"/>
            <w:vAlign w:val="bottom"/>
            <w:gridSpan w:val="2"/>
          </w:tcPr>
          <w:p>
            <w:pPr>
              <w:spacing w:after="0"/>
              <w:rPr>
                <w:sz w:val="20"/>
                <w:szCs w:val="20"/>
                <w:color w:val="auto"/>
              </w:rPr>
            </w:pPr>
            <w:r>
              <w:rPr>
                <w:rFonts w:ascii="Arial" w:cs="Arial" w:eastAsia="Arial" w:hAnsi="Arial"/>
                <w:sz w:val="18"/>
                <w:szCs w:val="18"/>
                <w:color w:val="auto"/>
              </w:rPr>
              <w:t>Interest rate swaps hedging assets</w:t>
            </w:r>
          </w:p>
        </w:tc>
        <w:tc>
          <w:tcPr>
            <w:tcW w:w="4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9"/>
              </w:rPr>
              <w:t>Net investment</w:t>
            </w:r>
          </w:p>
        </w:tc>
        <w:tc>
          <w:tcPr>
            <w:tcW w:w="5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1340" w:type="dxa"/>
            <w:vAlign w:val="bottom"/>
          </w:tcPr>
          <w:p>
            <w:pPr>
              <w:spacing w:after="0"/>
              <w:rPr>
                <w:sz w:val="20"/>
                <w:szCs w:val="20"/>
                <w:color w:val="auto"/>
              </w:rPr>
            </w:pPr>
          </w:p>
        </w:tc>
        <w:tc>
          <w:tcPr>
            <w:tcW w:w="1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0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5</w:t>
            </w:r>
          </w:p>
        </w:tc>
        <w:tc>
          <w:tcPr>
            <w:tcW w:w="640" w:type="dxa"/>
            <w:vAlign w:val="bottom"/>
          </w:tcPr>
          <w:p>
            <w:pPr>
              <w:spacing w:after="0"/>
              <w:rPr>
                <w:sz w:val="20"/>
                <w:szCs w:val="20"/>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5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2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3300" w:type="dxa"/>
            <w:vAlign w:val="bottom"/>
            <w:gridSpan w:val="2"/>
          </w:tcPr>
          <w:p>
            <w:pPr>
              <w:spacing w:after="0"/>
              <w:rPr>
                <w:sz w:val="20"/>
                <w:szCs w:val="20"/>
                <w:color w:val="auto"/>
              </w:rPr>
            </w:pPr>
            <w:r>
              <w:rPr>
                <w:rFonts w:ascii="Arial" w:cs="Arial" w:eastAsia="Arial" w:hAnsi="Arial"/>
                <w:sz w:val="18"/>
                <w:szCs w:val="18"/>
                <w:color w:val="auto"/>
              </w:rPr>
              <w:t>Foreign currency</w:t>
            </w:r>
          </w:p>
        </w:tc>
        <w:tc>
          <w:tcPr>
            <w:tcW w:w="4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3300" w:type="dxa"/>
            <w:vAlign w:val="bottom"/>
            <w:gridSpan w:val="2"/>
          </w:tcPr>
          <w:p>
            <w:pPr>
              <w:ind w:left="220"/>
              <w:spacing w:after="0"/>
              <w:rPr>
                <w:sz w:val="20"/>
                <w:szCs w:val="20"/>
                <w:color w:val="auto"/>
              </w:rPr>
            </w:pPr>
            <w:r>
              <w:rPr>
                <w:rFonts w:ascii="Arial" w:cs="Arial" w:eastAsia="Arial" w:hAnsi="Arial"/>
                <w:sz w:val="18"/>
                <w:szCs w:val="18"/>
                <w:color w:val="auto"/>
              </w:rPr>
              <w:t>swaps</w:t>
            </w:r>
          </w:p>
        </w:tc>
        <w:tc>
          <w:tcPr>
            <w:tcW w:w="420" w:type="dxa"/>
            <w:vAlign w:val="bottom"/>
          </w:tcPr>
          <w:p>
            <w:pPr>
              <w:spacing w:after="0"/>
              <w:rPr>
                <w:sz w:val="19"/>
                <w:szCs w:val="19"/>
                <w:color w:val="auto"/>
              </w:rPr>
            </w:pP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(13)</w:t>
            </w: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(8)</w:t>
            </w:r>
          </w:p>
        </w:tc>
        <w:tc>
          <w:tcPr>
            <w:tcW w:w="1240" w:type="dxa"/>
            <w:vAlign w:val="bottom"/>
          </w:tcPr>
          <w:p>
            <w:pPr>
              <w:jc w:val="center"/>
              <w:spacing w:after="0"/>
              <w:rPr>
                <w:sz w:val="20"/>
                <w:szCs w:val="20"/>
                <w:color w:val="auto"/>
              </w:rPr>
            </w:pPr>
            <w:r>
              <w:rPr>
                <w:rFonts w:ascii="Arial" w:cs="Arial" w:eastAsia="Arial" w:hAnsi="Arial"/>
                <w:sz w:val="18"/>
                <w:szCs w:val="18"/>
                <w:color w:val="auto"/>
                <w:w w:val="84"/>
              </w:rPr>
              <w:t>Interest expense</w:t>
            </w:r>
          </w:p>
        </w:tc>
        <w:tc>
          <w:tcPr>
            <w:tcW w:w="5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2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300" w:type="dxa"/>
            <w:vAlign w:val="bottom"/>
            <w:gridSpan w:val="2"/>
            <w:vMerge w:val="restart"/>
          </w:tcPr>
          <w:p>
            <w:pPr>
              <w:ind w:left="440"/>
              <w:spacing w:after="0"/>
              <w:rPr>
                <w:sz w:val="20"/>
                <w:szCs w:val="20"/>
                <w:color w:val="auto"/>
              </w:rPr>
            </w:pPr>
            <w:r>
              <w:rPr>
                <w:rFonts w:ascii="Arial" w:cs="Arial" w:eastAsia="Arial" w:hAnsi="Arial"/>
                <w:sz w:val="18"/>
                <w:szCs w:val="18"/>
                <w:color w:val="auto"/>
              </w:rPr>
              <w:t>Total</w:t>
            </w:r>
          </w:p>
        </w:tc>
        <w:tc>
          <w:tcPr>
            <w:tcW w:w="4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3300" w:type="dxa"/>
            <w:vAlign w:val="bottom"/>
            <w:gridSpan w:val="2"/>
            <w:vMerge w:val="continue"/>
          </w:tcPr>
          <w:p>
            <w:pPr>
              <w:spacing w:after="0"/>
              <w:rPr>
                <w:sz w:val="19"/>
                <w:szCs w:val="19"/>
                <w:color w:val="auto"/>
              </w:rPr>
            </w:pPr>
          </w:p>
        </w:tc>
        <w:tc>
          <w:tcPr>
            <w:tcW w:w="420" w:type="dxa"/>
            <w:vAlign w:val="bottom"/>
          </w:tcPr>
          <w:p>
            <w:pPr>
              <w:jc w:val="right"/>
              <w:ind w:right="232"/>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(335)</w:t>
            </w:r>
          </w:p>
        </w:tc>
        <w:tc>
          <w:tcPr>
            <w:tcW w:w="76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5</w:t>
            </w:r>
          </w:p>
        </w:tc>
        <w:tc>
          <w:tcPr>
            <w:tcW w:w="6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2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-1028700</wp:posOffset>
            </wp:positionV>
            <wp:extent cx="7246620" cy="2832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28321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-462280</wp:posOffset>
            </wp:positionV>
            <wp:extent cx="7246620" cy="2832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283210"/>
                    </a:xfrm>
                    <a:prstGeom prst="rect">
                      <a:avLst/>
                    </a:prstGeom>
                    <a:noFill/>
                  </pic:spPr>
                </pic:pic>
              </a:graphicData>
            </a:graphic>
          </wp:anchor>
        </w:drawing>
      </w:r>
    </w:p>
    <w:p>
      <w:pPr>
        <w:spacing w:after="0" w:line="126" w:lineRule="exact"/>
        <w:rPr>
          <w:sz w:val="20"/>
          <w:szCs w:val="20"/>
          <w:color w:val="auto"/>
        </w:rPr>
      </w:pPr>
    </w:p>
    <w:p>
      <w:pPr>
        <w:ind w:left="460" w:hanging="452"/>
        <w:spacing w:after="0"/>
        <w:tabs>
          <w:tab w:leader="none" w:pos="460" w:val="left"/>
        </w:tabs>
        <w:numPr>
          <w:ilvl w:val="0"/>
          <w:numId w:val="19"/>
        </w:numPr>
        <w:rPr>
          <w:rFonts w:ascii="Arial" w:cs="Arial" w:eastAsia="Arial" w:hAnsi="Arial"/>
          <w:sz w:val="20"/>
          <w:szCs w:val="20"/>
          <w:color w:val="auto"/>
          <w:vertAlign w:val="superscript"/>
        </w:rPr>
      </w:pPr>
      <w:r>
        <w:rPr>
          <w:rFonts w:ascii="Arial" w:cs="Arial" w:eastAsia="Arial" w:hAnsi="Arial"/>
          <w:sz w:val="16"/>
          <w:szCs w:val="16"/>
          <w:color w:val="auto"/>
        </w:rPr>
        <w:t>Represents ineffective portion of cash flow hedges, as there were no amounts excluded from the measurement of effectiveness.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Net investment</w:t>
      </w:r>
    </w:p>
    <w:p>
      <w:pPr>
        <w:spacing w:after="0" w:line="50" w:lineRule="exact"/>
        <w:rPr>
          <w:sz w:val="20"/>
          <w:szCs w:val="20"/>
          <w:color w:val="auto"/>
        </w:rPr>
      </w:pPr>
    </w:p>
    <w:p>
      <w:pPr>
        <w:ind w:left="60"/>
        <w:spacing w:after="0"/>
        <w:rPr>
          <w:sz w:val="20"/>
          <w:szCs w:val="20"/>
          <w:color w:val="auto"/>
        </w:rPr>
      </w:pPr>
      <w:r>
        <w:rPr>
          <w:rFonts w:ascii="Arial" w:cs="Arial" w:eastAsia="Arial" w:hAnsi="Arial"/>
          <w:sz w:val="16"/>
          <w:szCs w:val="16"/>
          <w:color w:val="auto"/>
        </w:rPr>
        <w:t>gains (losses)</w:t>
      </w:r>
    </w:p>
    <w:p>
      <w:pPr>
        <w:spacing w:after="0" w:line="39" w:lineRule="exact"/>
        <w:rPr>
          <w:sz w:val="20"/>
          <w:szCs w:val="20"/>
          <w:color w:val="auto"/>
        </w:rPr>
      </w:pPr>
    </w:p>
    <w:p>
      <w:pPr>
        <w:spacing w:after="0"/>
        <w:rPr>
          <w:sz w:val="20"/>
          <w:szCs w:val="20"/>
          <w:color w:val="auto"/>
        </w:rPr>
      </w:pPr>
      <w:r>
        <w:rPr>
          <w:rFonts w:ascii="Arial" w:cs="Arial" w:eastAsia="Arial" w:hAnsi="Arial"/>
          <w:sz w:val="15"/>
          <w:szCs w:val="15"/>
          <w:color w:val="auto"/>
        </w:rPr>
        <w:t>Net investment</w:t>
      </w:r>
    </w:p>
    <w:p>
      <w:pPr>
        <w:spacing w:after="0" w:line="50" w:lineRule="exact"/>
        <w:rPr>
          <w:sz w:val="20"/>
          <w:szCs w:val="20"/>
          <w:color w:val="auto"/>
        </w:rPr>
      </w:pPr>
    </w:p>
    <w:p>
      <w:pPr>
        <w:ind w:left="60"/>
        <w:spacing w:after="0"/>
        <w:rPr>
          <w:sz w:val="20"/>
          <w:szCs w:val="20"/>
          <w:color w:val="auto"/>
        </w:rPr>
      </w:pPr>
      <w:r>
        <w:rPr>
          <w:rFonts w:ascii="Arial" w:cs="Arial" w:eastAsia="Arial" w:hAnsi="Arial"/>
          <w:sz w:val="16"/>
          <w:szCs w:val="16"/>
          <w:color w:val="auto"/>
        </w:rPr>
        <w:t>gains (losses)</w:t>
      </w:r>
    </w:p>
    <w:p>
      <w:pPr>
        <w:spacing w:after="0" w:line="39" w:lineRule="exact"/>
        <w:rPr>
          <w:sz w:val="20"/>
          <w:szCs w:val="20"/>
          <w:color w:val="auto"/>
        </w:rPr>
      </w:pPr>
    </w:p>
    <w:p>
      <w:pPr>
        <w:spacing w:after="0"/>
        <w:rPr>
          <w:sz w:val="20"/>
          <w:szCs w:val="20"/>
          <w:color w:val="auto"/>
        </w:rPr>
      </w:pPr>
      <w:r>
        <w:rPr>
          <w:rFonts w:ascii="Arial" w:cs="Arial" w:eastAsia="Arial" w:hAnsi="Arial"/>
          <w:sz w:val="15"/>
          <w:szCs w:val="15"/>
          <w:color w:val="auto"/>
        </w:rPr>
        <w:t>Net investment</w:t>
      </w:r>
    </w:p>
    <w:p>
      <w:pPr>
        <w:spacing w:after="0" w:line="50" w:lineRule="exact"/>
        <w:rPr>
          <w:sz w:val="20"/>
          <w:szCs w:val="20"/>
          <w:color w:val="auto"/>
        </w:rPr>
      </w:pPr>
    </w:p>
    <w:p>
      <w:pPr>
        <w:ind w:left="60"/>
        <w:spacing w:after="0"/>
        <w:rPr>
          <w:sz w:val="20"/>
          <w:szCs w:val="20"/>
          <w:color w:val="auto"/>
        </w:rPr>
      </w:pPr>
      <w:r>
        <w:rPr>
          <w:rFonts w:ascii="Arial" w:cs="Arial" w:eastAsia="Arial" w:hAnsi="Arial"/>
          <w:sz w:val="16"/>
          <w:szCs w:val="16"/>
          <w:color w:val="auto"/>
        </w:rPr>
        <w:t>gains (losses)</w:t>
      </w:r>
    </w:p>
    <w:p>
      <w:pPr>
        <w:spacing w:after="0" w:line="863" w:lineRule="exact"/>
        <w:rPr>
          <w:sz w:val="20"/>
          <w:szCs w:val="20"/>
          <w:color w:val="auto"/>
        </w:rPr>
      </w:pPr>
    </w:p>
    <w:p>
      <w:pPr>
        <w:sectPr>
          <w:pgSz w:w="11900" w:h="16838" w:orient="portrait"/>
          <w:cols w:equalWidth="0" w:num="2">
            <w:col w:w="9620" w:space="660"/>
            <w:col w:w="1140"/>
          </w:cols>
          <w:pgMar w:left="240" w:top="459" w:right="239" w:bottom="1440" w:gutter="0" w:footer="0" w:header="0"/>
          <w:type w:val="continuous"/>
        </w:sectPr>
      </w:pPr>
    </w:p>
    <w:p>
      <w:pPr>
        <w:ind w:firstLine="456"/>
        <w:spacing w:after="0" w:line="291" w:lineRule="auto"/>
        <w:rPr>
          <w:sz w:val="20"/>
          <w:szCs w:val="20"/>
          <w:color w:val="auto"/>
        </w:rPr>
      </w:pPr>
      <w:r>
        <w:rPr>
          <w:rFonts w:ascii="Arial" w:cs="Arial" w:eastAsia="Arial" w:hAnsi="Arial"/>
          <w:sz w:val="16"/>
          <w:szCs w:val="16"/>
          <w:color w:val="auto"/>
        </w:rPr>
        <w:t>The total of derivatives designated as cash flow hedges of $1.2 billion, net of taxes, recorded in stockholders’ equity as of June 30, 2010 is expected to be reclassified to future net income (loss), concurrently with and primarily offsetting changes in interest expense and interest income on floating-rate instruments and interest income on future fixed-rate bond purchases. Of this amount, $8 million, net of taxes, is expected to be reclassified to net income (loss) in the next 12 months. Actual amounts may vary from this amount as a result of market conditions. All forecasted transactions associated with qualifying cash flow hedges are expected to occur by 2045. No amounts were reclassified to net income (loss) during the six months ended June 30, 2010 in connection with forecasted transactions that were no longer considered probable of occurring.</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459" w:right="239" w:bottom="1440" w:gutter="0" w:footer="0" w:header="0"/>
          <w:type w:val="continuous"/>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Fair Value Hedges</w:t>
      </w:r>
    </w:p>
    <w:p>
      <w:pPr>
        <w:spacing w:after="0" w:line="90" w:lineRule="exact"/>
        <w:rPr>
          <w:sz w:val="20"/>
          <w:szCs w:val="20"/>
          <w:color w:val="auto"/>
        </w:rPr>
      </w:pPr>
    </w:p>
    <w:p>
      <w:pPr>
        <w:ind w:right="120" w:firstLine="456"/>
        <w:spacing w:after="0" w:line="294" w:lineRule="auto"/>
        <w:rPr>
          <w:sz w:val="20"/>
          <w:szCs w:val="20"/>
          <w:color w:val="auto"/>
        </w:rPr>
      </w:pPr>
      <w:r>
        <w:rPr>
          <w:rFonts w:ascii="Arial" w:cs="Arial" w:eastAsia="Arial" w:hAnsi="Arial"/>
          <w:sz w:val="16"/>
          <w:szCs w:val="16"/>
          <w:color w:val="auto"/>
        </w:rPr>
        <w:t>Certain derivative instruments are designated as fair value hedges. The changes in fair value of these instruments are recorded in net income (loss). In addition, changes in the fair value attributable to the hedged portion of the underlying instrument are reported in net income (loss). We designate and account for the following as fair value hedges when they have met the effectiveness requirements: (i) interest rate swaps to convert fixed rate investments to floating rate investments; (ii) interest rate swaps to convert fixed rate liabilities into floating rate liabilities; (iii) cross currency swaps to convert non-U.S. dollar fixed rate liabilities to floating rate U.S. dollar liabilities; and (iv) other instruments to hedge various fair value exposures of investments.</w:t>
      </w:r>
    </w:p>
    <w:p>
      <w:pPr>
        <w:spacing w:after="0" w:line="11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provides information about the pre-tax income (loss) effects of fair value hedges and related hedged items for the three months ended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June 30, 2010:</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3"/>
          </w:tcPr>
          <w:p>
            <w:pPr>
              <w:ind w:left="680"/>
              <w:spacing w:after="0"/>
              <w:rPr>
                <w:sz w:val="20"/>
                <w:szCs w:val="20"/>
                <w:color w:val="auto"/>
              </w:rPr>
            </w:pPr>
            <w:r>
              <w:rPr>
                <w:rFonts w:ascii="Arial" w:cs="Arial" w:eastAsia="Arial" w:hAnsi="Arial"/>
                <w:sz w:val="14"/>
                <w:szCs w:val="14"/>
                <w:b w:val="1"/>
                <w:bCs w:val="1"/>
                <w:color w:val="auto"/>
                <w:w w:val="93"/>
              </w:rPr>
              <w:t>Derivative instrument</w:t>
            </w:r>
          </w:p>
        </w:tc>
        <w:tc>
          <w:tcPr>
            <w:tcW w:w="2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Hedged item</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1220" w:type="dxa"/>
            <w:vAlign w:val="bottom"/>
            <w:gridSpan w:val="3"/>
          </w:tcPr>
          <w:p>
            <w:pPr>
              <w:jc w:val="center"/>
              <w:ind w:right="440"/>
              <w:spacing w:after="0" w:line="129" w:lineRule="exact"/>
              <w:rPr>
                <w:sz w:val="20"/>
                <w:szCs w:val="20"/>
                <w:color w:val="auto"/>
              </w:rPr>
            </w:pPr>
            <w:r>
              <w:rPr>
                <w:rFonts w:ascii="Arial" w:cs="Arial" w:eastAsia="Arial" w:hAnsi="Arial"/>
                <w:sz w:val="14"/>
                <w:szCs w:val="14"/>
                <w:b w:val="1"/>
                <w:bCs w:val="1"/>
                <w:color w:val="auto"/>
                <w:w w:val="85"/>
              </w:rPr>
              <w:t>Gain (loss)</w:t>
            </w:r>
          </w:p>
        </w:tc>
        <w:tc>
          <w:tcPr>
            <w:tcW w:w="10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Classification</w:t>
            </w: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Classification</w:t>
            </w:r>
          </w:p>
        </w:tc>
        <w:tc>
          <w:tcPr>
            <w:tcW w:w="340" w:type="dxa"/>
            <w:vAlign w:val="bottom"/>
          </w:tcPr>
          <w:p>
            <w:pPr>
              <w:spacing w:after="0"/>
              <w:rPr>
                <w:sz w:val="11"/>
                <w:szCs w:val="11"/>
                <w:color w:val="auto"/>
              </w:rPr>
            </w:pPr>
          </w:p>
        </w:tc>
        <w:tc>
          <w:tcPr>
            <w:tcW w:w="1220" w:type="dxa"/>
            <w:vAlign w:val="bottom"/>
            <w:gridSpan w:val="3"/>
          </w:tcPr>
          <w:p>
            <w:pPr>
              <w:jc w:val="center"/>
              <w:ind w:right="372"/>
              <w:spacing w:after="0" w:line="129" w:lineRule="exact"/>
              <w:rPr>
                <w:sz w:val="20"/>
                <w:szCs w:val="20"/>
                <w:color w:val="auto"/>
              </w:rPr>
            </w:pPr>
            <w:r>
              <w:rPr>
                <w:rFonts w:ascii="Arial" w:cs="Arial" w:eastAsia="Arial" w:hAnsi="Arial"/>
                <w:sz w:val="14"/>
                <w:szCs w:val="14"/>
                <w:b w:val="1"/>
                <w:bCs w:val="1"/>
                <w:color w:val="auto"/>
                <w:w w:val="85"/>
              </w:rPr>
              <w:t>Gain (loss)</w:t>
            </w:r>
          </w:p>
        </w:tc>
        <w:tc>
          <w:tcPr>
            <w:tcW w:w="10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7"/>
              </w:rPr>
              <w:t>Classification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2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of gain (loss)</w:t>
            </w:r>
          </w:p>
        </w:tc>
        <w:tc>
          <w:tcPr>
            <w:tcW w:w="340" w:type="dxa"/>
            <w:vAlign w:val="bottom"/>
          </w:tcPr>
          <w:p>
            <w:pPr>
              <w:spacing w:after="0"/>
              <w:rPr>
                <w:sz w:val="12"/>
                <w:szCs w:val="12"/>
                <w:color w:val="auto"/>
              </w:rPr>
            </w:pPr>
          </w:p>
        </w:tc>
        <w:tc>
          <w:tcPr>
            <w:tcW w:w="12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Other impacts</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of other</w:t>
            </w:r>
          </w:p>
        </w:tc>
        <w:tc>
          <w:tcPr>
            <w:tcW w:w="340" w:type="dxa"/>
            <w:vAlign w:val="bottom"/>
          </w:tcPr>
          <w:p>
            <w:pPr>
              <w:spacing w:after="0"/>
              <w:rPr>
                <w:sz w:val="12"/>
                <w:szCs w:val="12"/>
                <w:color w:val="auto"/>
              </w:rPr>
            </w:pPr>
          </w:p>
        </w:tc>
        <w:tc>
          <w:tcPr>
            <w:tcW w:w="1220" w:type="dxa"/>
            <w:vAlign w:val="bottom"/>
            <w:gridSpan w:val="3"/>
          </w:tcPr>
          <w:p>
            <w:pPr>
              <w:jc w:val="center"/>
              <w:ind w:right="372"/>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of gain (loss)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2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3"/>
              </w:rPr>
              <w:t>net income</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recognized in</w:t>
            </w:r>
          </w:p>
        </w:tc>
        <w:tc>
          <w:tcPr>
            <w:tcW w:w="340" w:type="dxa"/>
            <w:vAlign w:val="bottom"/>
          </w:tcPr>
          <w:p>
            <w:pPr>
              <w:spacing w:after="0"/>
              <w:rPr>
                <w:sz w:val="12"/>
                <w:szCs w:val="12"/>
                <w:color w:val="auto"/>
              </w:rPr>
            </w:pPr>
          </w:p>
        </w:tc>
        <w:tc>
          <w:tcPr>
            <w:tcW w:w="620" w:type="dxa"/>
            <w:vAlign w:val="bottom"/>
          </w:tcPr>
          <w:p>
            <w:pPr>
              <w:jc w:val="center"/>
              <w:ind w:left="152"/>
              <w:spacing w:after="0" w:line="149" w:lineRule="exact"/>
              <w:rPr>
                <w:sz w:val="20"/>
                <w:szCs w:val="20"/>
                <w:color w:val="auto"/>
              </w:rPr>
            </w:pPr>
            <w:r>
              <w:rPr>
                <w:rFonts w:ascii="Arial" w:cs="Arial" w:eastAsia="Arial" w:hAnsi="Arial"/>
                <w:sz w:val="14"/>
                <w:szCs w:val="14"/>
                <w:b w:val="1"/>
                <w:bCs w:val="1"/>
                <w:color w:val="auto"/>
                <w:w w:val="83"/>
              </w:rPr>
              <w:t>to net</w:t>
            </w:r>
          </w:p>
        </w:tc>
        <w:tc>
          <w:tcPr>
            <w:tcW w:w="2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impacts to</w:t>
            </w:r>
          </w:p>
        </w:tc>
        <w:tc>
          <w:tcPr>
            <w:tcW w:w="340" w:type="dxa"/>
            <w:vAlign w:val="bottom"/>
          </w:tcPr>
          <w:p>
            <w:pPr>
              <w:spacing w:after="0"/>
              <w:rPr>
                <w:sz w:val="12"/>
                <w:szCs w:val="12"/>
                <w:color w:val="auto"/>
              </w:rPr>
            </w:pPr>
          </w:p>
        </w:tc>
        <w:tc>
          <w:tcPr>
            <w:tcW w:w="1220" w:type="dxa"/>
            <w:vAlign w:val="bottom"/>
            <w:gridSpan w:val="3"/>
          </w:tcPr>
          <w:p>
            <w:pPr>
              <w:jc w:val="center"/>
              <w:ind w:right="372"/>
              <w:spacing w:after="0" w:line="149" w:lineRule="exact"/>
              <w:rPr>
                <w:sz w:val="20"/>
                <w:szCs w:val="20"/>
                <w:color w:val="auto"/>
              </w:rPr>
            </w:pPr>
            <w:r>
              <w:rPr>
                <w:rFonts w:ascii="Arial" w:cs="Arial" w:eastAsia="Arial" w:hAnsi="Arial"/>
                <w:sz w:val="14"/>
                <w:szCs w:val="14"/>
                <w:b w:val="1"/>
                <w:bCs w:val="1"/>
                <w:color w:val="auto"/>
                <w:w w:val="83"/>
              </w:rPr>
              <w:t>net income</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recognized in net</w:t>
            </w:r>
          </w:p>
        </w:tc>
        <w:tc>
          <w:tcPr>
            <w:tcW w:w="0" w:type="dxa"/>
            <w:vAlign w:val="bottom"/>
          </w:tcPr>
          <w:p>
            <w:pPr>
              <w:spacing w:after="0"/>
              <w:rPr>
                <w:sz w:val="1"/>
                <w:szCs w:val="1"/>
                <w:color w:val="auto"/>
              </w:rPr>
            </w:pPr>
          </w:p>
        </w:tc>
      </w:tr>
      <w:tr>
        <w:trPr>
          <w:trHeight w:val="161"/>
        </w:trPr>
        <w:tc>
          <w:tcPr>
            <w:tcW w:w="37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60" w:type="dxa"/>
            <w:vAlign w:val="bottom"/>
          </w:tcPr>
          <w:p>
            <w:pPr>
              <w:spacing w:after="0"/>
              <w:rPr>
                <w:sz w:val="14"/>
                <w:szCs w:val="14"/>
                <w:color w:val="auto"/>
              </w:rPr>
            </w:pPr>
          </w:p>
        </w:tc>
        <w:tc>
          <w:tcPr>
            <w:tcW w:w="106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80"/>
              </w:rPr>
              <w:t>(loss)</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340" w:type="dxa"/>
            <w:vAlign w:val="bottom"/>
          </w:tcPr>
          <w:p>
            <w:pPr>
              <w:spacing w:after="0"/>
              <w:rPr>
                <w:sz w:val="14"/>
                <w:szCs w:val="14"/>
                <w:color w:val="auto"/>
              </w:rPr>
            </w:pPr>
          </w:p>
        </w:tc>
        <w:tc>
          <w:tcPr>
            <w:tcW w:w="1280" w:type="dxa"/>
            <w:vAlign w:val="bottom"/>
            <w:gridSpan w:val="3"/>
          </w:tcPr>
          <w:p>
            <w:pPr>
              <w:jc w:val="center"/>
              <w:ind w:right="460"/>
              <w:spacing w:after="0"/>
              <w:rPr>
                <w:sz w:val="20"/>
                <w:szCs w:val="20"/>
                <w:color w:val="auto"/>
              </w:rPr>
            </w:pPr>
            <w:r>
              <w:rPr>
                <w:rFonts w:ascii="Arial" w:cs="Arial" w:eastAsia="Arial" w:hAnsi="Arial"/>
                <w:sz w:val="14"/>
                <w:szCs w:val="14"/>
                <w:b w:val="1"/>
                <w:bCs w:val="1"/>
                <w:color w:val="auto"/>
                <w:w w:val="81"/>
              </w:rPr>
              <w:t>income (loss)</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center"/>
              <w:ind w:right="532"/>
              <w:spacing w:after="0"/>
              <w:rPr>
                <w:sz w:val="20"/>
                <w:szCs w:val="20"/>
                <w:color w:val="auto"/>
              </w:rPr>
            </w:pPr>
            <w:r>
              <w:rPr>
                <w:rFonts w:ascii="Arial" w:cs="Arial" w:eastAsia="Arial" w:hAnsi="Arial"/>
                <w:sz w:val="14"/>
                <w:szCs w:val="14"/>
                <w:b w:val="1"/>
                <w:bCs w:val="1"/>
                <w:color w:val="auto"/>
                <w:w w:val="80"/>
              </w:rPr>
              <w:t>(loss)</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4"/>
              </w:rPr>
              <w:t>income (loss)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7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Interest rate swaps hedging assets</w:t>
            </w: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9"/>
              </w:rPr>
              <w:t>Net investment</w:t>
            </w:r>
          </w:p>
        </w:tc>
        <w:tc>
          <w:tcPr>
            <w:tcW w:w="3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14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8"/>
              </w:rPr>
              <w:t>Net investment</w:t>
            </w: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2380" w:type="dxa"/>
            <w:vAlign w:val="bottom"/>
            <w:shd w:val="clear" w:color="auto" w:fill="CCEEFF"/>
          </w:tcPr>
          <w:p>
            <w:pPr>
              <w:spacing w:after="0"/>
              <w:rPr>
                <w:sz w:val="19"/>
                <w:szCs w:val="19"/>
                <w:color w:val="auto"/>
              </w:rPr>
            </w:pP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w:t>
            </w: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income</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12"/>
              <w:spacing w:after="0"/>
              <w:rPr>
                <w:sz w:val="20"/>
                <w:szCs w:val="20"/>
                <w:color w:val="auto"/>
              </w:rPr>
            </w:pPr>
            <w:r>
              <w:rPr>
                <w:rFonts w:ascii="Arial" w:cs="Arial" w:eastAsia="Arial" w:hAnsi="Arial"/>
                <w:sz w:val="18"/>
                <w:szCs w:val="18"/>
                <w:color w:val="auto"/>
              </w:rPr>
              <w:t>(1)</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700" w:type="dxa"/>
            <w:vAlign w:val="bottom"/>
            <w:gridSpan w:val="2"/>
          </w:tcPr>
          <w:p>
            <w:pPr>
              <w:spacing w:after="0"/>
              <w:rPr>
                <w:sz w:val="20"/>
                <w:szCs w:val="20"/>
                <w:color w:val="auto"/>
              </w:rPr>
            </w:pPr>
            <w:r>
              <w:rPr>
                <w:rFonts w:ascii="Arial" w:cs="Arial" w:eastAsia="Arial" w:hAnsi="Arial"/>
                <w:sz w:val="18"/>
                <w:szCs w:val="18"/>
                <w:color w:val="auto"/>
              </w:rPr>
              <w:t>Interest rate swaps hedging liabilities</w:t>
            </w: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9"/>
              </w:rPr>
              <w:t>Net investment</w:t>
            </w: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380"/>
              <w:spacing w:after="0"/>
              <w:rPr>
                <w:sz w:val="20"/>
                <w:szCs w:val="20"/>
                <w:color w:val="auto"/>
              </w:rPr>
            </w:pPr>
            <w:r>
              <w:rPr>
                <w:rFonts w:ascii="Arial" w:cs="Arial" w:eastAsia="Arial" w:hAnsi="Arial"/>
                <w:sz w:val="18"/>
                <w:szCs w:val="18"/>
                <w:color w:val="auto"/>
              </w:rPr>
              <w:t>(6)</w:t>
            </w:r>
          </w:p>
        </w:tc>
        <w:tc>
          <w:tcPr>
            <w:tcW w:w="108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3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w w:val="99"/>
              </w:rPr>
              <w:t>25</w:t>
            </w:r>
          </w:p>
        </w:tc>
        <w:tc>
          <w:tcPr>
            <w:tcW w:w="440" w:type="dxa"/>
            <w:vAlign w:val="bottom"/>
          </w:tcPr>
          <w:p>
            <w:pPr>
              <w:spacing w:after="0"/>
              <w:rPr>
                <w:sz w:val="19"/>
                <w:szCs w:val="19"/>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8"/>
              </w:rPr>
              <w:t>Interest credited</w:t>
            </w: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w:t>
            </w:r>
          </w:p>
        </w:tc>
        <w:tc>
          <w:tcPr>
            <w:tcW w:w="440" w:type="dxa"/>
            <w:vAlign w:val="bottom"/>
          </w:tcPr>
          <w:p>
            <w:pPr>
              <w:spacing w:after="0"/>
              <w:rPr>
                <w:sz w:val="19"/>
                <w:szCs w:val="19"/>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Net investment</w:t>
            </w:r>
          </w:p>
        </w:tc>
        <w:tc>
          <w:tcPr>
            <w:tcW w:w="3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swaps</w:t>
            </w: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34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440" w:type="dxa"/>
            <w:vAlign w:val="bottom"/>
            <w:shd w:val="clear" w:color="auto" w:fill="CCEEFF"/>
          </w:tcPr>
          <w:p>
            <w:pPr>
              <w:spacing w:after="0"/>
              <w:rPr>
                <w:sz w:val="19"/>
                <w:szCs w:val="19"/>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Interest credited</w:t>
            </w: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440" w:type="dxa"/>
            <w:vAlign w:val="bottom"/>
            <w:shd w:val="clear" w:color="auto" w:fill="CCEEFF"/>
          </w:tcPr>
          <w:p>
            <w:pPr>
              <w:spacing w:after="0"/>
              <w:rPr>
                <w:sz w:val="19"/>
                <w:szCs w:val="19"/>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0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w:t>
            </w: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3700" w:type="dxa"/>
            <w:vAlign w:val="bottom"/>
            <w:gridSpan w:val="2"/>
            <w:vMerge w:val="continue"/>
          </w:tcPr>
          <w:p>
            <w:pPr>
              <w:spacing w:after="0"/>
              <w:rPr>
                <w:sz w:val="19"/>
                <w:szCs w:val="19"/>
                <w:color w:val="auto"/>
              </w:rPr>
            </w:pPr>
          </w:p>
        </w:tc>
        <w:tc>
          <w:tcPr>
            <w:tcW w:w="160" w:type="dxa"/>
            <w:vAlign w:val="bottom"/>
          </w:tcPr>
          <w:p>
            <w:pPr>
              <w:jc w:val="right"/>
              <w:ind w:right="9"/>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380"/>
              <w:spacing w:after="0"/>
              <w:rPr>
                <w:sz w:val="20"/>
                <w:szCs w:val="20"/>
                <w:color w:val="auto"/>
              </w:rPr>
            </w:pPr>
            <w:r>
              <w:rPr>
                <w:rFonts w:ascii="Arial" w:cs="Arial" w:eastAsia="Arial" w:hAnsi="Arial"/>
                <w:sz w:val="18"/>
                <w:szCs w:val="18"/>
                <w:color w:val="auto"/>
              </w:rPr>
              <w:t>(7)</w:t>
            </w:r>
          </w:p>
        </w:tc>
        <w:tc>
          <w:tcPr>
            <w:tcW w:w="1080" w:type="dxa"/>
            <w:vAlign w:val="bottom"/>
          </w:tcPr>
          <w:p>
            <w:pPr>
              <w:spacing w:after="0"/>
              <w:rPr>
                <w:sz w:val="19"/>
                <w:szCs w:val="19"/>
                <w:color w:val="auto"/>
              </w:rPr>
            </w:pPr>
          </w:p>
        </w:tc>
        <w:tc>
          <w:tcPr>
            <w:tcW w:w="96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w w:val="99"/>
              </w:rPr>
              <w:t>23</w:t>
            </w:r>
          </w:p>
        </w:tc>
        <w:tc>
          <w:tcPr>
            <w:tcW w:w="4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7</w:t>
            </w:r>
          </w:p>
        </w:tc>
        <w:tc>
          <w:tcPr>
            <w:tcW w:w="4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provides information about the pre-tax income (loss) effects of fair value hedges and related hedged items for the three months ended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June 30, 2009:</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700" w:type="dxa"/>
            <w:vAlign w:val="bottom"/>
            <w:tcBorders>
              <w:bottom w:val="single" w:sz="8" w:color="auto"/>
            </w:tcBorders>
            <w:gridSpan w:val="5"/>
          </w:tcPr>
          <w:p>
            <w:pPr>
              <w:ind w:left="680"/>
              <w:spacing w:after="0"/>
              <w:rPr>
                <w:sz w:val="20"/>
                <w:szCs w:val="20"/>
                <w:color w:val="auto"/>
              </w:rPr>
            </w:pPr>
            <w:r>
              <w:rPr>
                <w:rFonts w:ascii="Arial" w:cs="Arial" w:eastAsia="Arial" w:hAnsi="Arial"/>
                <w:sz w:val="14"/>
                <w:szCs w:val="14"/>
                <w:b w:val="1"/>
                <w:bCs w:val="1"/>
                <w:color w:val="auto"/>
              </w:rPr>
              <w:t>Derivative instrument</w:t>
            </w:r>
          </w:p>
        </w:tc>
        <w:tc>
          <w:tcPr>
            <w:tcW w:w="114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Hedged item</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1220" w:type="dxa"/>
            <w:vAlign w:val="bottom"/>
            <w:gridSpan w:val="3"/>
          </w:tcPr>
          <w:p>
            <w:pPr>
              <w:jc w:val="center"/>
              <w:ind w:right="440"/>
              <w:spacing w:after="0" w:line="129" w:lineRule="exact"/>
              <w:rPr>
                <w:sz w:val="20"/>
                <w:szCs w:val="20"/>
                <w:color w:val="auto"/>
              </w:rPr>
            </w:pPr>
            <w:r>
              <w:rPr>
                <w:rFonts w:ascii="Arial" w:cs="Arial" w:eastAsia="Arial" w:hAnsi="Arial"/>
                <w:sz w:val="14"/>
                <w:szCs w:val="14"/>
                <w:b w:val="1"/>
                <w:bCs w:val="1"/>
                <w:color w:val="auto"/>
                <w:w w:val="85"/>
              </w:rPr>
              <w:t>Gain (loss)</w:t>
            </w:r>
          </w:p>
        </w:tc>
        <w:tc>
          <w:tcPr>
            <w:tcW w:w="10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Classification</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Classification</w:t>
            </w:r>
          </w:p>
        </w:tc>
        <w:tc>
          <w:tcPr>
            <w:tcW w:w="340" w:type="dxa"/>
            <w:vAlign w:val="bottom"/>
          </w:tcPr>
          <w:p>
            <w:pPr>
              <w:spacing w:after="0"/>
              <w:rPr>
                <w:sz w:val="11"/>
                <w:szCs w:val="11"/>
                <w:color w:val="auto"/>
              </w:rPr>
            </w:pPr>
          </w:p>
        </w:tc>
        <w:tc>
          <w:tcPr>
            <w:tcW w:w="1220" w:type="dxa"/>
            <w:vAlign w:val="bottom"/>
            <w:gridSpan w:val="3"/>
          </w:tcPr>
          <w:p>
            <w:pPr>
              <w:jc w:val="center"/>
              <w:ind w:right="372"/>
              <w:spacing w:after="0" w:line="129" w:lineRule="exact"/>
              <w:rPr>
                <w:sz w:val="20"/>
                <w:szCs w:val="20"/>
                <w:color w:val="auto"/>
              </w:rPr>
            </w:pPr>
            <w:r>
              <w:rPr>
                <w:rFonts w:ascii="Arial" w:cs="Arial" w:eastAsia="Arial" w:hAnsi="Arial"/>
                <w:sz w:val="14"/>
                <w:szCs w:val="14"/>
                <w:b w:val="1"/>
                <w:bCs w:val="1"/>
                <w:color w:val="auto"/>
                <w:w w:val="85"/>
              </w:rPr>
              <w:t>Gain (loss)</w:t>
            </w:r>
          </w:p>
        </w:tc>
        <w:tc>
          <w:tcPr>
            <w:tcW w:w="10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7"/>
              </w:rPr>
              <w:t>Classification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2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of gain (loss)</w:t>
            </w:r>
          </w:p>
        </w:tc>
        <w:tc>
          <w:tcPr>
            <w:tcW w:w="340" w:type="dxa"/>
            <w:vAlign w:val="bottom"/>
          </w:tcPr>
          <w:p>
            <w:pPr>
              <w:spacing w:after="0"/>
              <w:rPr>
                <w:sz w:val="12"/>
                <w:szCs w:val="12"/>
                <w:color w:val="auto"/>
              </w:rPr>
            </w:pPr>
          </w:p>
        </w:tc>
        <w:tc>
          <w:tcPr>
            <w:tcW w:w="12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Other impacts</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of other</w:t>
            </w:r>
          </w:p>
        </w:tc>
        <w:tc>
          <w:tcPr>
            <w:tcW w:w="340" w:type="dxa"/>
            <w:vAlign w:val="bottom"/>
          </w:tcPr>
          <w:p>
            <w:pPr>
              <w:spacing w:after="0"/>
              <w:rPr>
                <w:sz w:val="12"/>
                <w:szCs w:val="12"/>
                <w:color w:val="auto"/>
              </w:rPr>
            </w:pPr>
          </w:p>
        </w:tc>
        <w:tc>
          <w:tcPr>
            <w:tcW w:w="1220" w:type="dxa"/>
            <w:vAlign w:val="bottom"/>
            <w:gridSpan w:val="3"/>
          </w:tcPr>
          <w:p>
            <w:pPr>
              <w:jc w:val="center"/>
              <w:ind w:right="372"/>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of gain (loss)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2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3"/>
              </w:rPr>
              <w:t>net income</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recognized in</w:t>
            </w: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tcPr>
          <w:p>
            <w:pPr>
              <w:jc w:val="right"/>
              <w:ind w:right="700"/>
              <w:spacing w:after="0" w:line="149" w:lineRule="exact"/>
              <w:rPr>
                <w:sz w:val="20"/>
                <w:szCs w:val="20"/>
                <w:color w:val="auto"/>
              </w:rPr>
            </w:pPr>
            <w:r>
              <w:rPr>
                <w:rFonts w:ascii="Arial" w:cs="Arial" w:eastAsia="Arial" w:hAnsi="Arial"/>
                <w:sz w:val="14"/>
                <w:szCs w:val="14"/>
                <w:b w:val="1"/>
                <w:bCs w:val="1"/>
                <w:color w:val="auto"/>
              </w:rPr>
              <w:t>to net</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impacts to</w:t>
            </w:r>
          </w:p>
        </w:tc>
        <w:tc>
          <w:tcPr>
            <w:tcW w:w="340" w:type="dxa"/>
            <w:vAlign w:val="bottom"/>
          </w:tcPr>
          <w:p>
            <w:pPr>
              <w:spacing w:after="0"/>
              <w:rPr>
                <w:sz w:val="12"/>
                <w:szCs w:val="12"/>
                <w:color w:val="auto"/>
              </w:rPr>
            </w:pPr>
          </w:p>
        </w:tc>
        <w:tc>
          <w:tcPr>
            <w:tcW w:w="1220" w:type="dxa"/>
            <w:vAlign w:val="bottom"/>
            <w:gridSpan w:val="3"/>
          </w:tcPr>
          <w:p>
            <w:pPr>
              <w:jc w:val="center"/>
              <w:ind w:right="372"/>
              <w:spacing w:after="0" w:line="149" w:lineRule="exact"/>
              <w:rPr>
                <w:sz w:val="20"/>
                <w:szCs w:val="20"/>
                <w:color w:val="auto"/>
              </w:rPr>
            </w:pPr>
            <w:r>
              <w:rPr>
                <w:rFonts w:ascii="Arial" w:cs="Arial" w:eastAsia="Arial" w:hAnsi="Arial"/>
                <w:sz w:val="14"/>
                <w:szCs w:val="14"/>
                <w:b w:val="1"/>
                <w:bCs w:val="1"/>
                <w:color w:val="auto"/>
                <w:w w:val="83"/>
              </w:rPr>
              <w:t>net income</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recognized in net</w:t>
            </w:r>
          </w:p>
        </w:tc>
        <w:tc>
          <w:tcPr>
            <w:tcW w:w="0" w:type="dxa"/>
            <w:vAlign w:val="bottom"/>
          </w:tcPr>
          <w:p>
            <w:pPr>
              <w:spacing w:after="0"/>
              <w:rPr>
                <w:sz w:val="1"/>
                <w:szCs w:val="1"/>
                <w:color w:val="auto"/>
              </w:rPr>
            </w:pPr>
          </w:p>
        </w:tc>
      </w:tr>
      <w:tr>
        <w:trPr>
          <w:trHeight w:val="161"/>
        </w:trPr>
        <w:tc>
          <w:tcPr>
            <w:tcW w:w="37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60" w:type="dxa"/>
            <w:vAlign w:val="bottom"/>
          </w:tcPr>
          <w:p>
            <w:pPr>
              <w:spacing w:after="0"/>
              <w:rPr>
                <w:sz w:val="14"/>
                <w:szCs w:val="14"/>
                <w:color w:val="auto"/>
              </w:rPr>
            </w:pPr>
          </w:p>
        </w:tc>
        <w:tc>
          <w:tcPr>
            <w:tcW w:w="106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80"/>
              </w:rPr>
              <w:t>(loss)</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340" w:type="dxa"/>
            <w:vAlign w:val="bottom"/>
          </w:tcPr>
          <w:p>
            <w:pPr>
              <w:spacing w:after="0"/>
              <w:rPr>
                <w:sz w:val="14"/>
                <w:szCs w:val="14"/>
                <w:color w:val="auto"/>
              </w:rPr>
            </w:pPr>
          </w:p>
        </w:tc>
        <w:tc>
          <w:tcPr>
            <w:tcW w:w="1280" w:type="dxa"/>
            <w:vAlign w:val="bottom"/>
            <w:gridSpan w:val="3"/>
          </w:tcPr>
          <w:p>
            <w:pPr>
              <w:ind w:left="40"/>
              <w:spacing w:after="0"/>
              <w:rPr>
                <w:sz w:val="20"/>
                <w:szCs w:val="20"/>
                <w:color w:val="auto"/>
              </w:rPr>
            </w:pPr>
            <w:r>
              <w:rPr>
                <w:rFonts w:ascii="Arial" w:cs="Arial" w:eastAsia="Arial" w:hAnsi="Arial"/>
                <w:sz w:val="14"/>
                <w:szCs w:val="14"/>
                <w:b w:val="1"/>
                <w:bCs w:val="1"/>
                <w:color w:val="auto"/>
              </w:rPr>
              <w:t>income (loss)</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center"/>
              <w:ind w:right="532"/>
              <w:spacing w:after="0"/>
              <w:rPr>
                <w:sz w:val="20"/>
                <w:szCs w:val="20"/>
                <w:color w:val="auto"/>
              </w:rPr>
            </w:pPr>
            <w:r>
              <w:rPr>
                <w:rFonts w:ascii="Arial" w:cs="Arial" w:eastAsia="Arial" w:hAnsi="Arial"/>
                <w:sz w:val="14"/>
                <w:szCs w:val="14"/>
                <w:b w:val="1"/>
                <w:bCs w:val="1"/>
                <w:color w:val="auto"/>
                <w:w w:val="80"/>
              </w:rPr>
              <w:t>(loss)</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4"/>
              </w:rPr>
              <w:t>income (loss)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7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Interest rate swaps hedging assets</w:t>
            </w: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9"/>
              </w:rPr>
              <w:t>Net investment</w:t>
            </w: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14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8"/>
              </w:rPr>
              <w:t>Net investment</w:t>
            </w: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320" w:type="dxa"/>
            <w:vAlign w:val="bottom"/>
            <w:shd w:val="clear" w:color="auto" w:fill="CCEEFF"/>
          </w:tcPr>
          <w:p>
            <w:pPr>
              <w:spacing w:after="0"/>
              <w:rPr>
                <w:sz w:val="20"/>
                <w:szCs w:val="20"/>
                <w:color w:val="auto"/>
              </w:rPr>
            </w:pPr>
          </w:p>
        </w:tc>
        <w:tc>
          <w:tcPr>
            <w:tcW w:w="2380" w:type="dxa"/>
            <w:vAlign w:val="bottom"/>
            <w:shd w:val="clear" w:color="auto" w:fill="CCEEFF"/>
          </w:tcPr>
          <w:p>
            <w:pPr>
              <w:spacing w:after="0"/>
              <w:rPr>
                <w:sz w:val="20"/>
                <w:szCs w:val="20"/>
                <w:color w:val="auto"/>
              </w:rPr>
            </w:pP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w:t>
            </w: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income</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12"/>
              <w:spacing w:after="0"/>
              <w:rPr>
                <w:sz w:val="20"/>
                <w:szCs w:val="20"/>
                <w:color w:val="auto"/>
              </w:rPr>
            </w:pPr>
            <w:r>
              <w:rPr>
                <w:rFonts w:ascii="Arial" w:cs="Arial" w:eastAsia="Arial" w:hAnsi="Arial"/>
                <w:sz w:val="18"/>
                <w:szCs w:val="18"/>
                <w:color w:val="auto"/>
              </w:rPr>
              <w:t>(6)</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700" w:type="dxa"/>
            <w:vAlign w:val="bottom"/>
            <w:gridSpan w:val="2"/>
          </w:tcPr>
          <w:p>
            <w:pPr>
              <w:spacing w:after="0"/>
              <w:rPr>
                <w:sz w:val="20"/>
                <w:szCs w:val="20"/>
                <w:color w:val="auto"/>
              </w:rPr>
            </w:pPr>
            <w:r>
              <w:rPr>
                <w:rFonts w:ascii="Arial" w:cs="Arial" w:eastAsia="Arial" w:hAnsi="Arial"/>
                <w:sz w:val="18"/>
                <w:szCs w:val="18"/>
                <w:color w:val="auto"/>
              </w:rPr>
              <w:t>Interest rate swaps hedging liabilities</w:t>
            </w: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9"/>
              </w:rPr>
              <w:t>Net investment</w:t>
            </w: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380"/>
              <w:spacing w:after="0"/>
              <w:rPr>
                <w:sz w:val="20"/>
                <w:szCs w:val="20"/>
                <w:color w:val="auto"/>
              </w:rPr>
            </w:pPr>
            <w:r>
              <w:rPr>
                <w:rFonts w:ascii="Arial" w:cs="Arial" w:eastAsia="Arial" w:hAnsi="Arial"/>
                <w:sz w:val="18"/>
                <w:szCs w:val="18"/>
                <w:color w:val="auto"/>
              </w:rPr>
              <w:t>(50)</w:t>
            </w:r>
          </w:p>
        </w:tc>
        <w:tc>
          <w:tcPr>
            <w:tcW w:w="108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23</w:t>
            </w:r>
          </w:p>
        </w:tc>
        <w:tc>
          <w:tcPr>
            <w:tcW w:w="440" w:type="dxa"/>
            <w:vAlign w:val="bottom"/>
          </w:tcPr>
          <w:p>
            <w:pPr>
              <w:spacing w:after="0"/>
              <w:rPr>
                <w:sz w:val="20"/>
                <w:szCs w:val="20"/>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8"/>
              </w:rPr>
              <w:t>Interest credited</w:t>
            </w: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51</w:t>
            </w:r>
          </w:p>
        </w:tc>
        <w:tc>
          <w:tcPr>
            <w:tcW w:w="440" w:type="dxa"/>
            <w:vAlign w:val="bottom"/>
          </w:tcPr>
          <w:p>
            <w:pPr>
              <w:spacing w:after="0"/>
              <w:rPr>
                <w:sz w:val="20"/>
                <w:szCs w:val="20"/>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Net investment</w:t>
            </w: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swaps</w:t>
            </w: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Interest credited</w:t>
            </w: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440" w:type="dxa"/>
            <w:vAlign w:val="bottom"/>
            <w:shd w:val="clear" w:color="auto" w:fill="CCEEFF"/>
          </w:tcPr>
          <w:p>
            <w:pPr>
              <w:spacing w:after="0"/>
              <w:rPr>
                <w:sz w:val="19"/>
                <w:szCs w:val="19"/>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0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w:t>
            </w: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3700" w:type="dxa"/>
            <w:vAlign w:val="bottom"/>
            <w:gridSpan w:val="2"/>
            <w:vMerge w:val="continue"/>
          </w:tcPr>
          <w:p>
            <w:pPr>
              <w:spacing w:after="0"/>
              <w:rPr>
                <w:sz w:val="19"/>
                <w:szCs w:val="19"/>
                <w:color w:val="auto"/>
              </w:rPr>
            </w:pPr>
          </w:p>
        </w:tc>
        <w:tc>
          <w:tcPr>
            <w:tcW w:w="160" w:type="dxa"/>
            <w:vAlign w:val="bottom"/>
          </w:tcPr>
          <w:p>
            <w:pPr>
              <w:jc w:val="right"/>
              <w:ind w:right="9"/>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380"/>
              <w:spacing w:after="0"/>
              <w:rPr>
                <w:sz w:val="20"/>
                <w:szCs w:val="20"/>
                <w:color w:val="auto"/>
              </w:rPr>
            </w:pPr>
            <w:r>
              <w:rPr>
                <w:rFonts w:ascii="Arial" w:cs="Arial" w:eastAsia="Arial" w:hAnsi="Arial"/>
                <w:sz w:val="18"/>
                <w:szCs w:val="18"/>
                <w:color w:val="auto"/>
              </w:rPr>
              <w:t>(48)</w:t>
            </w:r>
          </w:p>
        </w:tc>
        <w:tc>
          <w:tcPr>
            <w:tcW w:w="1080" w:type="dxa"/>
            <w:vAlign w:val="bottom"/>
          </w:tcPr>
          <w:p>
            <w:pPr>
              <w:spacing w:after="0"/>
              <w:rPr>
                <w:sz w:val="19"/>
                <w:szCs w:val="19"/>
                <w:color w:val="auto"/>
              </w:rPr>
            </w:pPr>
          </w:p>
        </w:tc>
        <w:tc>
          <w:tcPr>
            <w:tcW w:w="50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19</w:t>
            </w:r>
          </w:p>
        </w:tc>
        <w:tc>
          <w:tcPr>
            <w:tcW w:w="4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46</w:t>
            </w:r>
          </w:p>
        </w:tc>
        <w:tc>
          <w:tcPr>
            <w:tcW w:w="4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vMerge w:val="restart"/>
          </w:tcPr>
          <w:p>
            <w:pPr>
              <w:ind w:left="680"/>
              <w:spacing w:after="0"/>
              <w:rPr>
                <w:sz w:val="20"/>
                <w:szCs w:val="20"/>
                <w:color w:val="auto"/>
              </w:rPr>
            </w:pPr>
            <w:r>
              <w:rPr>
                <w:rFonts w:ascii="Arial" w:cs="Arial" w:eastAsia="Arial" w:hAnsi="Arial"/>
                <w:sz w:val="18"/>
                <w:szCs w:val="18"/>
                <w:color w:val="auto"/>
              </w:rPr>
              <w:t>29</w:t>
            </w: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80" w:type="dxa"/>
            <w:vAlign w:val="bottom"/>
            <w:vMerge w:val="continue"/>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provides information about the pre-tax income (loss) effects of fair value hedges and related hedged items for the six months ended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June 30, 2010:</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3"/>
          </w:tcPr>
          <w:p>
            <w:pPr>
              <w:ind w:left="680"/>
              <w:spacing w:after="0"/>
              <w:rPr>
                <w:sz w:val="20"/>
                <w:szCs w:val="20"/>
                <w:color w:val="auto"/>
              </w:rPr>
            </w:pPr>
            <w:r>
              <w:rPr>
                <w:rFonts w:ascii="Arial" w:cs="Arial" w:eastAsia="Arial" w:hAnsi="Arial"/>
                <w:sz w:val="14"/>
                <w:szCs w:val="14"/>
                <w:b w:val="1"/>
                <w:bCs w:val="1"/>
                <w:color w:val="auto"/>
                <w:w w:val="93"/>
              </w:rPr>
              <w:t>Derivative instrument</w:t>
            </w:r>
          </w:p>
        </w:tc>
        <w:tc>
          <w:tcPr>
            <w:tcW w:w="2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Hedged item</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1220" w:type="dxa"/>
            <w:vAlign w:val="bottom"/>
            <w:gridSpan w:val="3"/>
          </w:tcPr>
          <w:p>
            <w:pPr>
              <w:jc w:val="center"/>
              <w:ind w:right="440"/>
              <w:spacing w:after="0" w:line="129" w:lineRule="exact"/>
              <w:rPr>
                <w:sz w:val="20"/>
                <w:szCs w:val="20"/>
                <w:color w:val="auto"/>
              </w:rPr>
            </w:pPr>
            <w:r>
              <w:rPr>
                <w:rFonts w:ascii="Arial" w:cs="Arial" w:eastAsia="Arial" w:hAnsi="Arial"/>
                <w:sz w:val="14"/>
                <w:szCs w:val="14"/>
                <w:b w:val="1"/>
                <w:bCs w:val="1"/>
                <w:color w:val="auto"/>
                <w:w w:val="85"/>
              </w:rPr>
              <w:t>Gain (loss)</w:t>
            </w:r>
          </w:p>
        </w:tc>
        <w:tc>
          <w:tcPr>
            <w:tcW w:w="10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Classification</w:t>
            </w: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Classification</w:t>
            </w:r>
          </w:p>
        </w:tc>
        <w:tc>
          <w:tcPr>
            <w:tcW w:w="340" w:type="dxa"/>
            <w:vAlign w:val="bottom"/>
          </w:tcPr>
          <w:p>
            <w:pPr>
              <w:spacing w:after="0"/>
              <w:rPr>
                <w:sz w:val="11"/>
                <w:szCs w:val="11"/>
                <w:color w:val="auto"/>
              </w:rPr>
            </w:pPr>
          </w:p>
        </w:tc>
        <w:tc>
          <w:tcPr>
            <w:tcW w:w="1220" w:type="dxa"/>
            <w:vAlign w:val="bottom"/>
            <w:gridSpan w:val="3"/>
          </w:tcPr>
          <w:p>
            <w:pPr>
              <w:jc w:val="center"/>
              <w:ind w:right="372"/>
              <w:spacing w:after="0" w:line="129" w:lineRule="exact"/>
              <w:rPr>
                <w:sz w:val="20"/>
                <w:szCs w:val="20"/>
                <w:color w:val="auto"/>
              </w:rPr>
            </w:pPr>
            <w:r>
              <w:rPr>
                <w:rFonts w:ascii="Arial" w:cs="Arial" w:eastAsia="Arial" w:hAnsi="Arial"/>
                <w:sz w:val="14"/>
                <w:szCs w:val="14"/>
                <w:b w:val="1"/>
                <w:bCs w:val="1"/>
                <w:color w:val="auto"/>
                <w:w w:val="85"/>
              </w:rPr>
              <w:t>Gain (loss)</w:t>
            </w:r>
          </w:p>
        </w:tc>
        <w:tc>
          <w:tcPr>
            <w:tcW w:w="10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7"/>
              </w:rPr>
              <w:t>Classification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2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of gain (loss)</w:t>
            </w:r>
          </w:p>
        </w:tc>
        <w:tc>
          <w:tcPr>
            <w:tcW w:w="340" w:type="dxa"/>
            <w:vAlign w:val="bottom"/>
          </w:tcPr>
          <w:p>
            <w:pPr>
              <w:spacing w:after="0"/>
              <w:rPr>
                <w:sz w:val="12"/>
                <w:szCs w:val="12"/>
                <w:color w:val="auto"/>
              </w:rPr>
            </w:pPr>
          </w:p>
        </w:tc>
        <w:tc>
          <w:tcPr>
            <w:tcW w:w="12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Other impacts</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of other</w:t>
            </w:r>
          </w:p>
        </w:tc>
        <w:tc>
          <w:tcPr>
            <w:tcW w:w="340" w:type="dxa"/>
            <w:vAlign w:val="bottom"/>
          </w:tcPr>
          <w:p>
            <w:pPr>
              <w:spacing w:after="0"/>
              <w:rPr>
                <w:sz w:val="12"/>
                <w:szCs w:val="12"/>
                <w:color w:val="auto"/>
              </w:rPr>
            </w:pPr>
          </w:p>
        </w:tc>
        <w:tc>
          <w:tcPr>
            <w:tcW w:w="1220" w:type="dxa"/>
            <w:vAlign w:val="bottom"/>
            <w:gridSpan w:val="3"/>
          </w:tcPr>
          <w:p>
            <w:pPr>
              <w:jc w:val="center"/>
              <w:ind w:right="372"/>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of gain (loss)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2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3"/>
              </w:rPr>
              <w:t>net income</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recognized in</w:t>
            </w:r>
          </w:p>
        </w:tc>
        <w:tc>
          <w:tcPr>
            <w:tcW w:w="340" w:type="dxa"/>
            <w:vAlign w:val="bottom"/>
          </w:tcPr>
          <w:p>
            <w:pPr>
              <w:spacing w:after="0"/>
              <w:rPr>
                <w:sz w:val="12"/>
                <w:szCs w:val="12"/>
                <w:color w:val="auto"/>
              </w:rPr>
            </w:pPr>
          </w:p>
        </w:tc>
        <w:tc>
          <w:tcPr>
            <w:tcW w:w="620" w:type="dxa"/>
            <w:vAlign w:val="bottom"/>
          </w:tcPr>
          <w:p>
            <w:pPr>
              <w:jc w:val="center"/>
              <w:ind w:left="152"/>
              <w:spacing w:after="0" w:line="149" w:lineRule="exact"/>
              <w:rPr>
                <w:sz w:val="20"/>
                <w:szCs w:val="20"/>
                <w:color w:val="auto"/>
              </w:rPr>
            </w:pPr>
            <w:r>
              <w:rPr>
                <w:rFonts w:ascii="Arial" w:cs="Arial" w:eastAsia="Arial" w:hAnsi="Arial"/>
                <w:sz w:val="14"/>
                <w:szCs w:val="14"/>
                <w:b w:val="1"/>
                <w:bCs w:val="1"/>
                <w:color w:val="auto"/>
                <w:w w:val="83"/>
              </w:rPr>
              <w:t>to net</w:t>
            </w:r>
          </w:p>
        </w:tc>
        <w:tc>
          <w:tcPr>
            <w:tcW w:w="2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impacts to</w:t>
            </w:r>
          </w:p>
        </w:tc>
        <w:tc>
          <w:tcPr>
            <w:tcW w:w="340" w:type="dxa"/>
            <w:vAlign w:val="bottom"/>
          </w:tcPr>
          <w:p>
            <w:pPr>
              <w:spacing w:after="0"/>
              <w:rPr>
                <w:sz w:val="12"/>
                <w:szCs w:val="12"/>
                <w:color w:val="auto"/>
              </w:rPr>
            </w:pPr>
          </w:p>
        </w:tc>
        <w:tc>
          <w:tcPr>
            <w:tcW w:w="1220" w:type="dxa"/>
            <w:vAlign w:val="bottom"/>
            <w:gridSpan w:val="3"/>
          </w:tcPr>
          <w:p>
            <w:pPr>
              <w:jc w:val="center"/>
              <w:ind w:right="372"/>
              <w:spacing w:after="0" w:line="149" w:lineRule="exact"/>
              <w:rPr>
                <w:sz w:val="20"/>
                <w:szCs w:val="20"/>
                <w:color w:val="auto"/>
              </w:rPr>
            </w:pPr>
            <w:r>
              <w:rPr>
                <w:rFonts w:ascii="Arial" w:cs="Arial" w:eastAsia="Arial" w:hAnsi="Arial"/>
                <w:sz w:val="14"/>
                <w:szCs w:val="14"/>
                <w:b w:val="1"/>
                <w:bCs w:val="1"/>
                <w:color w:val="auto"/>
                <w:w w:val="83"/>
              </w:rPr>
              <w:t>net income</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recognized in net</w:t>
            </w:r>
          </w:p>
        </w:tc>
        <w:tc>
          <w:tcPr>
            <w:tcW w:w="0" w:type="dxa"/>
            <w:vAlign w:val="bottom"/>
          </w:tcPr>
          <w:p>
            <w:pPr>
              <w:spacing w:after="0"/>
              <w:rPr>
                <w:sz w:val="1"/>
                <w:szCs w:val="1"/>
                <w:color w:val="auto"/>
              </w:rPr>
            </w:pPr>
          </w:p>
        </w:tc>
      </w:tr>
      <w:tr>
        <w:trPr>
          <w:trHeight w:val="161"/>
        </w:trPr>
        <w:tc>
          <w:tcPr>
            <w:tcW w:w="37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60" w:type="dxa"/>
            <w:vAlign w:val="bottom"/>
          </w:tcPr>
          <w:p>
            <w:pPr>
              <w:spacing w:after="0"/>
              <w:rPr>
                <w:sz w:val="14"/>
                <w:szCs w:val="14"/>
                <w:color w:val="auto"/>
              </w:rPr>
            </w:pPr>
          </w:p>
        </w:tc>
        <w:tc>
          <w:tcPr>
            <w:tcW w:w="106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80"/>
              </w:rPr>
              <w:t>(loss)</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340" w:type="dxa"/>
            <w:vAlign w:val="bottom"/>
          </w:tcPr>
          <w:p>
            <w:pPr>
              <w:spacing w:after="0"/>
              <w:rPr>
                <w:sz w:val="14"/>
                <w:szCs w:val="14"/>
                <w:color w:val="auto"/>
              </w:rPr>
            </w:pPr>
          </w:p>
        </w:tc>
        <w:tc>
          <w:tcPr>
            <w:tcW w:w="1280" w:type="dxa"/>
            <w:vAlign w:val="bottom"/>
            <w:gridSpan w:val="3"/>
          </w:tcPr>
          <w:p>
            <w:pPr>
              <w:jc w:val="center"/>
              <w:ind w:right="460"/>
              <w:spacing w:after="0"/>
              <w:rPr>
                <w:sz w:val="20"/>
                <w:szCs w:val="20"/>
                <w:color w:val="auto"/>
              </w:rPr>
            </w:pPr>
            <w:r>
              <w:rPr>
                <w:rFonts w:ascii="Arial" w:cs="Arial" w:eastAsia="Arial" w:hAnsi="Arial"/>
                <w:sz w:val="14"/>
                <w:szCs w:val="14"/>
                <w:b w:val="1"/>
                <w:bCs w:val="1"/>
                <w:color w:val="auto"/>
                <w:w w:val="81"/>
              </w:rPr>
              <w:t>income (loss)</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center"/>
              <w:ind w:right="532"/>
              <w:spacing w:after="0"/>
              <w:rPr>
                <w:sz w:val="20"/>
                <w:szCs w:val="20"/>
                <w:color w:val="auto"/>
              </w:rPr>
            </w:pPr>
            <w:r>
              <w:rPr>
                <w:rFonts w:ascii="Arial" w:cs="Arial" w:eastAsia="Arial" w:hAnsi="Arial"/>
                <w:sz w:val="14"/>
                <w:szCs w:val="14"/>
                <w:b w:val="1"/>
                <w:bCs w:val="1"/>
                <w:color w:val="auto"/>
                <w:w w:val="80"/>
              </w:rPr>
              <w:t>(loss)</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4"/>
              </w:rPr>
              <w:t>income (loss)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7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Interest rate swaps hedging assets</w:t>
            </w: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9"/>
              </w:rPr>
              <w:t>Net investment</w:t>
            </w:r>
          </w:p>
        </w:tc>
        <w:tc>
          <w:tcPr>
            <w:tcW w:w="3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14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8"/>
              </w:rPr>
              <w:t>Net investment</w:t>
            </w: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2380" w:type="dxa"/>
            <w:vAlign w:val="bottom"/>
            <w:shd w:val="clear" w:color="auto" w:fill="CCEEFF"/>
          </w:tcPr>
          <w:p>
            <w:pPr>
              <w:spacing w:after="0"/>
              <w:rPr>
                <w:sz w:val="19"/>
                <w:szCs w:val="19"/>
                <w:color w:val="auto"/>
              </w:rPr>
            </w:pP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(6)</w:t>
            </w: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income</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12"/>
              <w:spacing w:after="0"/>
              <w:rPr>
                <w:sz w:val="20"/>
                <w:szCs w:val="20"/>
                <w:color w:val="auto"/>
              </w:rPr>
            </w:pPr>
            <w:r>
              <w:rPr>
                <w:rFonts w:ascii="Arial" w:cs="Arial" w:eastAsia="Arial" w:hAnsi="Arial"/>
                <w:sz w:val="18"/>
                <w:szCs w:val="18"/>
                <w:color w:val="auto"/>
              </w:rPr>
              <w:t>(2)</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700" w:type="dxa"/>
            <w:vAlign w:val="bottom"/>
            <w:gridSpan w:val="2"/>
          </w:tcPr>
          <w:p>
            <w:pPr>
              <w:spacing w:after="0"/>
              <w:rPr>
                <w:sz w:val="20"/>
                <w:szCs w:val="20"/>
                <w:color w:val="auto"/>
              </w:rPr>
            </w:pPr>
            <w:r>
              <w:rPr>
                <w:rFonts w:ascii="Arial" w:cs="Arial" w:eastAsia="Arial" w:hAnsi="Arial"/>
                <w:sz w:val="18"/>
                <w:szCs w:val="18"/>
                <w:color w:val="auto"/>
              </w:rPr>
              <w:t>Interest rate swaps hedging liabilities</w:t>
            </w: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9"/>
              </w:rPr>
              <w:t>Net investment</w:t>
            </w: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380"/>
              <w:spacing w:after="0"/>
              <w:rPr>
                <w:sz w:val="20"/>
                <w:szCs w:val="20"/>
                <w:color w:val="auto"/>
              </w:rPr>
            </w:pPr>
            <w:r>
              <w:rPr>
                <w:rFonts w:ascii="Arial" w:cs="Arial" w:eastAsia="Arial" w:hAnsi="Arial"/>
                <w:sz w:val="18"/>
                <w:szCs w:val="18"/>
                <w:color w:val="auto"/>
              </w:rPr>
              <w:t>(7)</w:t>
            </w:r>
          </w:p>
        </w:tc>
        <w:tc>
          <w:tcPr>
            <w:tcW w:w="108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3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w w:val="99"/>
              </w:rPr>
              <w:t>50</w:t>
            </w:r>
          </w:p>
        </w:tc>
        <w:tc>
          <w:tcPr>
            <w:tcW w:w="440" w:type="dxa"/>
            <w:vAlign w:val="bottom"/>
          </w:tcPr>
          <w:p>
            <w:pPr>
              <w:spacing w:after="0"/>
              <w:rPr>
                <w:sz w:val="19"/>
                <w:szCs w:val="19"/>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8"/>
              </w:rPr>
              <w:t>Interest credited</w:t>
            </w: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7</w:t>
            </w:r>
          </w:p>
        </w:tc>
        <w:tc>
          <w:tcPr>
            <w:tcW w:w="440" w:type="dxa"/>
            <w:vAlign w:val="bottom"/>
          </w:tcPr>
          <w:p>
            <w:pPr>
              <w:spacing w:after="0"/>
              <w:rPr>
                <w:sz w:val="19"/>
                <w:szCs w:val="19"/>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Net investment</w:t>
            </w:r>
          </w:p>
        </w:tc>
        <w:tc>
          <w:tcPr>
            <w:tcW w:w="3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swaps</w:t>
            </w: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34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440" w:type="dxa"/>
            <w:vAlign w:val="bottom"/>
            <w:shd w:val="clear" w:color="auto" w:fill="CCEEFF"/>
          </w:tcPr>
          <w:p>
            <w:pPr>
              <w:spacing w:after="0"/>
              <w:rPr>
                <w:sz w:val="19"/>
                <w:szCs w:val="19"/>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Interest credited</w:t>
            </w: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440" w:type="dxa"/>
            <w:vAlign w:val="bottom"/>
            <w:shd w:val="clear" w:color="auto" w:fill="CCEEFF"/>
          </w:tcPr>
          <w:p>
            <w:pPr>
              <w:spacing w:after="0"/>
              <w:rPr>
                <w:sz w:val="19"/>
                <w:szCs w:val="19"/>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0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w:t>
            </w: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3700" w:type="dxa"/>
            <w:vAlign w:val="bottom"/>
            <w:gridSpan w:val="2"/>
            <w:vMerge w:val="continue"/>
          </w:tcPr>
          <w:p>
            <w:pPr>
              <w:spacing w:after="0"/>
              <w:rPr>
                <w:sz w:val="19"/>
                <w:szCs w:val="19"/>
                <w:color w:val="auto"/>
              </w:rPr>
            </w:pPr>
          </w:p>
        </w:tc>
        <w:tc>
          <w:tcPr>
            <w:tcW w:w="160" w:type="dxa"/>
            <w:vAlign w:val="bottom"/>
          </w:tcPr>
          <w:p>
            <w:pPr>
              <w:jc w:val="right"/>
              <w:ind w:right="9"/>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380"/>
              <w:spacing w:after="0"/>
              <w:rPr>
                <w:sz w:val="20"/>
                <w:szCs w:val="20"/>
                <w:color w:val="auto"/>
              </w:rPr>
            </w:pPr>
            <w:r>
              <w:rPr>
                <w:rFonts w:ascii="Arial" w:cs="Arial" w:eastAsia="Arial" w:hAnsi="Arial"/>
                <w:sz w:val="18"/>
                <w:szCs w:val="18"/>
                <w:color w:val="auto"/>
              </w:rPr>
              <w:t>(9)</w:t>
            </w:r>
          </w:p>
        </w:tc>
        <w:tc>
          <w:tcPr>
            <w:tcW w:w="1080" w:type="dxa"/>
            <w:vAlign w:val="bottom"/>
          </w:tcPr>
          <w:p>
            <w:pPr>
              <w:spacing w:after="0"/>
              <w:rPr>
                <w:sz w:val="19"/>
                <w:szCs w:val="19"/>
                <w:color w:val="auto"/>
              </w:rPr>
            </w:pPr>
          </w:p>
        </w:tc>
        <w:tc>
          <w:tcPr>
            <w:tcW w:w="96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w w:val="99"/>
              </w:rPr>
              <w:t>46</w:t>
            </w:r>
          </w:p>
        </w:tc>
        <w:tc>
          <w:tcPr>
            <w:tcW w:w="4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9</w:t>
            </w:r>
          </w:p>
        </w:tc>
        <w:tc>
          <w:tcPr>
            <w:tcW w:w="4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provides information about the pre-tax income (loss) effects of fair value hedges and related hedged items for the six months ended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June 30, 2009:</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3"/>
          </w:tcPr>
          <w:p>
            <w:pPr>
              <w:ind w:left="680"/>
              <w:spacing w:after="0"/>
              <w:rPr>
                <w:sz w:val="20"/>
                <w:szCs w:val="20"/>
                <w:color w:val="auto"/>
              </w:rPr>
            </w:pPr>
            <w:r>
              <w:rPr>
                <w:rFonts w:ascii="Arial" w:cs="Arial" w:eastAsia="Arial" w:hAnsi="Arial"/>
                <w:sz w:val="14"/>
                <w:szCs w:val="14"/>
                <w:b w:val="1"/>
                <w:bCs w:val="1"/>
                <w:color w:val="auto"/>
                <w:w w:val="93"/>
              </w:rPr>
              <w:t>Derivative instrument</w:t>
            </w:r>
          </w:p>
        </w:tc>
        <w:tc>
          <w:tcPr>
            <w:tcW w:w="2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Hedged item</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1220" w:type="dxa"/>
            <w:vAlign w:val="bottom"/>
            <w:gridSpan w:val="3"/>
          </w:tcPr>
          <w:p>
            <w:pPr>
              <w:jc w:val="center"/>
              <w:ind w:right="440"/>
              <w:spacing w:after="0" w:line="129" w:lineRule="exact"/>
              <w:rPr>
                <w:sz w:val="20"/>
                <w:szCs w:val="20"/>
                <w:color w:val="auto"/>
              </w:rPr>
            </w:pPr>
            <w:r>
              <w:rPr>
                <w:rFonts w:ascii="Arial" w:cs="Arial" w:eastAsia="Arial" w:hAnsi="Arial"/>
                <w:sz w:val="14"/>
                <w:szCs w:val="14"/>
                <w:b w:val="1"/>
                <w:bCs w:val="1"/>
                <w:color w:val="auto"/>
                <w:w w:val="85"/>
              </w:rPr>
              <w:t>Gain (loss)</w:t>
            </w:r>
          </w:p>
        </w:tc>
        <w:tc>
          <w:tcPr>
            <w:tcW w:w="10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Classification</w:t>
            </w: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Classification</w:t>
            </w:r>
          </w:p>
        </w:tc>
        <w:tc>
          <w:tcPr>
            <w:tcW w:w="340" w:type="dxa"/>
            <w:vAlign w:val="bottom"/>
          </w:tcPr>
          <w:p>
            <w:pPr>
              <w:spacing w:after="0"/>
              <w:rPr>
                <w:sz w:val="11"/>
                <w:szCs w:val="11"/>
                <w:color w:val="auto"/>
              </w:rPr>
            </w:pPr>
          </w:p>
        </w:tc>
        <w:tc>
          <w:tcPr>
            <w:tcW w:w="1220" w:type="dxa"/>
            <w:vAlign w:val="bottom"/>
            <w:gridSpan w:val="3"/>
          </w:tcPr>
          <w:p>
            <w:pPr>
              <w:jc w:val="center"/>
              <w:ind w:right="372"/>
              <w:spacing w:after="0" w:line="129" w:lineRule="exact"/>
              <w:rPr>
                <w:sz w:val="20"/>
                <w:szCs w:val="20"/>
                <w:color w:val="auto"/>
              </w:rPr>
            </w:pPr>
            <w:r>
              <w:rPr>
                <w:rFonts w:ascii="Arial" w:cs="Arial" w:eastAsia="Arial" w:hAnsi="Arial"/>
                <w:sz w:val="14"/>
                <w:szCs w:val="14"/>
                <w:b w:val="1"/>
                <w:bCs w:val="1"/>
                <w:color w:val="auto"/>
                <w:w w:val="85"/>
              </w:rPr>
              <w:t>Gain (loss)</w:t>
            </w:r>
          </w:p>
        </w:tc>
        <w:tc>
          <w:tcPr>
            <w:tcW w:w="10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7"/>
              </w:rPr>
              <w:t>Classification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2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of gain (loss)</w:t>
            </w:r>
          </w:p>
        </w:tc>
        <w:tc>
          <w:tcPr>
            <w:tcW w:w="340" w:type="dxa"/>
            <w:vAlign w:val="bottom"/>
          </w:tcPr>
          <w:p>
            <w:pPr>
              <w:spacing w:after="0"/>
              <w:rPr>
                <w:sz w:val="12"/>
                <w:szCs w:val="12"/>
                <w:color w:val="auto"/>
              </w:rPr>
            </w:pPr>
          </w:p>
        </w:tc>
        <w:tc>
          <w:tcPr>
            <w:tcW w:w="12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Other impacts</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of other</w:t>
            </w:r>
          </w:p>
        </w:tc>
        <w:tc>
          <w:tcPr>
            <w:tcW w:w="340" w:type="dxa"/>
            <w:vAlign w:val="bottom"/>
          </w:tcPr>
          <w:p>
            <w:pPr>
              <w:spacing w:after="0"/>
              <w:rPr>
                <w:sz w:val="12"/>
                <w:szCs w:val="12"/>
                <w:color w:val="auto"/>
              </w:rPr>
            </w:pPr>
          </w:p>
        </w:tc>
        <w:tc>
          <w:tcPr>
            <w:tcW w:w="1220" w:type="dxa"/>
            <w:vAlign w:val="bottom"/>
            <w:gridSpan w:val="3"/>
          </w:tcPr>
          <w:p>
            <w:pPr>
              <w:jc w:val="center"/>
              <w:ind w:right="372"/>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of gain (loss)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2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3"/>
              </w:rPr>
              <w:t>net income</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recognized in</w:t>
            </w:r>
          </w:p>
        </w:tc>
        <w:tc>
          <w:tcPr>
            <w:tcW w:w="340" w:type="dxa"/>
            <w:vAlign w:val="bottom"/>
          </w:tcPr>
          <w:p>
            <w:pPr>
              <w:spacing w:after="0"/>
              <w:rPr>
                <w:sz w:val="12"/>
                <w:szCs w:val="12"/>
                <w:color w:val="auto"/>
              </w:rPr>
            </w:pPr>
          </w:p>
        </w:tc>
        <w:tc>
          <w:tcPr>
            <w:tcW w:w="620" w:type="dxa"/>
            <w:vAlign w:val="bottom"/>
          </w:tcPr>
          <w:p>
            <w:pPr>
              <w:jc w:val="center"/>
              <w:ind w:left="152"/>
              <w:spacing w:after="0" w:line="149" w:lineRule="exact"/>
              <w:rPr>
                <w:sz w:val="20"/>
                <w:szCs w:val="20"/>
                <w:color w:val="auto"/>
              </w:rPr>
            </w:pPr>
            <w:r>
              <w:rPr>
                <w:rFonts w:ascii="Arial" w:cs="Arial" w:eastAsia="Arial" w:hAnsi="Arial"/>
                <w:sz w:val="14"/>
                <w:szCs w:val="14"/>
                <w:b w:val="1"/>
                <w:bCs w:val="1"/>
                <w:color w:val="auto"/>
                <w:w w:val="83"/>
              </w:rPr>
              <w:t>to net</w:t>
            </w:r>
          </w:p>
        </w:tc>
        <w:tc>
          <w:tcPr>
            <w:tcW w:w="2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impacts to</w:t>
            </w:r>
          </w:p>
        </w:tc>
        <w:tc>
          <w:tcPr>
            <w:tcW w:w="340" w:type="dxa"/>
            <w:vAlign w:val="bottom"/>
          </w:tcPr>
          <w:p>
            <w:pPr>
              <w:spacing w:after="0"/>
              <w:rPr>
                <w:sz w:val="12"/>
                <w:szCs w:val="12"/>
                <w:color w:val="auto"/>
              </w:rPr>
            </w:pPr>
          </w:p>
        </w:tc>
        <w:tc>
          <w:tcPr>
            <w:tcW w:w="1220" w:type="dxa"/>
            <w:vAlign w:val="bottom"/>
            <w:gridSpan w:val="3"/>
          </w:tcPr>
          <w:p>
            <w:pPr>
              <w:jc w:val="center"/>
              <w:ind w:right="372"/>
              <w:spacing w:after="0" w:line="149" w:lineRule="exact"/>
              <w:rPr>
                <w:sz w:val="20"/>
                <w:szCs w:val="20"/>
                <w:color w:val="auto"/>
              </w:rPr>
            </w:pPr>
            <w:r>
              <w:rPr>
                <w:rFonts w:ascii="Arial" w:cs="Arial" w:eastAsia="Arial" w:hAnsi="Arial"/>
                <w:sz w:val="14"/>
                <w:szCs w:val="14"/>
                <w:b w:val="1"/>
                <w:bCs w:val="1"/>
                <w:color w:val="auto"/>
                <w:w w:val="83"/>
              </w:rPr>
              <w:t>net income</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recognized in net</w:t>
            </w:r>
          </w:p>
        </w:tc>
        <w:tc>
          <w:tcPr>
            <w:tcW w:w="0" w:type="dxa"/>
            <w:vAlign w:val="bottom"/>
          </w:tcPr>
          <w:p>
            <w:pPr>
              <w:spacing w:after="0"/>
              <w:rPr>
                <w:sz w:val="1"/>
                <w:szCs w:val="1"/>
                <w:color w:val="auto"/>
              </w:rPr>
            </w:pPr>
          </w:p>
        </w:tc>
      </w:tr>
      <w:tr>
        <w:trPr>
          <w:trHeight w:val="161"/>
        </w:trPr>
        <w:tc>
          <w:tcPr>
            <w:tcW w:w="37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60" w:type="dxa"/>
            <w:vAlign w:val="bottom"/>
          </w:tcPr>
          <w:p>
            <w:pPr>
              <w:spacing w:after="0"/>
              <w:rPr>
                <w:sz w:val="14"/>
                <w:szCs w:val="14"/>
                <w:color w:val="auto"/>
              </w:rPr>
            </w:pPr>
          </w:p>
        </w:tc>
        <w:tc>
          <w:tcPr>
            <w:tcW w:w="106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80"/>
              </w:rPr>
              <w:t>(loss)</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340" w:type="dxa"/>
            <w:vAlign w:val="bottom"/>
          </w:tcPr>
          <w:p>
            <w:pPr>
              <w:spacing w:after="0"/>
              <w:rPr>
                <w:sz w:val="14"/>
                <w:szCs w:val="14"/>
                <w:color w:val="auto"/>
              </w:rPr>
            </w:pPr>
          </w:p>
        </w:tc>
        <w:tc>
          <w:tcPr>
            <w:tcW w:w="1280" w:type="dxa"/>
            <w:vAlign w:val="bottom"/>
            <w:gridSpan w:val="3"/>
          </w:tcPr>
          <w:p>
            <w:pPr>
              <w:jc w:val="center"/>
              <w:ind w:right="460"/>
              <w:spacing w:after="0"/>
              <w:rPr>
                <w:sz w:val="20"/>
                <w:szCs w:val="20"/>
                <w:color w:val="auto"/>
              </w:rPr>
            </w:pPr>
            <w:r>
              <w:rPr>
                <w:rFonts w:ascii="Arial" w:cs="Arial" w:eastAsia="Arial" w:hAnsi="Arial"/>
                <w:sz w:val="14"/>
                <w:szCs w:val="14"/>
                <w:b w:val="1"/>
                <w:bCs w:val="1"/>
                <w:color w:val="auto"/>
                <w:w w:val="81"/>
              </w:rPr>
              <w:t>income (loss)</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83"/>
              </w:rPr>
              <w:t>net income (loss)</w:t>
            </w: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center"/>
              <w:ind w:right="532"/>
              <w:spacing w:after="0"/>
              <w:rPr>
                <w:sz w:val="20"/>
                <w:szCs w:val="20"/>
                <w:color w:val="auto"/>
              </w:rPr>
            </w:pPr>
            <w:r>
              <w:rPr>
                <w:rFonts w:ascii="Arial" w:cs="Arial" w:eastAsia="Arial" w:hAnsi="Arial"/>
                <w:sz w:val="14"/>
                <w:szCs w:val="14"/>
                <w:b w:val="1"/>
                <w:bCs w:val="1"/>
                <w:color w:val="auto"/>
                <w:w w:val="80"/>
              </w:rPr>
              <w:t>(loss)</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4"/>
              </w:rPr>
              <w:t>income (loss)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7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Interest rate swaps hedging assets</w:t>
            </w: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9"/>
              </w:rPr>
              <w:t>Net investment</w:t>
            </w:r>
          </w:p>
        </w:tc>
        <w:tc>
          <w:tcPr>
            <w:tcW w:w="3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14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8"/>
              </w:rPr>
              <w:t>Net investment</w:t>
            </w: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2380" w:type="dxa"/>
            <w:vAlign w:val="bottom"/>
            <w:shd w:val="clear" w:color="auto" w:fill="CCEEFF"/>
          </w:tcPr>
          <w:p>
            <w:pPr>
              <w:spacing w:after="0"/>
              <w:rPr>
                <w:sz w:val="19"/>
                <w:szCs w:val="19"/>
                <w:color w:val="auto"/>
              </w:rPr>
            </w:pP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6</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w:t>
            </w: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income</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12"/>
              <w:spacing w:after="0"/>
              <w:rPr>
                <w:sz w:val="20"/>
                <w:szCs w:val="20"/>
                <w:color w:val="auto"/>
              </w:rPr>
            </w:pPr>
            <w:r>
              <w:rPr>
                <w:rFonts w:ascii="Arial" w:cs="Arial" w:eastAsia="Arial" w:hAnsi="Arial"/>
                <w:sz w:val="18"/>
                <w:szCs w:val="18"/>
                <w:color w:val="auto"/>
              </w:rPr>
              <w:t>(10)</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700" w:type="dxa"/>
            <w:vAlign w:val="bottom"/>
            <w:gridSpan w:val="2"/>
          </w:tcPr>
          <w:p>
            <w:pPr>
              <w:spacing w:after="0"/>
              <w:rPr>
                <w:sz w:val="20"/>
                <w:szCs w:val="20"/>
                <w:color w:val="auto"/>
              </w:rPr>
            </w:pPr>
            <w:r>
              <w:rPr>
                <w:rFonts w:ascii="Arial" w:cs="Arial" w:eastAsia="Arial" w:hAnsi="Arial"/>
                <w:sz w:val="18"/>
                <w:szCs w:val="18"/>
                <w:color w:val="auto"/>
              </w:rPr>
              <w:t>Interest rate swaps hedging liabilities</w:t>
            </w: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9"/>
              </w:rPr>
              <w:t>Net investment</w:t>
            </w: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380"/>
              <w:spacing w:after="0"/>
              <w:rPr>
                <w:sz w:val="20"/>
                <w:szCs w:val="20"/>
                <w:color w:val="auto"/>
              </w:rPr>
            </w:pPr>
            <w:r>
              <w:rPr>
                <w:rFonts w:ascii="Arial" w:cs="Arial" w:eastAsia="Arial" w:hAnsi="Arial"/>
                <w:sz w:val="18"/>
                <w:szCs w:val="18"/>
                <w:color w:val="auto"/>
              </w:rPr>
              <w:t>(59)</w:t>
            </w:r>
          </w:p>
        </w:tc>
        <w:tc>
          <w:tcPr>
            <w:tcW w:w="108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3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w w:val="99"/>
              </w:rPr>
              <w:t>42</w:t>
            </w:r>
          </w:p>
        </w:tc>
        <w:tc>
          <w:tcPr>
            <w:tcW w:w="440" w:type="dxa"/>
            <w:vAlign w:val="bottom"/>
          </w:tcPr>
          <w:p>
            <w:pPr>
              <w:spacing w:after="0"/>
              <w:rPr>
                <w:sz w:val="19"/>
                <w:szCs w:val="19"/>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8"/>
              </w:rPr>
              <w:t>Interest credited</w:t>
            </w: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62</w:t>
            </w:r>
          </w:p>
        </w:tc>
        <w:tc>
          <w:tcPr>
            <w:tcW w:w="440" w:type="dxa"/>
            <w:vAlign w:val="bottom"/>
          </w:tcPr>
          <w:p>
            <w:pPr>
              <w:spacing w:after="0"/>
              <w:rPr>
                <w:sz w:val="19"/>
                <w:szCs w:val="19"/>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Net investment</w:t>
            </w:r>
          </w:p>
        </w:tc>
        <w:tc>
          <w:tcPr>
            <w:tcW w:w="3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Net investment</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swaps</w:t>
            </w: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(13)</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34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440" w:type="dxa"/>
            <w:vAlign w:val="bottom"/>
            <w:shd w:val="clear" w:color="auto" w:fill="CCEEFF"/>
          </w:tcPr>
          <w:p>
            <w:pPr>
              <w:spacing w:after="0"/>
              <w:rPr>
                <w:sz w:val="19"/>
                <w:szCs w:val="19"/>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Interest credited</w:t>
            </w: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440" w:type="dxa"/>
            <w:vAlign w:val="bottom"/>
            <w:shd w:val="clear" w:color="auto" w:fill="CCEEFF"/>
          </w:tcPr>
          <w:p>
            <w:pPr>
              <w:spacing w:after="0"/>
              <w:rPr>
                <w:sz w:val="19"/>
                <w:szCs w:val="19"/>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gains (losses)</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0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w:t>
            </w: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3700" w:type="dxa"/>
            <w:vAlign w:val="bottom"/>
            <w:gridSpan w:val="2"/>
            <w:vMerge w:val="continue"/>
          </w:tcPr>
          <w:p>
            <w:pPr>
              <w:spacing w:after="0"/>
              <w:rPr>
                <w:sz w:val="19"/>
                <w:szCs w:val="19"/>
                <w:color w:val="auto"/>
              </w:rPr>
            </w:pPr>
          </w:p>
        </w:tc>
        <w:tc>
          <w:tcPr>
            <w:tcW w:w="160" w:type="dxa"/>
            <w:vAlign w:val="bottom"/>
          </w:tcPr>
          <w:p>
            <w:pPr>
              <w:jc w:val="right"/>
              <w:ind w:right="9"/>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380"/>
              <w:spacing w:after="0"/>
              <w:rPr>
                <w:sz w:val="20"/>
                <w:szCs w:val="20"/>
                <w:color w:val="auto"/>
              </w:rPr>
            </w:pPr>
            <w:r>
              <w:rPr>
                <w:rFonts w:ascii="Arial" w:cs="Arial" w:eastAsia="Arial" w:hAnsi="Arial"/>
                <w:sz w:val="18"/>
                <w:szCs w:val="18"/>
                <w:color w:val="auto"/>
              </w:rPr>
              <w:t>(66)</w:t>
            </w:r>
          </w:p>
        </w:tc>
        <w:tc>
          <w:tcPr>
            <w:tcW w:w="1080" w:type="dxa"/>
            <w:vAlign w:val="bottom"/>
          </w:tcPr>
          <w:p>
            <w:pPr>
              <w:spacing w:after="0"/>
              <w:rPr>
                <w:sz w:val="19"/>
                <w:szCs w:val="19"/>
                <w:color w:val="auto"/>
              </w:rPr>
            </w:pPr>
          </w:p>
        </w:tc>
        <w:tc>
          <w:tcPr>
            <w:tcW w:w="96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w w:val="99"/>
              </w:rPr>
              <w:t>35</w:t>
            </w:r>
          </w:p>
        </w:tc>
        <w:tc>
          <w:tcPr>
            <w:tcW w:w="4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63</w:t>
            </w:r>
          </w:p>
        </w:tc>
        <w:tc>
          <w:tcPr>
            <w:tcW w:w="4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60" w:firstLine="456"/>
        <w:spacing w:after="0" w:line="335" w:lineRule="auto"/>
        <w:rPr>
          <w:sz w:val="20"/>
          <w:szCs w:val="20"/>
          <w:color w:val="auto"/>
        </w:rPr>
      </w:pPr>
      <w:r>
        <w:rPr>
          <w:rFonts w:ascii="Arial" w:cs="Arial" w:eastAsia="Arial" w:hAnsi="Arial"/>
          <w:sz w:val="15"/>
          <w:szCs w:val="15"/>
          <w:color w:val="auto"/>
        </w:rPr>
        <w:t>The difference between the gain (loss) recognized for the derivative instruments and the hedged items presented above represents the net ineffectiveness of the fair value hedging relationships. The other impacts presented above represent the income (loss) effects of the derivative instruments that are presented in the same location as the income (loss) activity from the hedged items. There were no amounts excluded from the measurement of effectiveness.</w:t>
      </w:r>
    </w:p>
    <w:p>
      <w:pPr>
        <w:spacing w:after="0" w:line="169"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Derivatives Not Designated As Hedges</w:t>
      </w:r>
    </w:p>
    <w:p>
      <w:pPr>
        <w:spacing w:after="0" w:line="90"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We also enter into certain non-qualifying derivative instruments such as: (i) interest rate swaps, swaptions and financial futures to mitigate interest rate risk as part of managing regulatory capital positions; (ii) credit default swaps to enhance yield and reproduce characteristics of investments with similar terms and credit risk; (iii) equity index options, interest rate swaps and financial futures to mitigate the risks associated with liabilities that have guaranteed minimum benefits; (iv) interest rate swaps where the hedging relationship does not qualify for hedge accounting; (v) credit default swaps to mitigate loss exposure to certain credit risk; and (vi) foreign currency forward contracts to mitigate certain currency risk. Additionally, we provide GMWBs on certain</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320"/>
        <w:spacing w:after="0" w:line="268" w:lineRule="auto"/>
        <w:rPr>
          <w:sz w:val="20"/>
          <w:szCs w:val="20"/>
          <w:color w:val="auto"/>
        </w:rPr>
      </w:pPr>
      <w:r>
        <w:rPr>
          <w:rFonts w:ascii="Arial" w:cs="Arial" w:eastAsia="Arial" w:hAnsi="Arial"/>
          <w:sz w:val="18"/>
          <w:szCs w:val="18"/>
          <w:color w:val="auto"/>
        </w:rPr>
        <w:t>products that are required to be bifurcated as embedded derivatives and have reinsurance agreements with certain features that are required to be bifurcated as embedded derivatives.</w:t>
      </w:r>
    </w:p>
    <w:p>
      <w:pPr>
        <w:spacing w:after="0" w:line="132" w:lineRule="exact"/>
        <w:rPr>
          <w:sz w:val="20"/>
          <w:szCs w:val="20"/>
          <w:color w:val="auto"/>
        </w:rPr>
      </w:pPr>
    </w:p>
    <w:p>
      <w:pPr>
        <w:ind w:right="180" w:firstLine="456"/>
        <w:spacing w:after="0" w:line="314" w:lineRule="auto"/>
        <w:rPr>
          <w:sz w:val="20"/>
          <w:szCs w:val="20"/>
          <w:color w:val="auto"/>
        </w:rPr>
      </w:pPr>
      <w:r>
        <w:rPr>
          <w:rFonts w:ascii="Arial" w:cs="Arial" w:eastAsia="Arial" w:hAnsi="Arial"/>
          <w:sz w:val="15"/>
          <w:szCs w:val="15"/>
          <w:color w:val="auto"/>
        </w:rPr>
        <w:t>We also have derivatives related to securitization entities where we were required to consolidate the related securitization entity as a result of our involvement in the structure. The counterparties for these derivatives typically only have recourse to the securitization entity. The interest rate swaps used for these entities are typically used to effectively convert the interest payments on the assets of the securitization entity to the same basis as the interest rate on the borrowings issued by the securitization entity. Credit default swaps are utilized in certain securitization entities to enhance the yield payable on the borrowings issued by the securitization entity and also include a settlement feature that allows the securitization entity to provide the par value of assets in the securitization entity for the amount of any losses incurred under the credit default swap. See note 7 for additional information related to consolidated securitization entities.</w:t>
      </w:r>
    </w:p>
    <w:p>
      <w:pPr>
        <w:spacing w:after="0" w:line="105" w:lineRule="exact"/>
        <w:rPr>
          <w:sz w:val="20"/>
          <w:szCs w:val="20"/>
          <w:color w:val="auto"/>
        </w:rPr>
      </w:pPr>
    </w:p>
    <w:p>
      <w:pPr>
        <w:ind w:right="220" w:firstLine="456"/>
        <w:spacing w:after="0" w:line="268" w:lineRule="auto"/>
        <w:rPr>
          <w:sz w:val="20"/>
          <w:szCs w:val="20"/>
          <w:color w:val="auto"/>
        </w:rPr>
      </w:pPr>
      <w:r>
        <w:rPr>
          <w:rFonts w:ascii="Arial" w:cs="Arial" w:eastAsia="Arial" w:hAnsi="Arial"/>
          <w:sz w:val="18"/>
          <w:szCs w:val="18"/>
          <w:color w:val="auto"/>
        </w:rPr>
        <w:t>The following table provides the pre-tax gain (loss) recognized in net income (loss) for the effects of derivatives not designated as hedges for the periods indicated: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4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280" w:type="dxa"/>
            <w:vAlign w:val="bottom"/>
            <w:gridSpan w:val="5"/>
          </w:tcPr>
          <w:p>
            <w:pPr>
              <w:jc w:val="right"/>
              <w:ind w:right="1360"/>
              <w:spacing w:after="0"/>
              <w:rPr>
                <w:sz w:val="20"/>
                <w:szCs w:val="20"/>
                <w:color w:val="auto"/>
              </w:rPr>
            </w:pPr>
            <w:r>
              <w:rPr>
                <w:rFonts w:ascii="Arial" w:cs="Arial" w:eastAsia="Arial" w:hAnsi="Arial"/>
                <w:sz w:val="14"/>
                <w:szCs w:val="14"/>
                <w:b w:val="1"/>
                <w:bCs w:val="1"/>
                <w:color w:val="auto"/>
                <w:w w:val="96"/>
              </w:rPr>
              <w:t>Three months ended June 30,</w:t>
            </w:r>
          </w:p>
        </w:tc>
        <w:tc>
          <w:tcPr>
            <w:tcW w:w="2200" w:type="dxa"/>
            <w:vAlign w:val="bottom"/>
          </w:tcPr>
          <w:p>
            <w:pPr>
              <w:jc w:val="center"/>
              <w:spacing w:after="0"/>
              <w:rPr>
                <w:sz w:val="20"/>
                <w:szCs w:val="20"/>
                <w:color w:val="auto"/>
              </w:rPr>
            </w:pPr>
            <w:r>
              <w:rPr>
                <w:rFonts w:ascii="Arial" w:cs="Arial" w:eastAsia="Arial" w:hAnsi="Arial"/>
                <w:sz w:val="14"/>
                <w:szCs w:val="14"/>
                <w:b w:val="1"/>
                <w:bCs w:val="1"/>
                <w:color w:val="auto"/>
                <w:w w:val="84"/>
              </w:rPr>
              <w:t>Classification of gain (loss) recognized</w:t>
            </w:r>
          </w:p>
        </w:tc>
        <w:tc>
          <w:tcPr>
            <w:tcW w:w="0" w:type="dxa"/>
            <w:vAlign w:val="bottom"/>
          </w:tcPr>
          <w:p>
            <w:pPr>
              <w:spacing w:after="0"/>
              <w:rPr>
                <w:sz w:val="1"/>
                <w:szCs w:val="1"/>
                <w:color w:val="auto"/>
              </w:rPr>
            </w:pPr>
          </w:p>
        </w:tc>
      </w:tr>
      <w:tr>
        <w:trPr>
          <w:trHeight w:val="142"/>
        </w:trPr>
        <w:tc>
          <w:tcPr>
            <w:tcW w:w="578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(Amounts in millions)</w:t>
            </w:r>
          </w:p>
        </w:tc>
        <w:tc>
          <w:tcPr>
            <w:tcW w:w="16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jc w:val="right"/>
              <w:ind w:right="155"/>
              <w:spacing w:after="0" w:line="142" w:lineRule="exact"/>
              <w:rPr>
                <w:sz w:val="20"/>
                <w:szCs w:val="20"/>
                <w:color w:val="auto"/>
              </w:rPr>
            </w:pPr>
            <w:r>
              <w:rPr>
                <w:rFonts w:ascii="Arial" w:cs="Arial" w:eastAsia="Arial" w:hAnsi="Arial"/>
                <w:sz w:val="14"/>
                <w:szCs w:val="14"/>
                <w:b w:val="1"/>
                <w:bCs w:val="1"/>
                <w:color w:val="auto"/>
                <w:w w:val="96"/>
              </w:rPr>
              <w:t>2010</w:t>
            </w:r>
          </w:p>
        </w:tc>
        <w:tc>
          <w:tcPr>
            <w:tcW w:w="10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jc w:val="right"/>
              <w:ind w:right="154"/>
              <w:spacing w:after="0" w:line="142" w:lineRule="exact"/>
              <w:rPr>
                <w:sz w:val="20"/>
                <w:szCs w:val="20"/>
                <w:color w:val="auto"/>
              </w:rPr>
            </w:pPr>
            <w:r>
              <w:rPr>
                <w:rFonts w:ascii="Arial" w:cs="Arial" w:eastAsia="Arial" w:hAnsi="Arial"/>
                <w:sz w:val="14"/>
                <w:szCs w:val="14"/>
                <w:b w:val="1"/>
                <w:bCs w:val="1"/>
                <w:color w:val="auto"/>
              </w:rPr>
              <w:t>2009</w:t>
            </w:r>
          </w:p>
        </w:tc>
        <w:tc>
          <w:tcPr>
            <w:tcW w:w="960" w:type="dxa"/>
            <w:vAlign w:val="bottom"/>
          </w:tcPr>
          <w:p>
            <w:pPr>
              <w:spacing w:after="0"/>
              <w:rPr>
                <w:sz w:val="12"/>
                <w:szCs w:val="12"/>
                <w:color w:val="auto"/>
              </w:rPr>
            </w:pPr>
          </w:p>
        </w:tc>
        <w:tc>
          <w:tcPr>
            <w:tcW w:w="220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5"/>
              </w:rPr>
              <w:t>in net income (loss)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85"/>
              </w:rPr>
              <w:t>Interest rate swaps</w:t>
            </w:r>
          </w:p>
        </w:tc>
        <w:tc>
          <w:tcPr>
            <w:tcW w:w="44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0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164</w:t>
            </w:r>
          </w:p>
        </w:tc>
        <w:tc>
          <w:tcPr>
            <w:tcW w:w="960" w:type="dxa"/>
            <w:vAlign w:val="bottom"/>
            <w:shd w:val="clear" w:color="auto" w:fill="CCEEFF"/>
          </w:tcPr>
          <w:p>
            <w:pPr>
              <w:spacing w:after="0"/>
              <w:rPr>
                <w:sz w:val="18"/>
                <w:szCs w:val="18"/>
                <w:color w:val="auto"/>
              </w:rPr>
            </w:pPr>
          </w:p>
        </w:tc>
        <w:tc>
          <w:tcPr>
            <w:tcW w:w="22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gridSpan w:val="2"/>
          </w:tcPr>
          <w:p>
            <w:pPr>
              <w:spacing w:after="0"/>
              <w:rPr>
                <w:sz w:val="20"/>
                <w:szCs w:val="20"/>
                <w:color w:val="auto"/>
              </w:rPr>
            </w:pPr>
            <w:r>
              <w:rPr>
                <w:rFonts w:ascii="Arial" w:cs="Arial" w:eastAsia="Arial" w:hAnsi="Arial"/>
                <w:sz w:val="18"/>
                <w:szCs w:val="18"/>
                <w:color w:val="auto"/>
              </w:rPr>
              <w:t xml:space="preserve">Interest rate swaps related to securitization entities </w:t>
            </w:r>
            <w:r>
              <w:rPr>
                <w:rFonts w:ascii="Arial" w:cs="Arial" w:eastAsia="Arial" w:hAnsi="Arial"/>
                <w:sz w:val="11"/>
                <w:szCs w:val="11"/>
                <w:color w:val="auto"/>
              </w:rPr>
              <w:t>(1)</w:t>
            </w:r>
          </w:p>
        </w:tc>
        <w:tc>
          <w:tcPr>
            <w:tcW w:w="160" w:type="dxa"/>
            <w:vAlign w:val="bottom"/>
          </w:tcPr>
          <w:p>
            <w:pPr>
              <w:spacing w:after="0"/>
              <w:rPr>
                <w:sz w:val="18"/>
                <w:szCs w:val="18"/>
                <w:color w:val="auto"/>
              </w:rPr>
            </w:pPr>
          </w:p>
        </w:tc>
        <w:tc>
          <w:tcPr>
            <w:tcW w:w="1580" w:type="dxa"/>
            <w:vAlign w:val="bottom"/>
            <w:gridSpan w:val="2"/>
          </w:tcPr>
          <w:p>
            <w:pPr>
              <w:jc w:val="right"/>
              <w:ind w:right="980"/>
              <w:spacing w:after="0"/>
              <w:rPr>
                <w:sz w:val="20"/>
                <w:szCs w:val="20"/>
                <w:color w:val="auto"/>
              </w:rPr>
            </w:pPr>
            <w:r>
              <w:rPr>
                <w:rFonts w:ascii="Arial" w:cs="Arial" w:eastAsia="Arial" w:hAnsi="Arial"/>
                <w:sz w:val="18"/>
                <w:szCs w:val="18"/>
                <w:color w:val="auto"/>
              </w:rPr>
              <w:t>(9)</w:t>
            </w:r>
          </w:p>
        </w:tc>
        <w:tc>
          <w:tcPr>
            <w:tcW w:w="160" w:type="dxa"/>
            <w:vAlign w:val="bottom"/>
          </w:tcPr>
          <w:p>
            <w:pPr>
              <w:spacing w:after="0"/>
              <w:rPr>
                <w:sz w:val="18"/>
                <w:szCs w:val="18"/>
                <w:color w:val="auto"/>
              </w:rPr>
            </w:pPr>
          </w:p>
        </w:tc>
        <w:tc>
          <w:tcPr>
            <w:tcW w:w="1540" w:type="dxa"/>
            <w:vAlign w:val="bottom"/>
            <w:gridSpan w:val="2"/>
          </w:tcPr>
          <w:p>
            <w:pPr>
              <w:jc w:val="right"/>
              <w:ind w:right="1040"/>
              <w:spacing w:after="0"/>
              <w:rPr>
                <w:sz w:val="20"/>
                <w:szCs w:val="20"/>
                <w:color w:val="auto"/>
              </w:rPr>
            </w:pPr>
            <w:r>
              <w:rPr>
                <w:rFonts w:ascii="Arial" w:cs="Arial" w:eastAsia="Arial" w:hAnsi="Arial"/>
                <w:sz w:val="18"/>
                <w:szCs w:val="18"/>
                <w:color w:val="auto"/>
              </w:rPr>
              <w:t>—</w:t>
            </w: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swaptions</w:t>
            </w: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35</w:t>
            </w:r>
          </w:p>
        </w:tc>
        <w:tc>
          <w:tcPr>
            <w:tcW w:w="16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900"/>
              <w:spacing w:after="0"/>
              <w:rPr>
                <w:sz w:val="20"/>
                <w:szCs w:val="20"/>
                <w:color w:val="auto"/>
              </w:rPr>
            </w:pPr>
            <w:r>
              <w:rPr>
                <w:rFonts w:ascii="Arial" w:cs="Arial" w:eastAsia="Arial" w:hAnsi="Arial"/>
                <w:sz w:val="18"/>
                <w:szCs w:val="18"/>
                <w:color w:val="auto"/>
              </w:rPr>
              <w:t>(338)</w:t>
            </w: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gridSpan w:val="2"/>
          </w:tcPr>
          <w:p>
            <w:pPr>
              <w:spacing w:after="0"/>
              <w:rPr>
                <w:sz w:val="20"/>
                <w:szCs w:val="20"/>
                <w:color w:val="auto"/>
              </w:rPr>
            </w:pPr>
            <w:r>
              <w:rPr>
                <w:rFonts w:ascii="Arial" w:cs="Arial" w:eastAsia="Arial" w:hAnsi="Arial"/>
                <w:sz w:val="18"/>
                <w:szCs w:val="18"/>
                <w:color w:val="auto"/>
              </w:rPr>
              <w:t>Credit default swaps</w:t>
            </w:r>
          </w:p>
        </w:tc>
        <w:tc>
          <w:tcPr>
            <w:tcW w:w="160" w:type="dxa"/>
            <w:vAlign w:val="bottom"/>
          </w:tcPr>
          <w:p>
            <w:pPr>
              <w:spacing w:after="0"/>
              <w:rPr>
                <w:sz w:val="18"/>
                <w:szCs w:val="18"/>
                <w:color w:val="auto"/>
              </w:rPr>
            </w:pPr>
          </w:p>
        </w:tc>
        <w:tc>
          <w:tcPr>
            <w:tcW w:w="1580" w:type="dxa"/>
            <w:vAlign w:val="bottom"/>
            <w:gridSpan w:val="2"/>
          </w:tcPr>
          <w:p>
            <w:pPr>
              <w:jc w:val="right"/>
              <w:ind w:right="980"/>
              <w:spacing w:after="0"/>
              <w:rPr>
                <w:sz w:val="20"/>
                <w:szCs w:val="20"/>
                <w:color w:val="auto"/>
              </w:rPr>
            </w:pPr>
            <w:r>
              <w:rPr>
                <w:rFonts w:ascii="Arial" w:cs="Arial" w:eastAsia="Arial" w:hAnsi="Arial"/>
                <w:sz w:val="18"/>
                <w:szCs w:val="18"/>
                <w:color w:val="auto"/>
              </w:rPr>
              <w:t>(32)</w:t>
            </w:r>
          </w:p>
        </w:tc>
        <w:tc>
          <w:tcPr>
            <w:tcW w:w="160" w:type="dxa"/>
            <w:vAlign w:val="bottom"/>
          </w:tcPr>
          <w:p>
            <w:pPr>
              <w:spacing w:after="0"/>
              <w:rPr>
                <w:sz w:val="18"/>
                <w:szCs w:val="18"/>
                <w:color w:val="auto"/>
              </w:rPr>
            </w:pPr>
          </w:p>
        </w:tc>
        <w:tc>
          <w:tcPr>
            <w:tcW w:w="1540" w:type="dxa"/>
            <w:vAlign w:val="bottom"/>
            <w:gridSpan w:val="2"/>
          </w:tcPr>
          <w:p>
            <w:pPr>
              <w:jc w:val="right"/>
              <w:ind w:right="960"/>
              <w:spacing w:after="0"/>
              <w:rPr>
                <w:sz w:val="20"/>
                <w:szCs w:val="20"/>
                <w:color w:val="auto"/>
              </w:rPr>
            </w:pPr>
            <w:r>
              <w:rPr>
                <w:rFonts w:ascii="Arial" w:cs="Arial" w:eastAsia="Arial" w:hAnsi="Arial"/>
                <w:sz w:val="18"/>
                <w:szCs w:val="18"/>
                <w:color w:val="auto"/>
              </w:rPr>
              <w:t>35</w:t>
            </w: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Credit default swaps related to securitization entities </w:t>
            </w:r>
            <w:r>
              <w:rPr>
                <w:rFonts w:ascii="Arial" w:cs="Arial" w:eastAsia="Arial" w:hAnsi="Arial"/>
                <w:sz w:val="11"/>
                <w:szCs w:val="11"/>
                <w:color w:val="auto"/>
              </w:rPr>
              <w:t>(1)</w:t>
            </w: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(46)</w:t>
            </w:r>
          </w:p>
        </w:tc>
        <w:tc>
          <w:tcPr>
            <w:tcW w:w="16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40"/>
              <w:spacing w:after="0"/>
              <w:rPr>
                <w:sz w:val="20"/>
                <w:szCs w:val="20"/>
                <w:color w:val="auto"/>
              </w:rPr>
            </w:pPr>
            <w:r>
              <w:rPr>
                <w:rFonts w:ascii="Arial" w:cs="Arial" w:eastAsia="Arial" w:hAnsi="Arial"/>
                <w:sz w:val="18"/>
                <w:szCs w:val="18"/>
                <w:color w:val="auto"/>
              </w:rPr>
              <w:t>—</w:t>
            </w: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gridSpan w:val="2"/>
          </w:tcPr>
          <w:p>
            <w:pPr>
              <w:spacing w:after="0"/>
              <w:rPr>
                <w:sz w:val="20"/>
                <w:szCs w:val="20"/>
                <w:color w:val="auto"/>
              </w:rPr>
            </w:pPr>
            <w:r>
              <w:rPr>
                <w:rFonts w:ascii="Arial" w:cs="Arial" w:eastAsia="Arial" w:hAnsi="Arial"/>
                <w:sz w:val="18"/>
                <w:szCs w:val="18"/>
                <w:color w:val="auto"/>
              </w:rPr>
              <w:t>Equity index options</w:t>
            </w:r>
          </w:p>
        </w:tc>
        <w:tc>
          <w:tcPr>
            <w:tcW w:w="160" w:type="dxa"/>
            <w:vAlign w:val="bottom"/>
          </w:tcPr>
          <w:p>
            <w:pPr>
              <w:spacing w:after="0"/>
              <w:rPr>
                <w:sz w:val="18"/>
                <w:szCs w:val="18"/>
                <w:color w:val="auto"/>
              </w:rPr>
            </w:pPr>
          </w:p>
        </w:tc>
        <w:tc>
          <w:tcPr>
            <w:tcW w:w="1580" w:type="dxa"/>
            <w:vAlign w:val="bottom"/>
            <w:gridSpan w:val="2"/>
          </w:tcPr>
          <w:p>
            <w:pPr>
              <w:jc w:val="right"/>
              <w:ind w:right="1020"/>
              <w:spacing w:after="0"/>
              <w:rPr>
                <w:sz w:val="20"/>
                <w:szCs w:val="20"/>
                <w:color w:val="auto"/>
              </w:rPr>
            </w:pPr>
            <w:r>
              <w:rPr>
                <w:rFonts w:ascii="Arial" w:cs="Arial" w:eastAsia="Arial" w:hAnsi="Arial"/>
                <w:sz w:val="18"/>
                <w:szCs w:val="18"/>
                <w:color w:val="auto"/>
              </w:rPr>
              <w:t>50</w:t>
            </w:r>
          </w:p>
        </w:tc>
        <w:tc>
          <w:tcPr>
            <w:tcW w:w="160" w:type="dxa"/>
            <w:vAlign w:val="bottom"/>
          </w:tcPr>
          <w:p>
            <w:pPr>
              <w:spacing w:after="0"/>
              <w:rPr>
                <w:sz w:val="18"/>
                <w:szCs w:val="18"/>
                <w:color w:val="auto"/>
              </w:rPr>
            </w:pPr>
          </w:p>
        </w:tc>
        <w:tc>
          <w:tcPr>
            <w:tcW w:w="1540" w:type="dxa"/>
            <w:vAlign w:val="bottom"/>
            <w:gridSpan w:val="2"/>
          </w:tcPr>
          <w:p>
            <w:pPr>
              <w:jc w:val="right"/>
              <w:ind w:right="900"/>
              <w:spacing w:after="0"/>
              <w:rPr>
                <w:sz w:val="20"/>
                <w:szCs w:val="20"/>
                <w:color w:val="auto"/>
              </w:rPr>
            </w:pPr>
            <w:r>
              <w:rPr>
                <w:rFonts w:ascii="Arial" w:cs="Arial" w:eastAsia="Arial" w:hAnsi="Arial"/>
                <w:sz w:val="18"/>
                <w:szCs w:val="18"/>
                <w:color w:val="auto"/>
              </w:rPr>
              <w:t>(71)</w:t>
            </w: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Financial futures</w:t>
            </w: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105</w:t>
            </w:r>
          </w:p>
        </w:tc>
        <w:tc>
          <w:tcPr>
            <w:tcW w:w="16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900"/>
              <w:spacing w:after="0"/>
              <w:rPr>
                <w:sz w:val="20"/>
                <w:szCs w:val="20"/>
                <w:color w:val="auto"/>
              </w:rPr>
            </w:pPr>
            <w:r>
              <w:rPr>
                <w:rFonts w:ascii="Arial" w:cs="Arial" w:eastAsia="Arial" w:hAnsi="Arial"/>
                <w:sz w:val="18"/>
                <w:szCs w:val="18"/>
                <w:color w:val="auto"/>
              </w:rPr>
              <w:t>(163)</w:t>
            </w: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gridSpan w:val="2"/>
          </w:tcPr>
          <w:p>
            <w:pPr>
              <w:spacing w:after="0"/>
              <w:rPr>
                <w:sz w:val="20"/>
                <w:szCs w:val="20"/>
                <w:color w:val="auto"/>
              </w:rPr>
            </w:pPr>
            <w:r>
              <w:rPr>
                <w:rFonts w:ascii="Arial" w:cs="Arial" w:eastAsia="Arial" w:hAnsi="Arial"/>
                <w:sz w:val="18"/>
                <w:szCs w:val="18"/>
                <w:color w:val="auto"/>
              </w:rPr>
              <w:t>Inflation indexed swaps</w:t>
            </w:r>
          </w:p>
        </w:tc>
        <w:tc>
          <w:tcPr>
            <w:tcW w:w="160" w:type="dxa"/>
            <w:vAlign w:val="bottom"/>
          </w:tcPr>
          <w:p>
            <w:pPr>
              <w:spacing w:after="0"/>
              <w:rPr>
                <w:sz w:val="18"/>
                <w:szCs w:val="18"/>
                <w:color w:val="auto"/>
              </w:rPr>
            </w:pPr>
          </w:p>
        </w:tc>
        <w:tc>
          <w:tcPr>
            <w:tcW w:w="1580" w:type="dxa"/>
            <w:vAlign w:val="bottom"/>
            <w:gridSpan w:val="2"/>
          </w:tcPr>
          <w:p>
            <w:pPr>
              <w:jc w:val="right"/>
              <w:ind w:right="11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540" w:type="dxa"/>
            <w:vAlign w:val="bottom"/>
            <w:gridSpan w:val="2"/>
          </w:tcPr>
          <w:p>
            <w:pPr>
              <w:jc w:val="right"/>
              <w:ind w:right="960"/>
              <w:spacing w:after="0"/>
              <w:rPr>
                <w:sz w:val="20"/>
                <w:szCs w:val="20"/>
                <w:color w:val="auto"/>
              </w:rPr>
            </w:pPr>
            <w:r>
              <w:rPr>
                <w:rFonts w:ascii="Arial" w:cs="Arial" w:eastAsia="Arial" w:hAnsi="Arial"/>
                <w:sz w:val="18"/>
                <w:szCs w:val="18"/>
                <w:color w:val="auto"/>
              </w:rPr>
              <w:t>4</w:t>
            </w: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foreign currency contracts</w:t>
            </w: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2</w:t>
            </w:r>
          </w:p>
        </w:tc>
        <w:tc>
          <w:tcPr>
            <w:tcW w:w="16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8</w:t>
            </w: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gridSpan w:val="2"/>
          </w:tcPr>
          <w:p>
            <w:pPr>
              <w:spacing w:after="0"/>
              <w:rPr>
                <w:sz w:val="20"/>
                <w:szCs w:val="20"/>
                <w:color w:val="auto"/>
              </w:rPr>
            </w:pPr>
            <w:r>
              <w:rPr>
                <w:rFonts w:ascii="Arial" w:cs="Arial" w:eastAsia="Arial" w:hAnsi="Arial"/>
                <w:sz w:val="18"/>
                <w:szCs w:val="18"/>
                <w:color w:val="auto"/>
              </w:rPr>
              <w:t>Reinsurance embedded derivatives</w:t>
            </w:r>
          </w:p>
        </w:tc>
        <w:tc>
          <w:tcPr>
            <w:tcW w:w="160" w:type="dxa"/>
            <w:vAlign w:val="bottom"/>
          </w:tcPr>
          <w:p>
            <w:pPr>
              <w:spacing w:after="0"/>
              <w:rPr>
                <w:sz w:val="18"/>
                <w:szCs w:val="18"/>
                <w:color w:val="auto"/>
              </w:rPr>
            </w:pPr>
          </w:p>
        </w:tc>
        <w:tc>
          <w:tcPr>
            <w:tcW w:w="1580" w:type="dxa"/>
            <w:vAlign w:val="bottom"/>
            <w:gridSpan w:val="2"/>
          </w:tcPr>
          <w:p>
            <w:pPr>
              <w:jc w:val="right"/>
              <w:ind w:right="1020"/>
              <w:spacing w:after="0"/>
              <w:rPr>
                <w:sz w:val="20"/>
                <w:szCs w:val="20"/>
                <w:color w:val="auto"/>
              </w:rPr>
            </w:pPr>
            <w:r>
              <w:rPr>
                <w:rFonts w:ascii="Arial" w:cs="Arial" w:eastAsia="Arial" w:hAnsi="Arial"/>
                <w:sz w:val="18"/>
                <w:szCs w:val="18"/>
                <w:color w:val="auto"/>
              </w:rPr>
              <w:t>2</w:t>
            </w:r>
          </w:p>
        </w:tc>
        <w:tc>
          <w:tcPr>
            <w:tcW w:w="160" w:type="dxa"/>
            <w:vAlign w:val="bottom"/>
          </w:tcPr>
          <w:p>
            <w:pPr>
              <w:spacing w:after="0"/>
              <w:rPr>
                <w:sz w:val="18"/>
                <w:szCs w:val="18"/>
                <w:color w:val="auto"/>
              </w:rPr>
            </w:pPr>
          </w:p>
        </w:tc>
        <w:tc>
          <w:tcPr>
            <w:tcW w:w="1540" w:type="dxa"/>
            <w:vAlign w:val="bottom"/>
            <w:gridSpan w:val="2"/>
          </w:tcPr>
          <w:p>
            <w:pPr>
              <w:jc w:val="right"/>
              <w:ind w:right="1040"/>
              <w:spacing w:after="0"/>
              <w:rPr>
                <w:sz w:val="20"/>
                <w:szCs w:val="20"/>
                <w:color w:val="auto"/>
              </w:rPr>
            </w:pPr>
            <w:r>
              <w:rPr>
                <w:rFonts w:ascii="Arial" w:cs="Arial" w:eastAsia="Arial" w:hAnsi="Arial"/>
                <w:sz w:val="18"/>
                <w:szCs w:val="18"/>
                <w:color w:val="auto"/>
              </w:rPr>
              <w:t>—</w:t>
            </w: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GMWB embedded derivatives</w:t>
            </w: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(278)</w:t>
            </w:r>
          </w:p>
        </w:tc>
        <w:tc>
          <w:tcPr>
            <w:tcW w:w="16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479</w:t>
            </w: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6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derivatives not designated as hedges</w:t>
            </w: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5760" w:type="dxa"/>
            <w:vAlign w:val="bottom"/>
            <w:gridSpan w:val="2"/>
            <w:vMerge w:val="continue"/>
          </w:tcPr>
          <w:p>
            <w:pPr>
              <w:spacing w:after="0"/>
              <w:rPr>
                <w:sz w:val="19"/>
                <w:szCs w:val="19"/>
                <w:color w:val="auto"/>
              </w:rPr>
            </w:pP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1580" w:type="dxa"/>
            <w:vAlign w:val="bottom"/>
            <w:gridSpan w:val="2"/>
          </w:tcPr>
          <w:p>
            <w:pPr>
              <w:jc w:val="right"/>
              <w:ind w:right="980"/>
              <w:spacing w:after="0"/>
              <w:rPr>
                <w:sz w:val="20"/>
                <w:szCs w:val="20"/>
                <w:color w:val="auto"/>
              </w:rPr>
            </w:pPr>
            <w:r>
              <w:rPr>
                <w:rFonts w:ascii="Arial" w:cs="Arial" w:eastAsia="Arial" w:hAnsi="Arial"/>
                <w:sz w:val="18"/>
                <w:szCs w:val="18"/>
                <w:color w:val="auto"/>
              </w:rPr>
              <w:t>(108)</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1540" w:type="dxa"/>
            <w:vAlign w:val="bottom"/>
            <w:gridSpan w:val="2"/>
          </w:tcPr>
          <w:p>
            <w:pPr>
              <w:jc w:val="right"/>
              <w:ind w:right="960"/>
              <w:spacing w:after="0"/>
              <w:rPr>
                <w:sz w:val="20"/>
                <w:szCs w:val="20"/>
                <w:color w:val="auto"/>
              </w:rPr>
            </w:pPr>
            <w:r>
              <w:rPr>
                <w:rFonts w:ascii="Arial" w:cs="Arial" w:eastAsia="Arial" w:hAnsi="Arial"/>
                <w:sz w:val="18"/>
                <w:szCs w:val="18"/>
                <w:color w:val="auto"/>
              </w:rPr>
              <w:t>118</w:t>
            </w:r>
          </w:p>
        </w:tc>
        <w:tc>
          <w:tcPr>
            <w:tcW w:w="2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5620" w:right="5140" w:hanging="5612"/>
        <w:spacing w:after="0" w:line="465" w:lineRule="auto"/>
        <w:tabs>
          <w:tab w:leader="none" w:pos="448" w:val="left"/>
        </w:tabs>
        <w:numPr>
          <w:ilvl w:val="0"/>
          <w:numId w:val="20"/>
        </w:numPr>
        <w:rPr>
          <w:rFonts w:ascii="Arial" w:cs="Arial" w:eastAsia="Arial" w:hAnsi="Arial"/>
          <w:sz w:val="20"/>
          <w:szCs w:val="20"/>
          <w:color w:val="auto"/>
          <w:vertAlign w:val="superscript"/>
        </w:rPr>
      </w:pPr>
      <w:r>
        <w:rPr>
          <w:rFonts w:ascii="Arial" w:cs="Arial" w:eastAsia="Arial" w:hAnsi="Arial"/>
          <w:sz w:val="16"/>
          <w:szCs w:val="16"/>
          <w:color w:val="auto"/>
        </w:rPr>
        <w:t>See note 7 for additional information related to consolidated securitization entities.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-528955</wp:posOffset>
            </wp:positionV>
            <wp:extent cx="72898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220" w:firstLine="456"/>
        <w:spacing w:after="0" w:line="268" w:lineRule="auto"/>
        <w:rPr>
          <w:sz w:val="20"/>
          <w:szCs w:val="20"/>
          <w:color w:val="auto"/>
        </w:rPr>
      </w:pPr>
      <w:r>
        <w:rPr>
          <w:rFonts w:ascii="Arial" w:cs="Arial" w:eastAsia="Arial" w:hAnsi="Arial"/>
          <w:sz w:val="18"/>
          <w:szCs w:val="18"/>
          <w:color w:val="auto"/>
        </w:rPr>
        <w:t>The following table provides the pre-tax gain (loss) recognized in net income (loss) for the effects of derivatives not designated as hedges for the periods indicated: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4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180" w:type="dxa"/>
            <w:vAlign w:val="bottom"/>
            <w:gridSpan w:val="6"/>
          </w:tcPr>
          <w:p>
            <w:pPr>
              <w:jc w:val="right"/>
              <w:ind w:right="1380"/>
              <w:spacing w:after="0"/>
              <w:rPr>
                <w:sz w:val="20"/>
                <w:szCs w:val="20"/>
                <w:color w:val="auto"/>
              </w:rPr>
            </w:pPr>
            <w:r>
              <w:rPr>
                <w:rFonts w:ascii="Arial" w:cs="Arial" w:eastAsia="Arial" w:hAnsi="Arial"/>
                <w:sz w:val="14"/>
                <w:szCs w:val="14"/>
                <w:b w:val="1"/>
                <w:bCs w:val="1"/>
                <w:color w:val="auto"/>
                <w:w w:val="98"/>
              </w:rPr>
              <w:t>Six months ended June 30,</w:t>
            </w:r>
          </w:p>
        </w:tc>
        <w:tc>
          <w:tcPr>
            <w:tcW w:w="2200" w:type="dxa"/>
            <w:vAlign w:val="bottom"/>
          </w:tcPr>
          <w:p>
            <w:pPr>
              <w:jc w:val="center"/>
              <w:spacing w:after="0"/>
              <w:rPr>
                <w:sz w:val="20"/>
                <w:szCs w:val="20"/>
                <w:color w:val="auto"/>
              </w:rPr>
            </w:pPr>
            <w:r>
              <w:rPr>
                <w:rFonts w:ascii="Arial" w:cs="Arial" w:eastAsia="Arial" w:hAnsi="Arial"/>
                <w:sz w:val="14"/>
                <w:szCs w:val="14"/>
                <w:b w:val="1"/>
                <w:bCs w:val="1"/>
                <w:color w:val="auto"/>
                <w:w w:val="84"/>
              </w:rPr>
              <w:t>Classification of gain (loss) recognized</w:t>
            </w:r>
          </w:p>
        </w:tc>
        <w:tc>
          <w:tcPr>
            <w:tcW w:w="0" w:type="dxa"/>
            <w:vAlign w:val="bottom"/>
          </w:tcPr>
          <w:p>
            <w:pPr>
              <w:spacing w:after="0"/>
              <w:rPr>
                <w:sz w:val="1"/>
                <w:szCs w:val="1"/>
                <w:color w:val="auto"/>
              </w:rPr>
            </w:pPr>
          </w:p>
        </w:tc>
      </w:tr>
      <w:tr>
        <w:trPr>
          <w:trHeight w:val="142"/>
        </w:trPr>
        <w:tc>
          <w:tcPr>
            <w:tcW w:w="590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(Amounts in millions)</w:t>
            </w:r>
          </w:p>
        </w:tc>
        <w:tc>
          <w:tcPr>
            <w:tcW w:w="14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ind w:right="115"/>
              <w:spacing w:after="0" w:line="142" w:lineRule="exact"/>
              <w:rPr>
                <w:sz w:val="20"/>
                <w:szCs w:val="20"/>
                <w:color w:val="auto"/>
              </w:rPr>
            </w:pPr>
            <w:r>
              <w:rPr>
                <w:rFonts w:ascii="Arial" w:cs="Arial" w:eastAsia="Arial" w:hAnsi="Arial"/>
                <w:sz w:val="14"/>
                <w:szCs w:val="14"/>
                <w:b w:val="1"/>
                <w:bCs w:val="1"/>
                <w:color w:val="auto"/>
                <w:w w:val="89"/>
              </w:rPr>
              <w:t>2010</w:t>
            </w:r>
          </w:p>
        </w:tc>
        <w:tc>
          <w:tcPr>
            <w:tcW w:w="54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2009</w:t>
            </w:r>
          </w:p>
        </w:tc>
        <w:tc>
          <w:tcPr>
            <w:tcW w:w="980" w:type="dxa"/>
            <w:vAlign w:val="bottom"/>
          </w:tcPr>
          <w:p>
            <w:pPr>
              <w:spacing w:after="0"/>
              <w:rPr>
                <w:sz w:val="12"/>
                <w:szCs w:val="12"/>
                <w:color w:val="auto"/>
              </w:rPr>
            </w:pPr>
          </w:p>
        </w:tc>
        <w:tc>
          <w:tcPr>
            <w:tcW w:w="220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5"/>
              </w:rPr>
              <w:t>in net income (loss)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2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320" w:type="dxa"/>
            <w:vAlign w:val="bottom"/>
            <w:shd w:val="clear" w:color="auto" w:fill="CCEEFF"/>
          </w:tcPr>
          <w:p>
            <w:pPr>
              <w:spacing w:after="0"/>
              <w:rPr>
                <w:sz w:val="20"/>
                <w:szCs w:val="20"/>
                <w:color w:val="auto"/>
              </w:rPr>
            </w:pPr>
            <w:r>
              <w:rPr>
                <w:rFonts w:ascii="Arial" w:cs="Arial" w:eastAsia="Arial" w:hAnsi="Arial"/>
                <w:sz w:val="18"/>
                <w:szCs w:val="18"/>
                <w:color w:val="auto"/>
                <w:w w:val="85"/>
              </w:rPr>
              <w:t>Interest rate swaps</w:t>
            </w:r>
          </w:p>
        </w:tc>
        <w:tc>
          <w:tcPr>
            <w:tcW w:w="45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5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w:t>
            </w:r>
          </w:p>
        </w:tc>
        <w:tc>
          <w:tcPr>
            <w:tcW w:w="980" w:type="dxa"/>
            <w:vAlign w:val="bottom"/>
            <w:shd w:val="clear" w:color="auto" w:fill="CCEEFF"/>
          </w:tcPr>
          <w:p>
            <w:pPr>
              <w:spacing w:after="0"/>
              <w:rPr>
                <w:sz w:val="18"/>
                <w:szCs w:val="18"/>
                <w:color w:val="auto"/>
              </w:rPr>
            </w:pP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tcPr>
          <w:p>
            <w:pPr>
              <w:spacing w:after="0"/>
              <w:rPr>
                <w:sz w:val="20"/>
                <w:szCs w:val="20"/>
                <w:color w:val="auto"/>
              </w:rPr>
            </w:pPr>
            <w:r>
              <w:rPr>
                <w:rFonts w:ascii="Arial" w:cs="Arial" w:eastAsia="Arial" w:hAnsi="Arial"/>
                <w:sz w:val="18"/>
                <w:szCs w:val="18"/>
                <w:color w:val="auto"/>
              </w:rPr>
              <w:t xml:space="preserve">Interest rate swaps related to securitization entities </w:t>
            </w:r>
            <w:r>
              <w:rPr>
                <w:rFonts w:ascii="Arial" w:cs="Arial" w:eastAsia="Arial" w:hAnsi="Arial"/>
                <w:sz w:val="11"/>
                <w:szCs w:val="11"/>
                <w:color w:val="auto"/>
              </w:rPr>
              <w:t>(1)</w:t>
            </w:r>
          </w:p>
        </w:tc>
        <w:tc>
          <w:tcPr>
            <w:tcW w:w="140" w:type="dxa"/>
            <w:vAlign w:val="bottom"/>
          </w:tcPr>
          <w:p>
            <w:pPr>
              <w:spacing w:after="0"/>
              <w:rPr>
                <w:sz w:val="18"/>
                <w:szCs w:val="18"/>
                <w:color w:val="auto"/>
              </w:rPr>
            </w:pPr>
          </w:p>
        </w:tc>
        <w:tc>
          <w:tcPr>
            <w:tcW w:w="1040" w:type="dxa"/>
            <w:vAlign w:val="bottom"/>
            <w:gridSpan w:val="2"/>
          </w:tcPr>
          <w:p>
            <w:pPr>
              <w:jc w:val="right"/>
              <w:ind w:right="500"/>
              <w:spacing w:after="0"/>
              <w:rPr>
                <w:sz w:val="20"/>
                <w:szCs w:val="20"/>
                <w:color w:val="auto"/>
              </w:rPr>
            </w:pPr>
            <w:r>
              <w:rPr>
                <w:rFonts w:ascii="Arial" w:cs="Arial" w:eastAsia="Arial" w:hAnsi="Arial"/>
                <w:sz w:val="18"/>
                <w:szCs w:val="18"/>
                <w:color w:val="auto"/>
              </w:rPr>
              <w:t>(12)</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2"/>
          </w:tcPr>
          <w:p>
            <w:pPr>
              <w:jc w:val="right"/>
              <w:ind w:right="1060"/>
              <w:spacing w:after="0"/>
              <w:rPr>
                <w:sz w:val="20"/>
                <w:szCs w:val="20"/>
                <w:color w:val="auto"/>
              </w:rPr>
            </w:pPr>
            <w:r>
              <w:rPr>
                <w:rFonts w:ascii="Arial" w:cs="Arial" w:eastAsia="Arial" w:hAnsi="Arial"/>
                <w:sz w:val="18"/>
                <w:szCs w:val="18"/>
                <w:color w:val="auto"/>
              </w:rPr>
              <w:t>—</w:t>
            </w: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swaptions</w:t>
            </w:r>
          </w:p>
        </w:tc>
        <w:tc>
          <w:tcPr>
            <w:tcW w:w="14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(579)</w:t>
            </w: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tcPr>
          <w:p>
            <w:pPr>
              <w:spacing w:after="0"/>
              <w:rPr>
                <w:sz w:val="20"/>
                <w:szCs w:val="20"/>
                <w:color w:val="auto"/>
              </w:rPr>
            </w:pPr>
            <w:r>
              <w:rPr>
                <w:rFonts w:ascii="Arial" w:cs="Arial" w:eastAsia="Arial" w:hAnsi="Arial"/>
                <w:sz w:val="18"/>
                <w:szCs w:val="18"/>
                <w:color w:val="auto"/>
              </w:rPr>
              <w:t>Credit default swaps</w:t>
            </w:r>
          </w:p>
        </w:tc>
        <w:tc>
          <w:tcPr>
            <w:tcW w:w="140" w:type="dxa"/>
            <w:vAlign w:val="bottom"/>
          </w:tcPr>
          <w:p>
            <w:pPr>
              <w:spacing w:after="0"/>
              <w:rPr>
                <w:sz w:val="18"/>
                <w:szCs w:val="18"/>
                <w:color w:val="auto"/>
              </w:rPr>
            </w:pPr>
          </w:p>
        </w:tc>
        <w:tc>
          <w:tcPr>
            <w:tcW w:w="1040" w:type="dxa"/>
            <w:vAlign w:val="bottom"/>
            <w:gridSpan w:val="2"/>
          </w:tcPr>
          <w:p>
            <w:pPr>
              <w:jc w:val="right"/>
              <w:ind w:right="500"/>
              <w:spacing w:after="0"/>
              <w:rPr>
                <w:sz w:val="20"/>
                <w:szCs w:val="20"/>
                <w:color w:val="auto"/>
              </w:rPr>
            </w:pPr>
            <w:r>
              <w:rPr>
                <w:rFonts w:ascii="Arial" w:cs="Arial" w:eastAsia="Arial" w:hAnsi="Arial"/>
                <w:sz w:val="18"/>
                <w:szCs w:val="18"/>
                <w:color w:val="auto"/>
              </w:rPr>
              <w:t>(27)</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21</w:t>
            </w:r>
          </w:p>
        </w:tc>
        <w:tc>
          <w:tcPr>
            <w:tcW w:w="980" w:type="dxa"/>
            <w:vAlign w:val="bottom"/>
          </w:tcPr>
          <w:p>
            <w:pPr>
              <w:spacing w:after="0"/>
              <w:rPr>
                <w:sz w:val="18"/>
                <w:szCs w:val="18"/>
                <w:color w:val="auto"/>
              </w:rPr>
            </w:pP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Credit default swaps related to securitization entities </w:t>
            </w:r>
            <w:r>
              <w:rPr>
                <w:rFonts w:ascii="Arial" w:cs="Arial" w:eastAsia="Arial" w:hAnsi="Arial"/>
                <w:sz w:val="11"/>
                <w:szCs w:val="11"/>
                <w:color w:val="auto"/>
              </w:rPr>
              <w:t>(1)</w:t>
            </w: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(41)</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060"/>
              <w:spacing w:after="0"/>
              <w:rPr>
                <w:sz w:val="20"/>
                <w:szCs w:val="20"/>
                <w:color w:val="auto"/>
              </w:rPr>
            </w:pPr>
            <w:r>
              <w:rPr>
                <w:rFonts w:ascii="Arial" w:cs="Arial" w:eastAsia="Arial" w:hAnsi="Arial"/>
                <w:sz w:val="18"/>
                <w:szCs w:val="18"/>
                <w:color w:val="auto"/>
              </w:rPr>
              <w:t>—</w:t>
            </w: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tcPr>
          <w:p>
            <w:pPr>
              <w:spacing w:after="0"/>
              <w:rPr>
                <w:sz w:val="20"/>
                <w:szCs w:val="20"/>
                <w:color w:val="auto"/>
              </w:rPr>
            </w:pPr>
            <w:r>
              <w:rPr>
                <w:rFonts w:ascii="Arial" w:cs="Arial" w:eastAsia="Arial" w:hAnsi="Arial"/>
                <w:sz w:val="18"/>
                <w:szCs w:val="18"/>
                <w:color w:val="auto"/>
              </w:rPr>
              <w:t>Equity index options</w:t>
            </w:r>
          </w:p>
        </w:tc>
        <w:tc>
          <w:tcPr>
            <w:tcW w:w="14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23</w:t>
            </w:r>
          </w:p>
        </w:tc>
        <w:tc>
          <w:tcPr>
            <w:tcW w:w="5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2"/>
          </w:tcPr>
          <w:p>
            <w:pPr>
              <w:jc w:val="right"/>
              <w:ind w:right="920"/>
              <w:spacing w:after="0"/>
              <w:rPr>
                <w:sz w:val="20"/>
                <w:szCs w:val="20"/>
                <w:color w:val="auto"/>
              </w:rPr>
            </w:pPr>
            <w:r>
              <w:rPr>
                <w:rFonts w:ascii="Arial" w:cs="Arial" w:eastAsia="Arial" w:hAnsi="Arial"/>
                <w:sz w:val="18"/>
                <w:szCs w:val="18"/>
                <w:color w:val="auto"/>
              </w:rPr>
              <w:t>(55)</w:t>
            </w: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Financial futures</w:t>
            </w:r>
          </w:p>
        </w:tc>
        <w:tc>
          <w:tcPr>
            <w:tcW w:w="14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(84)</w:t>
            </w: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tcPr>
          <w:p>
            <w:pPr>
              <w:spacing w:after="0"/>
              <w:rPr>
                <w:sz w:val="20"/>
                <w:szCs w:val="20"/>
                <w:color w:val="auto"/>
              </w:rPr>
            </w:pPr>
            <w:r>
              <w:rPr>
                <w:rFonts w:ascii="Arial" w:cs="Arial" w:eastAsia="Arial" w:hAnsi="Arial"/>
                <w:sz w:val="18"/>
                <w:szCs w:val="18"/>
                <w:color w:val="auto"/>
              </w:rPr>
              <w:t>Inflation indexed swaps</w:t>
            </w:r>
          </w:p>
        </w:tc>
        <w:tc>
          <w:tcPr>
            <w:tcW w:w="140" w:type="dxa"/>
            <w:vAlign w:val="bottom"/>
          </w:tcPr>
          <w:p>
            <w:pPr>
              <w:spacing w:after="0"/>
              <w:rPr>
                <w:sz w:val="18"/>
                <w:szCs w:val="18"/>
                <w:color w:val="auto"/>
              </w:rPr>
            </w:pPr>
          </w:p>
        </w:tc>
        <w:tc>
          <w:tcPr>
            <w:tcW w:w="104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2"/>
          </w:tcPr>
          <w:p>
            <w:pPr>
              <w:jc w:val="right"/>
              <w:ind w:right="920"/>
              <w:spacing w:after="0"/>
              <w:rPr>
                <w:sz w:val="20"/>
                <w:szCs w:val="20"/>
                <w:color w:val="auto"/>
              </w:rPr>
            </w:pPr>
            <w:r>
              <w:rPr>
                <w:rFonts w:ascii="Arial" w:cs="Arial" w:eastAsia="Arial" w:hAnsi="Arial"/>
                <w:sz w:val="18"/>
                <w:szCs w:val="18"/>
                <w:color w:val="auto"/>
              </w:rPr>
              <w:t>(4)</w:t>
            </w: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 swaps</w:t>
            </w: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980" w:type="dxa"/>
            <w:vAlign w:val="bottom"/>
            <w:shd w:val="clear" w:color="auto" w:fill="CCEEFF"/>
          </w:tcPr>
          <w:p>
            <w:pPr>
              <w:spacing w:after="0"/>
              <w:rPr>
                <w:sz w:val="18"/>
                <w:szCs w:val="18"/>
                <w:color w:val="auto"/>
              </w:rPr>
            </w:pP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tcPr>
          <w:p>
            <w:pPr>
              <w:spacing w:after="0"/>
              <w:rPr>
                <w:sz w:val="20"/>
                <w:szCs w:val="20"/>
                <w:color w:val="auto"/>
              </w:rPr>
            </w:pPr>
            <w:r>
              <w:rPr>
                <w:rFonts w:ascii="Arial" w:cs="Arial" w:eastAsia="Arial" w:hAnsi="Arial"/>
                <w:sz w:val="18"/>
                <w:szCs w:val="18"/>
                <w:color w:val="auto"/>
              </w:rPr>
              <w:t>Other foreign currency contracts</w:t>
            </w:r>
          </w:p>
        </w:tc>
        <w:tc>
          <w:tcPr>
            <w:tcW w:w="140" w:type="dxa"/>
            <w:vAlign w:val="bottom"/>
          </w:tcPr>
          <w:p>
            <w:pPr>
              <w:spacing w:after="0"/>
              <w:rPr>
                <w:sz w:val="18"/>
                <w:szCs w:val="18"/>
                <w:color w:val="auto"/>
              </w:rPr>
            </w:pPr>
          </w:p>
        </w:tc>
        <w:tc>
          <w:tcPr>
            <w:tcW w:w="1040" w:type="dxa"/>
            <w:vAlign w:val="bottom"/>
            <w:gridSpan w:val="2"/>
          </w:tcPr>
          <w:p>
            <w:pPr>
              <w:jc w:val="right"/>
              <w:ind w:right="500"/>
              <w:spacing w:after="0"/>
              <w:rPr>
                <w:sz w:val="20"/>
                <w:szCs w:val="20"/>
                <w:color w:val="auto"/>
              </w:rPr>
            </w:pPr>
            <w:r>
              <w:rPr>
                <w:rFonts w:ascii="Arial" w:cs="Arial" w:eastAsia="Arial" w:hAnsi="Arial"/>
                <w:sz w:val="18"/>
                <w:szCs w:val="18"/>
                <w:color w:val="auto"/>
              </w:rPr>
              <w:t>(1)</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10</w:t>
            </w:r>
          </w:p>
        </w:tc>
        <w:tc>
          <w:tcPr>
            <w:tcW w:w="980" w:type="dxa"/>
            <w:vAlign w:val="bottom"/>
          </w:tcPr>
          <w:p>
            <w:pPr>
              <w:spacing w:after="0"/>
              <w:rPr>
                <w:sz w:val="18"/>
                <w:szCs w:val="18"/>
                <w:color w:val="auto"/>
              </w:rPr>
            </w:pP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Reinsurance embedded derivatives</w:t>
            </w:r>
          </w:p>
        </w:tc>
        <w:tc>
          <w:tcPr>
            <w:tcW w:w="14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060"/>
              <w:spacing w:after="0"/>
              <w:rPr>
                <w:sz w:val="20"/>
                <w:szCs w:val="20"/>
                <w:color w:val="auto"/>
              </w:rPr>
            </w:pPr>
            <w:r>
              <w:rPr>
                <w:rFonts w:ascii="Arial" w:cs="Arial" w:eastAsia="Arial" w:hAnsi="Arial"/>
                <w:sz w:val="18"/>
                <w:szCs w:val="18"/>
                <w:color w:val="auto"/>
              </w:rPr>
              <w:t>—</w:t>
            </w:r>
          </w:p>
        </w:tc>
        <w:tc>
          <w:tcPr>
            <w:tcW w:w="22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tcPr>
          <w:p>
            <w:pPr>
              <w:spacing w:after="0"/>
              <w:rPr>
                <w:sz w:val="20"/>
                <w:szCs w:val="20"/>
                <w:color w:val="auto"/>
              </w:rPr>
            </w:pPr>
            <w:r>
              <w:rPr>
                <w:rFonts w:ascii="Arial" w:cs="Arial" w:eastAsia="Arial" w:hAnsi="Arial"/>
                <w:sz w:val="18"/>
                <w:szCs w:val="18"/>
                <w:color w:val="auto"/>
              </w:rPr>
              <w:t>GMWB embedded derivatives</w:t>
            </w:r>
          </w:p>
        </w:tc>
        <w:tc>
          <w:tcPr>
            <w:tcW w:w="140" w:type="dxa"/>
            <w:vAlign w:val="bottom"/>
          </w:tcPr>
          <w:p>
            <w:pPr>
              <w:spacing w:after="0"/>
              <w:rPr>
                <w:sz w:val="18"/>
                <w:szCs w:val="18"/>
                <w:color w:val="auto"/>
              </w:rPr>
            </w:pPr>
          </w:p>
        </w:tc>
        <w:tc>
          <w:tcPr>
            <w:tcW w:w="1040" w:type="dxa"/>
            <w:vAlign w:val="bottom"/>
            <w:gridSpan w:val="2"/>
          </w:tcPr>
          <w:p>
            <w:pPr>
              <w:jc w:val="right"/>
              <w:ind w:right="500"/>
              <w:spacing w:after="0"/>
              <w:rPr>
                <w:sz w:val="20"/>
                <w:szCs w:val="20"/>
                <w:color w:val="auto"/>
              </w:rPr>
            </w:pPr>
            <w:r>
              <w:rPr>
                <w:rFonts w:ascii="Arial" w:cs="Arial" w:eastAsia="Arial" w:hAnsi="Arial"/>
                <w:sz w:val="18"/>
                <w:szCs w:val="18"/>
                <w:color w:val="auto"/>
              </w:rPr>
              <w:t>(242)</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440</w:t>
            </w:r>
          </w:p>
        </w:tc>
        <w:tc>
          <w:tcPr>
            <w:tcW w:w="980" w:type="dxa"/>
            <w:vAlign w:val="bottom"/>
          </w:tcPr>
          <w:p>
            <w:pPr>
              <w:spacing w:after="0"/>
              <w:rPr>
                <w:sz w:val="18"/>
                <w:szCs w:val="18"/>
                <w:color w:val="auto"/>
              </w:rPr>
            </w:pPr>
          </w:p>
        </w:tc>
        <w:tc>
          <w:tcPr>
            <w:tcW w:w="2200" w:type="dxa"/>
            <w:vAlign w:val="bottom"/>
          </w:tcPr>
          <w:p>
            <w:pPr>
              <w:jc w:val="center"/>
              <w:spacing w:after="0"/>
              <w:rPr>
                <w:sz w:val="20"/>
                <w:szCs w:val="20"/>
                <w:color w:val="auto"/>
              </w:rPr>
            </w:pPr>
            <w:r>
              <w:rPr>
                <w:rFonts w:ascii="Arial" w:cs="Arial" w:eastAsia="Arial" w:hAnsi="Arial"/>
                <w:sz w:val="18"/>
                <w:szCs w:val="18"/>
                <w:color w:val="auto"/>
                <w:w w:val="88"/>
              </w:rPr>
              <w:t>Net investment gains (losses)</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5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980" w:type="dxa"/>
            <w:vAlign w:val="bottom"/>
          </w:tcPr>
          <w:p>
            <w:pPr>
              <w:spacing w:after="0"/>
              <w:rPr>
                <w:sz w:val="2"/>
                <w:szCs w:val="2"/>
                <w:color w:val="auto"/>
              </w:rPr>
            </w:pPr>
          </w:p>
        </w:tc>
        <w:tc>
          <w:tcPr>
            <w:tcW w:w="2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derivatives not designated as hedges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(112)</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980" w:type="dxa"/>
            <w:vAlign w:val="bottom"/>
            <w:shd w:val="clear" w:color="auto" w:fill="CCEEFF"/>
          </w:tcPr>
          <w:p>
            <w:pPr>
              <w:spacing w:after="0"/>
              <w:rPr>
                <w:sz w:val="18"/>
                <w:szCs w:val="18"/>
                <w:color w:val="auto"/>
              </w:rPr>
            </w:pPr>
          </w:p>
        </w:tc>
        <w:tc>
          <w:tcPr>
            <w:tcW w:w="2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460" w:right="5140" w:hanging="452"/>
        <w:spacing w:after="0" w:line="394" w:lineRule="auto"/>
        <w:tabs>
          <w:tab w:leader="none" w:pos="449" w:val="left"/>
        </w:tabs>
        <w:numPr>
          <w:ilvl w:val="0"/>
          <w:numId w:val="21"/>
        </w:numPr>
        <w:rPr>
          <w:rFonts w:ascii="Arial" w:cs="Arial" w:eastAsia="Arial" w:hAnsi="Arial"/>
          <w:sz w:val="22"/>
          <w:szCs w:val="22"/>
          <w:color w:val="auto"/>
          <w:vertAlign w:val="superscript"/>
        </w:rPr>
      </w:pPr>
      <w:r>
        <w:rPr>
          <w:rFonts w:ascii="Arial" w:cs="Arial" w:eastAsia="Arial" w:hAnsi="Arial"/>
          <w:sz w:val="18"/>
          <w:szCs w:val="18"/>
          <w:color w:val="auto"/>
        </w:rPr>
        <w:t xml:space="preserve">See note 7 for additional information related to consolidated securitization entities. </w:t>
      </w:r>
      <w:r>
        <w:rPr>
          <w:rFonts w:ascii="Arial" w:cs="Arial" w:eastAsia="Arial" w:hAnsi="Arial"/>
          <w:sz w:val="18"/>
          <w:szCs w:val="18"/>
          <w:i w:val="1"/>
          <w:iCs w:val="1"/>
          <w:color w:val="auto"/>
        </w:rPr>
        <w:t>Derivative Counterparty Credit Risk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-499110</wp:posOffset>
            </wp:positionV>
            <wp:extent cx="72898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ind w:right="40" w:firstLine="456"/>
        <w:spacing w:after="0" w:line="290" w:lineRule="auto"/>
        <w:rPr>
          <w:sz w:val="20"/>
          <w:szCs w:val="20"/>
          <w:color w:val="auto"/>
        </w:rPr>
      </w:pPr>
      <w:r>
        <w:rPr>
          <w:rFonts w:ascii="Arial" w:cs="Arial" w:eastAsia="Arial" w:hAnsi="Arial"/>
          <w:sz w:val="16"/>
          <w:szCs w:val="16"/>
          <w:color w:val="auto"/>
        </w:rPr>
        <w:t>As of June 30, 2010 and December 31, 2009, net fair value assets by counterparty totaled $1.3 billion and $739 million, respectively. As of June 30, 2010 and December 31, 2009, net fair value liabilities by counterparty totaled $192 million and $74 million, respectively. As of June 30, 2010 and December 31, 2009, we retained collateral of $1.1 billion and $647 million, respectively, related to these agreements, including over collateralization of $6 million and $10 million, respectively, from certain counterparties. As of June 30, 2010 and December 31, 2009, we posted $12 million and $121 million, respectively, of collateral to derivative counterparties, including over collateralization of $3 million and $46 million, respectively. For derivatives related to securitization entities, there are no arrangements that require either party to provide collateral and the recourse of the derivative counterparty is typically limited to the assets held by the securitization entity and there is no recourse to any entity other than the securitization entity.</w:t>
      </w:r>
    </w:p>
    <w:p>
      <w:pPr>
        <w:spacing w:after="0" w:line="118" w:lineRule="exact"/>
        <w:rPr>
          <w:sz w:val="20"/>
          <w:szCs w:val="20"/>
          <w:color w:val="auto"/>
        </w:rPr>
      </w:pPr>
    </w:p>
    <w:p>
      <w:pPr>
        <w:ind w:right="200" w:firstLine="456"/>
        <w:spacing w:after="0" w:line="318" w:lineRule="auto"/>
        <w:rPr>
          <w:sz w:val="20"/>
          <w:szCs w:val="20"/>
          <w:color w:val="auto"/>
        </w:rPr>
      </w:pPr>
      <w:r>
        <w:rPr>
          <w:rFonts w:ascii="Arial" w:cs="Arial" w:eastAsia="Arial" w:hAnsi="Arial"/>
          <w:sz w:val="15"/>
          <w:szCs w:val="15"/>
          <w:color w:val="auto"/>
        </w:rPr>
        <w:t>Except for derivatives related to securitization entities, all of our master swap agreements contain credit downgrade provisions that allow either party to assign or terminate derivative transactions if the other party’s long-term unsecured debt rating or financial strength rating is below the limit defined in the applicable agreement. If the downgrade provisions had been triggered as of June 30, 2010 and December 31, 2009, we could have been allowed to claim up to $292 million and $102 million, respectively, from counterparties and required to disburse up to $1 million in both periods. This represented the net fair value of gains and losses by counterparty, less available collateral held, and did not include any fair value gains or losses for derivatives related to securitization entities.</w:t>
      </w:r>
    </w:p>
    <w:p>
      <w:pPr>
        <w:spacing w:after="0" w:line="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Credit Derivatives—Sell Protection</w:t>
      </w:r>
    </w:p>
    <w:p>
      <w:pPr>
        <w:spacing w:after="0" w:line="90"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We sell protection under single name credit default swaps and credit default swap index tranches in combination with purchasing securities to replicate characteristics of similar investments based on the credit quality and term of the credit default swap. Credit default triggers for both indexed reference entities and single name reference entities follow the Credit Derivatives Physical Settlement Matrix published by the International Swaps and Derivatives Association. Under these terms, credit default triggers are defined as bankruptcy, failure to pay or restructuring, if applicable. Our maximum exposure to credit loss equals the notional value for credit default swaps and the par value of debt instruments with embedded credit derivatives. In the event of default for credit default swaps, we are typically required to pay the protection holder the full notional value less a recovery rate determined at auction. For debt instruments with embedded credit derivatives, the security’s principal is typically reduced by the net amount of default for any referenced entity defaults.</w:t>
      </w:r>
    </w:p>
    <w:p>
      <w:pPr>
        <w:spacing w:after="0" w:line="118"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In addition to the credit derivatives discussed above, we also have credit derivative instruments related to securitization entities that we were required to consolidate in 2010. These derivatives represent a customized index of reference entities with specified attachment points for certain derivatives. The credit default triggers are similar to those described above. In the event of default, the securitization entity will provide the counterparty with the par value of assets held in the securitization entity for the amount of incurred loss on the credit default swap. The maximum exposure to loss for the securitization entity is the notional value of the derivatives. Certain losses on these credit default swaps would be absorbed by the third-party noteholders of the securitization entity and the remaining losses on the credit default swaps would be absorbed by our portion of the notes issued by the securitization entity. See note 9 for information on the third-party borrowings related to consolidated securitization entities.</w:t>
      </w:r>
    </w:p>
    <w:p>
      <w:pPr>
        <w:spacing w:after="0" w:line="118" w:lineRule="exact"/>
        <w:rPr>
          <w:sz w:val="20"/>
          <w:szCs w:val="20"/>
          <w:color w:val="auto"/>
        </w:rPr>
      </w:pPr>
    </w:p>
    <w:p>
      <w:pPr>
        <w:ind w:right="660" w:firstLine="456"/>
        <w:spacing w:after="0" w:line="268" w:lineRule="auto"/>
        <w:rPr>
          <w:sz w:val="20"/>
          <w:szCs w:val="20"/>
          <w:color w:val="auto"/>
        </w:rPr>
      </w:pPr>
      <w:r>
        <w:rPr>
          <w:rFonts w:ascii="Arial" w:cs="Arial" w:eastAsia="Arial" w:hAnsi="Arial"/>
          <w:sz w:val="18"/>
          <w:szCs w:val="18"/>
          <w:color w:val="auto"/>
        </w:rPr>
        <w:t>The following table sets forth our credit default swaps where we sell protection on single name reference entities and the fair values as of the dates indicated: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w w:val="90"/>
              </w:rPr>
              <w:t>June 30, 2010</w:t>
            </w:r>
          </w:p>
        </w:tc>
        <w:tc>
          <w:tcPr>
            <w:tcW w:w="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w w:val="95"/>
              </w:rPr>
              <w:t>December 31, 2009</w:t>
            </w:r>
          </w:p>
        </w:tc>
        <w:tc>
          <w:tcPr>
            <w:tcW w:w="3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378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58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w w:val="99"/>
              </w:rPr>
              <w:t>Notional</w:t>
            </w: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w w:val="85"/>
              </w:rPr>
              <w:t>Notional</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51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78"/>
              </w:rPr>
              <w:t>value</w:t>
            </w:r>
          </w:p>
        </w:tc>
        <w:tc>
          <w:tcPr>
            <w:tcW w:w="260" w:type="dxa"/>
            <w:vAlign w:val="bottom"/>
          </w:tcPr>
          <w:p>
            <w:pPr>
              <w:spacing w:after="0"/>
              <w:rPr>
                <w:sz w:val="14"/>
                <w:szCs w:val="14"/>
                <w:color w:val="auto"/>
              </w:rPr>
            </w:pPr>
          </w:p>
        </w:tc>
        <w:tc>
          <w:tcPr>
            <w:tcW w:w="66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78"/>
              </w:rPr>
              <w:t>Assets</w:t>
            </w:r>
          </w:p>
        </w:tc>
        <w:tc>
          <w:tcPr>
            <w:tcW w:w="40" w:type="dxa"/>
            <w:vAlign w:val="bottom"/>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4"/>
                <w:szCs w:val="14"/>
                <w:b w:val="1"/>
                <w:bCs w:val="1"/>
                <w:color w:val="auto"/>
                <w:w w:val="86"/>
              </w:rPr>
              <w:t>Liabilities</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jc w:val="right"/>
              <w:ind w:right="15"/>
              <w:spacing w:after="0"/>
              <w:rPr>
                <w:sz w:val="20"/>
                <w:szCs w:val="20"/>
                <w:color w:val="auto"/>
              </w:rPr>
            </w:pPr>
            <w:r>
              <w:rPr>
                <w:rFonts w:ascii="Arial" w:cs="Arial" w:eastAsia="Arial" w:hAnsi="Arial"/>
                <w:sz w:val="14"/>
                <w:szCs w:val="14"/>
                <w:b w:val="1"/>
                <w:bCs w:val="1"/>
                <w:color w:val="auto"/>
                <w:w w:val="78"/>
              </w:rPr>
              <w:t>value</w:t>
            </w:r>
          </w:p>
        </w:tc>
        <w:tc>
          <w:tcPr>
            <w:tcW w:w="340" w:type="dxa"/>
            <w:vAlign w:val="bottom"/>
          </w:tcPr>
          <w:p>
            <w:pPr>
              <w:spacing w:after="0"/>
              <w:rPr>
                <w:sz w:val="14"/>
                <w:szCs w:val="14"/>
                <w:color w:val="auto"/>
              </w:rPr>
            </w:pPr>
          </w:p>
        </w:tc>
        <w:tc>
          <w:tcPr>
            <w:tcW w:w="360" w:type="dxa"/>
            <w:vAlign w:val="bottom"/>
            <w:gridSpan w:val="2"/>
          </w:tcPr>
          <w:p>
            <w:pPr>
              <w:jc w:val="center"/>
              <w:spacing w:after="0"/>
              <w:rPr>
                <w:sz w:val="20"/>
                <w:szCs w:val="20"/>
                <w:color w:val="auto"/>
              </w:rPr>
            </w:pPr>
            <w:r>
              <w:rPr>
                <w:rFonts w:ascii="Arial" w:cs="Arial" w:eastAsia="Arial" w:hAnsi="Arial"/>
                <w:sz w:val="14"/>
                <w:szCs w:val="14"/>
                <w:b w:val="1"/>
                <w:bCs w:val="1"/>
                <w:color w:val="auto"/>
                <w:w w:val="78"/>
              </w:rPr>
              <w:t>Assets</w:t>
            </w:r>
          </w:p>
        </w:tc>
        <w:tc>
          <w:tcPr>
            <w:tcW w:w="340" w:type="dxa"/>
            <w:vAlign w:val="bottom"/>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4"/>
                <w:szCs w:val="14"/>
                <w:b w:val="1"/>
                <w:bCs w:val="1"/>
                <w:color w:val="auto"/>
                <w:w w:val="86"/>
              </w:rPr>
              <w:t>Liabilities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Reference entity credit rating and maturity:</w:t>
            </w:r>
          </w:p>
        </w:tc>
        <w:tc>
          <w:tcPr>
            <w:tcW w:w="1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tcPr>
          <w:p>
            <w:pPr>
              <w:spacing w:after="0"/>
              <w:rPr>
                <w:sz w:val="20"/>
                <w:szCs w:val="20"/>
                <w:color w:val="auto"/>
              </w:rPr>
            </w:pPr>
            <w:r>
              <w:rPr>
                <w:rFonts w:ascii="Arial" w:cs="Arial" w:eastAsia="Arial" w:hAnsi="Arial"/>
                <w:sz w:val="18"/>
                <w:szCs w:val="18"/>
                <w:color w:val="auto"/>
              </w:rPr>
              <w:t>AAA</w:t>
            </w:r>
          </w:p>
        </w:tc>
        <w:tc>
          <w:tcPr>
            <w:tcW w:w="1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Matures after one year through five years</w:t>
            </w:r>
          </w:p>
        </w:tc>
        <w:tc>
          <w:tcPr>
            <w:tcW w:w="1820" w:type="dxa"/>
            <w:vAlign w:val="bottom"/>
            <w:gridSpan w:val="2"/>
            <w:shd w:val="clear" w:color="auto" w:fill="CCEEFF"/>
          </w:tcPr>
          <w:p>
            <w:pPr>
              <w:ind w:left="1720"/>
              <w:spacing w:after="0"/>
              <w:rPr>
                <w:sz w:val="20"/>
                <w:szCs w:val="20"/>
                <w:color w:val="auto"/>
              </w:rPr>
            </w:pPr>
            <w:r>
              <w:rPr>
                <w:rFonts w:ascii="Arial" w:cs="Arial" w:eastAsia="Arial" w:hAnsi="Arial"/>
                <w:sz w:val="18"/>
                <w:szCs w:val="18"/>
                <w:color w:val="auto"/>
                <w:w w:val="79"/>
              </w:rPr>
              <w:t>$</w:t>
            </w: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center"/>
              <w:ind w:right="380"/>
              <w:spacing w:after="0"/>
              <w:rPr>
                <w:sz w:val="20"/>
                <w:szCs w:val="20"/>
                <w:color w:val="auto"/>
              </w:rPr>
            </w:pPr>
            <w:r>
              <w:rPr>
                <w:rFonts w:ascii="Arial" w:cs="Arial" w:eastAsia="Arial" w:hAnsi="Arial"/>
                <w:sz w:val="18"/>
                <w:szCs w:val="18"/>
                <w:color w:val="auto"/>
                <w:w w:val="99"/>
              </w:rPr>
              <w:t>—</w:t>
            </w:r>
          </w:p>
        </w:tc>
        <w:tc>
          <w:tcPr>
            <w:tcW w:w="2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5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tcPr>
          <w:p>
            <w:pPr>
              <w:spacing w:after="0"/>
              <w:rPr>
                <w:sz w:val="20"/>
                <w:szCs w:val="20"/>
                <w:color w:val="auto"/>
              </w:rPr>
            </w:pPr>
            <w:r>
              <w:rPr>
                <w:rFonts w:ascii="Arial" w:cs="Arial" w:eastAsia="Arial" w:hAnsi="Arial"/>
                <w:sz w:val="18"/>
                <w:szCs w:val="18"/>
                <w:color w:val="auto"/>
              </w:rPr>
              <w:t>AA</w:t>
            </w:r>
          </w:p>
        </w:tc>
        <w:tc>
          <w:tcPr>
            <w:tcW w:w="1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Matures after one year through five years</w:t>
            </w:r>
          </w:p>
        </w:tc>
        <w:tc>
          <w:tcPr>
            <w:tcW w:w="1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center"/>
              <w:ind w:right="380"/>
              <w:spacing w:after="0"/>
              <w:rPr>
                <w:sz w:val="20"/>
                <w:szCs w:val="20"/>
                <w:color w:val="auto"/>
              </w:rPr>
            </w:pPr>
            <w:r>
              <w:rPr>
                <w:rFonts w:ascii="Arial" w:cs="Arial" w:eastAsia="Arial" w:hAnsi="Arial"/>
                <w:sz w:val="18"/>
                <w:szCs w:val="18"/>
                <w:color w:val="auto"/>
                <w:w w:val="99"/>
              </w:rPr>
              <w:t>—</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tcPr>
          <w:p>
            <w:pPr>
              <w:spacing w:after="0"/>
              <w:rPr>
                <w:sz w:val="20"/>
                <w:szCs w:val="20"/>
                <w:color w:val="auto"/>
              </w:rPr>
            </w:pPr>
            <w:r>
              <w:rPr>
                <w:rFonts w:ascii="Arial" w:cs="Arial" w:eastAsia="Arial" w:hAnsi="Arial"/>
                <w:sz w:val="18"/>
                <w:szCs w:val="18"/>
                <w:color w:val="auto"/>
              </w:rPr>
              <w:t>A</w:t>
            </w:r>
          </w:p>
        </w:tc>
        <w:tc>
          <w:tcPr>
            <w:tcW w:w="1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Matures after one year through five years</w:t>
            </w:r>
          </w:p>
        </w:tc>
        <w:tc>
          <w:tcPr>
            <w:tcW w:w="1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32</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center"/>
              <w:ind w:right="380"/>
              <w:spacing w:after="0"/>
              <w:rPr>
                <w:sz w:val="20"/>
                <w:szCs w:val="20"/>
                <w:color w:val="auto"/>
              </w:rPr>
            </w:pPr>
            <w:r>
              <w:rPr>
                <w:rFonts w:ascii="Arial" w:cs="Arial" w:eastAsia="Arial" w:hAnsi="Arial"/>
                <w:sz w:val="18"/>
                <w:szCs w:val="18"/>
                <w:color w:val="auto"/>
                <w:w w:val="99"/>
              </w:rPr>
              <w:t>—</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tcPr>
          <w:p>
            <w:pPr>
              <w:ind w:left="420"/>
              <w:spacing w:after="0"/>
              <w:rPr>
                <w:sz w:val="20"/>
                <w:szCs w:val="20"/>
                <w:color w:val="auto"/>
              </w:rPr>
            </w:pPr>
            <w:r>
              <w:rPr>
                <w:rFonts w:ascii="Arial" w:cs="Arial" w:eastAsia="Arial" w:hAnsi="Arial"/>
                <w:sz w:val="18"/>
                <w:szCs w:val="18"/>
                <w:color w:val="auto"/>
              </w:rPr>
              <w:t>Matures after five years through ten years</w:t>
            </w:r>
          </w:p>
        </w:tc>
        <w:tc>
          <w:tcPr>
            <w:tcW w:w="1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gridSpan w:val="2"/>
          </w:tcPr>
          <w:p>
            <w:pPr>
              <w:jc w:val="right"/>
              <w:ind w:right="80"/>
              <w:spacing w:after="0"/>
              <w:rPr>
                <w:sz w:val="20"/>
                <w:szCs w:val="20"/>
                <w:color w:val="auto"/>
              </w:rPr>
            </w:pPr>
            <w:r>
              <w:rPr>
                <w:rFonts w:ascii="Arial" w:cs="Arial" w:eastAsia="Arial" w:hAnsi="Arial"/>
                <w:sz w:val="18"/>
                <w:szCs w:val="18"/>
                <w:color w:val="auto"/>
              </w:rPr>
              <w:t>10</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center"/>
              <w:ind w:right="380"/>
              <w:spacing w:after="0"/>
              <w:rPr>
                <w:sz w:val="20"/>
                <w:szCs w:val="20"/>
                <w:color w:val="auto"/>
              </w:rPr>
            </w:pPr>
            <w:r>
              <w:rPr>
                <w:rFonts w:ascii="Arial" w:cs="Arial" w:eastAsia="Arial" w:hAnsi="Arial"/>
                <w:sz w:val="18"/>
                <w:szCs w:val="18"/>
                <w:color w:val="auto"/>
                <w:w w:val="99"/>
              </w:rPr>
              <w:t>—</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ind w:left="1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10</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BBB</w:t>
            </w:r>
          </w:p>
        </w:tc>
        <w:tc>
          <w:tcPr>
            <w:tcW w:w="1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tcPr>
          <w:p>
            <w:pPr>
              <w:ind w:left="420"/>
              <w:spacing w:after="0"/>
              <w:rPr>
                <w:sz w:val="20"/>
                <w:szCs w:val="20"/>
                <w:color w:val="auto"/>
              </w:rPr>
            </w:pPr>
            <w:r>
              <w:rPr>
                <w:rFonts w:ascii="Arial" w:cs="Arial" w:eastAsia="Arial" w:hAnsi="Arial"/>
                <w:sz w:val="18"/>
                <w:szCs w:val="18"/>
                <w:color w:val="auto"/>
              </w:rPr>
              <w:t>Matures after one year through five years</w:t>
            </w:r>
          </w:p>
        </w:tc>
        <w:tc>
          <w:tcPr>
            <w:tcW w:w="1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gridSpan w:val="2"/>
          </w:tcPr>
          <w:p>
            <w:pPr>
              <w:jc w:val="right"/>
              <w:ind w:right="80"/>
              <w:spacing w:after="0"/>
              <w:rPr>
                <w:sz w:val="20"/>
                <w:szCs w:val="20"/>
                <w:color w:val="auto"/>
              </w:rPr>
            </w:pPr>
            <w:r>
              <w:rPr>
                <w:rFonts w:ascii="Arial" w:cs="Arial" w:eastAsia="Arial" w:hAnsi="Arial"/>
                <w:sz w:val="18"/>
                <w:szCs w:val="18"/>
                <w:color w:val="auto"/>
              </w:rPr>
              <w:t>68</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8"/>
                <w:szCs w:val="18"/>
                <w:color w:val="auto"/>
              </w:rPr>
              <w:t>1</w:t>
            </w: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ind w:left="1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73</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8"/>
                <w:szCs w:val="18"/>
                <w:color w:val="auto"/>
              </w:rPr>
              <w:t>1</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Matures after five years through ten years</w:t>
            </w:r>
          </w:p>
        </w:tc>
        <w:tc>
          <w:tcPr>
            <w:tcW w:w="1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29</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center"/>
              <w:ind w:right="380"/>
              <w:spacing w:after="0"/>
              <w:rPr>
                <w:sz w:val="20"/>
                <w:szCs w:val="20"/>
                <w:color w:val="auto"/>
              </w:rPr>
            </w:pPr>
            <w:r>
              <w:rPr>
                <w:rFonts w:ascii="Arial" w:cs="Arial" w:eastAsia="Arial" w:hAnsi="Arial"/>
                <w:sz w:val="18"/>
                <w:szCs w:val="18"/>
                <w:color w:val="auto"/>
                <w:w w:val="99"/>
              </w:rPr>
              <w:t>—</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ind w:left="300"/>
              <w:spacing w:after="0"/>
              <w:rPr>
                <w:sz w:val="20"/>
                <w:szCs w:val="20"/>
                <w:color w:val="auto"/>
              </w:rPr>
            </w:pPr>
            <w:r>
              <w:rPr>
                <w:rFonts w:ascii="Arial" w:cs="Arial" w:eastAsia="Arial" w:hAnsi="Arial"/>
                <w:sz w:val="15"/>
                <w:szCs w:val="15"/>
                <w:color w:val="auto"/>
                <w:w w:val="71"/>
              </w:rPr>
              <w:t>1</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00" w:type="dxa"/>
            <w:vAlign w:val="bottom"/>
            <w:gridSpan w:val="2"/>
            <w:vMerge w:val="restart"/>
          </w:tcPr>
          <w:p>
            <w:pPr>
              <w:ind w:left="420"/>
              <w:spacing w:after="0"/>
              <w:rPr>
                <w:sz w:val="20"/>
                <w:szCs w:val="20"/>
                <w:color w:val="auto"/>
              </w:rPr>
            </w:pPr>
            <w:r>
              <w:rPr>
                <w:rFonts w:ascii="Arial" w:cs="Arial" w:eastAsia="Arial" w:hAnsi="Arial"/>
                <w:sz w:val="18"/>
                <w:szCs w:val="18"/>
                <w:color w:val="auto"/>
                <w:w w:val="98"/>
              </w:rPr>
              <w:t>Total credit default swaps on single name reference entities</w:t>
            </w:r>
          </w:p>
        </w:tc>
        <w:tc>
          <w:tcPr>
            <w:tcW w:w="17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5100" w:type="dxa"/>
            <w:vAlign w:val="bottom"/>
            <w:gridSpan w:val="2"/>
            <w:vMerge w:val="continue"/>
          </w:tcPr>
          <w:p>
            <w:pPr>
              <w:spacing w:after="0"/>
              <w:rPr>
                <w:sz w:val="19"/>
                <w:szCs w:val="19"/>
                <w:color w:val="auto"/>
              </w:rPr>
            </w:pPr>
          </w:p>
        </w:tc>
        <w:tc>
          <w:tcPr>
            <w:tcW w:w="1720" w:type="dxa"/>
            <w:vAlign w:val="bottom"/>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480" w:type="dxa"/>
            <w:vAlign w:val="bottom"/>
            <w:gridSpan w:val="2"/>
          </w:tcPr>
          <w:p>
            <w:pPr>
              <w:jc w:val="right"/>
              <w:ind w:right="80"/>
              <w:spacing w:after="0"/>
              <w:rPr>
                <w:sz w:val="20"/>
                <w:szCs w:val="20"/>
                <w:color w:val="auto"/>
              </w:rPr>
            </w:pPr>
            <w:r>
              <w:rPr>
                <w:rFonts w:ascii="Arial" w:cs="Arial" w:eastAsia="Arial" w:hAnsi="Arial"/>
                <w:sz w:val="18"/>
                <w:szCs w:val="18"/>
                <w:color w:val="auto"/>
              </w:rPr>
              <w:t>155</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jc w:val="right"/>
              <w:spacing w:after="0"/>
              <w:rPr>
                <w:sz w:val="20"/>
                <w:szCs w:val="20"/>
                <w:color w:val="auto"/>
              </w:rPr>
            </w:pPr>
            <w:r>
              <w:rPr>
                <w:rFonts w:ascii="Arial" w:cs="Arial" w:eastAsia="Arial" w:hAnsi="Arial"/>
                <w:sz w:val="18"/>
                <w:szCs w:val="18"/>
                <w:color w:val="auto"/>
              </w:rPr>
              <w:t>1</w:t>
            </w:r>
          </w:p>
        </w:tc>
        <w:tc>
          <w:tcPr>
            <w:tcW w:w="300" w:type="dxa"/>
            <w:vAlign w:val="bottom"/>
          </w:tcPr>
          <w:p>
            <w:pPr>
              <w:spacing w:after="0"/>
              <w:rPr>
                <w:sz w:val="19"/>
                <w:szCs w:val="19"/>
                <w:color w:val="auto"/>
              </w:rPr>
            </w:pPr>
          </w:p>
        </w:tc>
        <w:tc>
          <w:tcPr>
            <w:tcW w:w="24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380" w:type="dxa"/>
            <w:vAlign w:val="bottom"/>
          </w:tcPr>
          <w:p>
            <w:pPr>
              <w:ind w:left="300"/>
              <w:spacing w:after="0"/>
              <w:rPr>
                <w:sz w:val="20"/>
                <w:szCs w:val="20"/>
                <w:color w:val="auto"/>
              </w:rPr>
            </w:pPr>
            <w:r>
              <w:rPr>
                <w:rFonts w:ascii="Arial" w:cs="Arial" w:eastAsia="Arial" w:hAnsi="Arial"/>
                <w:sz w:val="15"/>
                <w:szCs w:val="15"/>
                <w:color w:val="auto"/>
                <w:w w:val="71"/>
              </w:rPr>
              <w:t>1</w:t>
            </w: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155</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jc w:val="right"/>
              <w:spacing w:after="0"/>
              <w:rPr>
                <w:sz w:val="20"/>
                <w:szCs w:val="20"/>
                <w:color w:val="auto"/>
              </w:rPr>
            </w:pPr>
            <w:r>
              <w:rPr>
                <w:rFonts w:ascii="Arial" w:cs="Arial" w:eastAsia="Arial" w:hAnsi="Arial"/>
                <w:sz w:val="18"/>
                <w:szCs w:val="18"/>
                <w:color w:val="auto"/>
              </w:rPr>
              <w:t>2</w:t>
            </w:r>
          </w:p>
        </w:tc>
        <w:tc>
          <w:tcPr>
            <w:tcW w:w="54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380" w:type="dxa"/>
            <w:vAlign w:val="bottom"/>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1720" w:type="dxa"/>
            <w:vAlign w:val="bottom"/>
            <w:vMerge w:val="restart"/>
          </w:tcPr>
          <w:p>
            <w:pPr>
              <w:jc w:val="right"/>
              <w:ind w:right="952"/>
              <w:spacing w:after="0"/>
              <w:rPr>
                <w:sz w:val="20"/>
                <w:szCs w:val="20"/>
                <w:color w:val="auto"/>
              </w:rPr>
            </w:pPr>
            <w:r>
              <w:rPr>
                <w:rFonts w:ascii="Arial" w:cs="Arial" w:eastAsia="Arial" w:hAnsi="Arial"/>
                <w:sz w:val="18"/>
                <w:szCs w:val="18"/>
                <w:color w:val="auto"/>
              </w:rPr>
              <w:t>33</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172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The following table sets forth our credit default swaps where we sell protection on credit default swap index tranches and the fair values as of the dates indicated: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0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rPr>
              <w:t>June 30, 2010</w:t>
            </w:r>
          </w:p>
        </w:tc>
        <w:tc>
          <w:tcPr>
            <w:tcW w:w="3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6"/>
          </w:tcPr>
          <w:p>
            <w:pPr>
              <w:ind w:left="320"/>
              <w:spacing w:after="0"/>
              <w:rPr>
                <w:sz w:val="20"/>
                <w:szCs w:val="20"/>
                <w:color w:val="auto"/>
              </w:rPr>
            </w:pPr>
            <w:r>
              <w:rPr>
                <w:rFonts w:ascii="Arial" w:cs="Arial" w:eastAsia="Arial" w:hAnsi="Arial"/>
                <w:sz w:val="14"/>
                <w:szCs w:val="14"/>
                <w:b w:val="1"/>
                <w:bCs w:val="1"/>
                <w:color w:val="auto"/>
                <w:w w:val="90"/>
              </w:rPr>
              <w:t>December 31, 2009</w:t>
            </w:r>
          </w:p>
        </w:tc>
        <w:tc>
          <w:tcPr>
            <w:tcW w:w="3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060" w:type="dxa"/>
            <w:vAlign w:val="bottom"/>
          </w:tcPr>
          <w:p>
            <w:pPr>
              <w:spacing w:after="0"/>
              <w:rPr>
                <w:sz w:val="11"/>
                <w:szCs w:val="11"/>
                <w:color w:val="auto"/>
              </w:rPr>
            </w:pPr>
          </w:p>
        </w:tc>
        <w:tc>
          <w:tcPr>
            <w:tcW w:w="500" w:type="dxa"/>
            <w:vAlign w:val="bottom"/>
            <w:gridSpan w:val="2"/>
          </w:tcPr>
          <w:p>
            <w:pPr>
              <w:ind w:left="20"/>
              <w:spacing w:after="0" w:line="129" w:lineRule="exact"/>
              <w:rPr>
                <w:sz w:val="20"/>
                <w:szCs w:val="20"/>
                <w:color w:val="auto"/>
              </w:rPr>
            </w:pPr>
            <w:r>
              <w:rPr>
                <w:rFonts w:ascii="Arial" w:cs="Arial" w:eastAsia="Arial" w:hAnsi="Arial"/>
                <w:sz w:val="14"/>
                <w:szCs w:val="14"/>
                <w:b w:val="1"/>
                <w:bCs w:val="1"/>
                <w:color w:val="auto"/>
                <w:w w:val="82"/>
              </w:rPr>
              <w:t>Notional</w:t>
            </w: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Notional</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740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4"/>
                <w:szCs w:val="14"/>
                <w:b w:val="1"/>
                <w:bCs w:val="1"/>
                <w:color w:val="auto"/>
                <w:w w:val="83"/>
              </w:rPr>
              <w:t>value</w:t>
            </w:r>
          </w:p>
        </w:tc>
        <w:tc>
          <w:tcPr>
            <w:tcW w:w="220" w:type="dxa"/>
            <w:vAlign w:val="bottom"/>
          </w:tcPr>
          <w:p>
            <w:pPr>
              <w:spacing w:after="0"/>
              <w:rPr>
                <w:sz w:val="14"/>
                <w:szCs w:val="14"/>
                <w:color w:val="auto"/>
              </w:rPr>
            </w:pP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w w:val="73"/>
              </w:rPr>
              <w:t>Assets</w:t>
            </w:r>
          </w:p>
        </w:tc>
        <w:tc>
          <w:tcPr>
            <w:tcW w:w="220" w:type="dxa"/>
            <w:vAlign w:val="bottom"/>
          </w:tcPr>
          <w:p>
            <w:pPr>
              <w:spacing w:after="0"/>
              <w:rPr>
                <w:sz w:val="14"/>
                <w:szCs w:val="14"/>
                <w:color w:val="auto"/>
              </w:rPr>
            </w:pPr>
          </w:p>
        </w:tc>
        <w:tc>
          <w:tcPr>
            <w:tcW w:w="700" w:type="dxa"/>
            <w:vAlign w:val="bottom"/>
            <w:gridSpan w:val="3"/>
          </w:tcPr>
          <w:p>
            <w:pPr>
              <w:spacing w:after="0"/>
              <w:rPr>
                <w:sz w:val="20"/>
                <w:szCs w:val="20"/>
                <w:color w:val="auto"/>
              </w:rPr>
            </w:pPr>
            <w:r>
              <w:rPr>
                <w:rFonts w:ascii="Arial" w:cs="Arial" w:eastAsia="Arial" w:hAnsi="Arial"/>
                <w:sz w:val="14"/>
                <w:szCs w:val="14"/>
                <w:b w:val="1"/>
                <w:bCs w:val="1"/>
                <w:color w:val="auto"/>
              </w:rPr>
              <w:t>Liabilities</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gridSpan w:val="2"/>
          </w:tcPr>
          <w:p>
            <w:pPr>
              <w:spacing w:after="0"/>
              <w:rPr>
                <w:sz w:val="20"/>
                <w:szCs w:val="20"/>
                <w:color w:val="auto"/>
              </w:rPr>
            </w:pPr>
            <w:r>
              <w:rPr>
                <w:rFonts w:ascii="Arial" w:cs="Arial" w:eastAsia="Arial" w:hAnsi="Arial"/>
                <w:sz w:val="14"/>
                <w:szCs w:val="14"/>
                <w:b w:val="1"/>
                <w:bCs w:val="1"/>
                <w:color w:val="auto"/>
              </w:rPr>
              <w:t>value</w:t>
            </w:r>
          </w:p>
        </w:tc>
        <w:tc>
          <w:tcPr>
            <w:tcW w:w="360" w:type="dxa"/>
            <w:vAlign w:val="bottom"/>
            <w:gridSpan w:val="2"/>
          </w:tcPr>
          <w:p>
            <w:pPr>
              <w:jc w:val="right"/>
              <w:spacing w:after="0"/>
              <w:rPr>
                <w:sz w:val="20"/>
                <w:szCs w:val="20"/>
                <w:color w:val="auto"/>
              </w:rPr>
            </w:pPr>
            <w:r>
              <w:rPr>
                <w:rFonts w:ascii="Arial" w:cs="Arial" w:eastAsia="Arial" w:hAnsi="Arial"/>
                <w:sz w:val="14"/>
                <w:szCs w:val="14"/>
                <w:b w:val="1"/>
                <w:bCs w:val="1"/>
                <w:color w:val="auto"/>
                <w:w w:val="73"/>
              </w:rPr>
              <w:t>Assets</w:t>
            </w:r>
          </w:p>
        </w:tc>
        <w:tc>
          <w:tcPr>
            <w:tcW w:w="220" w:type="dxa"/>
            <w:vAlign w:val="bottom"/>
          </w:tcPr>
          <w:p>
            <w:pPr>
              <w:spacing w:after="0"/>
              <w:rPr>
                <w:sz w:val="14"/>
                <w:szCs w:val="14"/>
                <w:color w:val="auto"/>
              </w:rPr>
            </w:pPr>
          </w:p>
        </w:tc>
        <w:tc>
          <w:tcPr>
            <w:tcW w:w="640" w:type="dxa"/>
            <w:vAlign w:val="bottom"/>
            <w:gridSpan w:val="3"/>
          </w:tcPr>
          <w:p>
            <w:pPr>
              <w:ind w:left="20"/>
              <w:spacing w:after="0"/>
              <w:rPr>
                <w:sz w:val="20"/>
                <w:szCs w:val="20"/>
                <w:color w:val="auto"/>
              </w:rPr>
            </w:pPr>
            <w:r>
              <w:rPr>
                <w:rFonts w:ascii="Arial" w:cs="Arial" w:eastAsia="Arial" w:hAnsi="Arial"/>
                <w:sz w:val="14"/>
                <w:szCs w:val="14"/>
                <w:b w:val="1"/>
                <w:bCs w:val="1"/>
                <w:color w:val="auto"/>
                <w:w w:val="92"/>
              </w:rPr>
              <w:t>Liabilities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Index tranche attachment/detachment point and maturity:</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tcPr>
          <w:p>
            <w:pPr>
              <w:ind w:left="420"/>
              <w:spacing w:after="0"/>
              <w:rPr>
                <w:sz w:val="20"/>
                <w:szCs w:val="20"/>
                <w:color w:val="auto"/>
              </w:rPr>
            </w:pPr>
            <w:r>
              <w:rPr>
                <w:rFonts w:ascii="Arial" w:cs="Arial" w:eastAsia="Arial" w:hAnsi="Arial"/>
                <w:sz w:val="18"/>
                <w:szCs w:val="18"/>
                <w:color w:val="auto"/>
              </w:rPr>
              <w:t xml:space="preserve">9% – 12% matures after one year through five years </w:t>
            </w:r>
            <w:r>
              <w:rPr>
                <w:rFonts w:ascii="Arial" w:cs="Arial" w:eastAsia="Arial" w:hAnsi="Arial"/>
                <w:sz w:val="11"/>
                <w:szCs w:val="11"/>
                <w:color w:val="auto"/>
              </w:rPr>
              <w:t>(1)</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300</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120"/>
              <w:spacing w:after="0"/>
              <w:rPr>
                <w:sz w:val="20"/>
                <w:szCs w:val="20"/>
                <w:color w:val="auto"/>
              </w:rPr>
            </w:pPr>
            <w:r>
              <w:rPr>
                <w:rFonts w:ascii="Arial" w:cs="Arial" w:eastAsia="Arial" w:hAnsi="Arial"/>
                <w:sz w:val="18"/>
                <w:szCs w:val="18"/>
                <w:color w:val="auto"/>
              </w:rPr>
              <w:t>13</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ind w:left="220"/>
              <w:spacing w:after="0"/>
              <w:rPr>
                <w:sz w:val="20"/>
                <w:szCs w:val="20"/>
                <w:color w:val="auto"/>
              </w:rPr>
            </w:pPr>
            <w:r>
              <w:rPr>
                <w:rFonts w:ascii="Arial" w:cs="Arial" w:eastAsia="Arial" w:hAnsi="Arial"/>
                <w:sz w:val="18"/>
                <w:szCs w:val="18"/>
                <w:color w:val="auto"/>
              </w:rPr>
              <w:t>50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260" w:type="dxa"/>
            <w:vAlign w:val="bottom"/>
          </w:tcPr>
          <w:p>
            <w:pPr>
              <w:jc w:val="right"/>
              <w:spacing w:after="0"/>
              <w:rPr>
                <w:sz w:val="20"/>
                <w:szCs w:val="20"/>
                <w:color w:val="auto"/>
              </w:rPr>
            </w:pPr>
            <w:r>
              <w:rPr>
                <w:rFonts w:ascii="Arial" w:cs="Arial" w:eastAsia="Arial" w:hAnsi="Arial"/>
                <w:sz w:val="18"/>
                <w:szCs w:val="18"/>
                <w:color w:val="auto"/>
                <w:w w:val="88"/>
              </w:rPr>
              <w:t>—</w:t>
            </w:r>
          </w:p>
        </w:tc>
        <w:tc>
          <w:tcPr>
            <w:tcW w:w="5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9% – 12% matures after five years through ten years </w:t>
            </w:r>
            <w:r>
              <w:rPr>
                <w:rFonts w:ascii="Arial" w:cs="Arial" w:eastAsia="Arial" w:hAnsi="Arial"/>
                <w:sz w:val="11"/>
                <w:szCs w:val="11"/>
                <w:color w:val="auto"/>
              </w:rPr>
              <w:t>(2)</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250</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ind w:left="260"/>
              <w:spacing w:after="0"/>
              <w:rPr>
                <w:sz w:val="20"/>
                <w:szCs w:val="20"/>
                <w:color w:val="auto"/>
              </w:rPr>
            </w:pPr>
            <w:r>
              <w:rPr>
                <w:rFonts w:ascii="Arial" w:cs="Arial" w:eastAsia="Arial" w:hAnsi="Arial"/>
                <w:sz w:val="15"/>
                <w:szCs w:val="15"/>
                <w:color w:val="auto"/>
                <w:w w:val="71"/>
              </w:rPr>
              <w:t>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tcPr>
          <w:p>
            <w:pPr>
              <w:ind w:left="420"/>
              <w:spacing w:after="0"/>
              <w:rPr>
                <w:sz w:val="20"/>
                <w:szCs w:val="20"/>
                <w:color w:val="auto"/>
              </w:rPr>
            </w:pPr>
            <w:r>
              <w:rPr>
                <w:rFonts w:ascii="Arial" w:cs="Arial" w:eastAsia="Arial" w:hAnsi="Arial"/>
                <w:sz w:val="18"/>
                <w:szCs w:val="18"/>
                <w:color w:val="auto"/>
              </w:rPr>
              <w:t xml:space="preserve">10% – 15% matures after five years through ten years </w:t>
            </w:r>
            <w:r>
              <w:rPr>
                <w:rFonts w:ascii="Arial" w:cs="Arial" w:eastAsia="Arial" w:hAnsi="Arial"/>
                <w:sz w:val="11"/>
                <w:szCs w:val="11"/>
                <w:color w:val="auto"/>
              </w:rPr>
              <w:t>(3)</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250</w:t>
            </w:r>
          </w:p>
        </w:tc>
        <w:tc>
          <w:tcPr>
            <w:tcW w:w="22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ind w:left="140"/>
              <w:spacing w:after="0"/>
              <w:rPr>
                <w:sz w:val="20"/>
                <w:szCs w:val="20"/>
                <w:color w:val="auto"/>
              </w:rPr>
            </w:pPr>
            <w:r>
              <w:rPr>
                <w:rFonts w:ascii="Arial" w:cs="Arial" w:eastAsia="Arial" w:hAnsi="Arial"/>
                <w:sz w:val="18"/>
                <w:szCs w:val="18"/>
                <w:color w:val="auto"/>
              </w:rPr>
              <w:t>250</w:t>
            </w:r>
          </w:p>
        </w:tc>
        <w:tc>
          <w:tcPr>
            <w:tcW w:w="1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8"/>
                <w:szCs w:val="18"/>
                <w:color w:val="auto"/>
                <w:w w:val="88"/>
              </w:rPr>
              <w:t>—</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ind w:left="260"/>
              <w:spacing w:after="0"/>
              <w:rPr>
                <w:sz w:val="20"/>
                <w:szCs w:val="20"/>
                <w:color w:val="auto"/>
              </w:rPr>
            </w:pPr>
            <w:r>
              <w:rPr>
                <w:rFonts w:ascii="Arial" w:cs="Arial" w:eastAsia="Arial" w:hAnsi="Arial"/>
                <w:sz w:val="15"/>
                <w:szCs w:val="15"/>
                <w:color w:val="auto"/>
                <w:w w:val="71"/>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12% – 22% matures after five years through ten years </w:t>
            </w:r>
            <w:r>
              <w:rPr>
                <w:rFonts w:ascii="Arial" w:cs="Arial" w:eastAsia="Arial" w:hAnsi="Arial"/>
                <w:sz w:val="11"/>
                <w:szCs w:val="11"/>
                <w:color w:val="auto"/>
              </w:rPr>
              <w:t>(4)</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248</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tcPr>
          <w:p>
            <w:pPr>
              <w:ind w:left="420"/>
              <w:spacing w:after="0"/>
              <w:rPr>
                <w:sz w:val="20"/>
                <w:szCs w:val="20"/>
                <w:color w:val="auto"/>
              </w:rPr>
            </w:pPr>
            <w:r>
              <w:rPr>
                <w:rFonts w:ascii="Arial" w:cs="Arial" w:eastAsia="Arial" w:hAnsi="Arial"/>
                <w:sz w:val="18"/>
                <w:szCs w:val="18"/>
                <w:color w:val="auto"/>
              </w:rPr>
              <w:t xml:space="preserve">15% – 30% matures after five years through ten years </w:t>
            </w:r>
            <w:r>
              <w:rPr>
                <w:rFonts w:ascii="Arial" w:cs="Arial" w:eastAsia="Arial" w:hAnsi="Arial"/>
                <w:sz w:val="11"/>
                <w:szCs w:val="11"/>
                <w:color w:val="auto"/>
              </w:rPr>
              <w:t>(5)</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127</w:t>
            </w:r>
          </w:p>
        </w:tc>
        <w:tc>
          <w:tcPr>
            <w:tcW w:w="22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ind w:left="140"/>
              <w:spacing w:after="0"/>
              <w:rPr>
                <w:sz w:val="20"/>
                <w:szCs w:val="20"/>
                <w:color w:val="auto"/>
              </w:rPr>
            </w:pPr>
            <w:r>
              <w:rPr>
                <w:rFonts w:ascii="Arial" w:cs="Arial" w:eastAsia="Arial" w:hAnsi="Arial"/>
                <w:sz w:val="18"/>
                <w:szCs w:val="18"/>
                <w:color w:val="auto"/>
              </w:rPr>
              <w:t>127</w:t>
            </w:r>
          </w:p>
        </w:tc>
        <w:tc>
          <w:tcPr>
            <w:tcW w:w="1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8"/>
                <w:szCs w:val="18"/>
                <w:color w:val="auto"/>
              </w:rPr>
              <w:t>2</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credit default swap index tranches</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925</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925</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ind w:left="260"/>
              <w:spacing w:after="0"/>
              <w:rPr>
                <w:sz w:val="20"/>
                <w:szCs w:val="20"/>
                <w:color w:val="auto"/>
              </w:rPr>
            </w:pPr>
            <w:r>
              <w:rPr>
                <w:rFonts w:ascii="Arial" w:cs="Arial" w:eastAsia="Arial" w:hAnsi="Arial"/>
                <w:sz w:val="15"/>
                <w:szCs w:val="15"/>
                <w:color w:val="auto"/>
                <w:w w:val="71"/>
              </w:rPr>
              <w:t>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7400" w:type="dxa"/>
            <w:vAlign w:val="bottom"/>
            <w:gridSpan w:val="3"/>
          </w:tcPr>
          <w:p>
            <w:pPr>
              <w:spacing w:after="0"/>
              <w:rPr>
                <w:sz w:val="20"/>
                <w:szCs w:val="20"/>
                <w:color w:val="auto"/>
              </w:rPr>
            </w:pPr>
            <w:r>
              <w:rPr>
                <w:rFonts w:ascii="Arial" w:cs="Arial" w:eastAsia="Arial" w:hAnsi="Arial"/>
                <w:sz w:val="18"/>
                <w:szCs w:val="18"/>
                <w:color w:val="auto"/>
              </w:rPr>
              <w:t>Customized credit default swap index tranches related to securitization entities:</w:t>
            </w: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3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Portion backing third-party borrowings maturing 2017 </w:t>
            </w:r>
            <w:r>
              <w:rPr>
                <w:rFonts w:ascii="Arial" w:cs="Arial" w:eastAsia="Arial" w:hAnsi="Arial"/>
                <w:sz w:val="11"/>
                <w:szCs w:val="11"/>
                <w:color w:val="auto"/>
              </w:rPr>
              <w:t>(6)</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tcPr>
          <w:p>
            <w:pPr>
              <w:ind w:left="420"/>
              <w:spacing w:after="0"/>
              <w:rPr>
                <w:sz w:val="20"/>
                <w:szCs w:val="20"/>
                <w:color w:val="auto"/>
              </w:rPr>
            </w:pPr>
            <w:r>
              <w:rPr>
                <w:rFonts w:ascii="Arial" w:cs="Arial" w:eastAsia="Arial" w:hAnsi="Arial"/>
                <w:sz w:val="18"/>
                <w:szCs w:val="18"/>
                <w:color w:val="auto"/>
              </w:rPr>
              <w:t xml:space="preserve">Portion backing our interest maturing 2017 </w:t>
            </w:r>
            <w:r>
              <w:rPr>
                <w:rFonts w:ascii="Arial" w:cs="Arial" w:eastAsia="Arial" w:hAnsi="Arial"/>
                <w:sz w:val="11"/>
                <w:szCs w:val="11"/>
                <w:color w:val="auto"/>
              </w:rPr>
              <w:t>(7)</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300</w:t>
            </w:r>
          </w:p>
        </w:tc>
        <w:tc>
          <w:tcPr>
            <w:tcW w:w="22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8"/>
                <w:szCs w:val="18"/>
                <w:color w:val="auto"/>
              </w:rPr>
              <w:t>150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8"/>
                <w:szCs w:val="18"/>
                <w:color w:val="auto"/>
                <w:w w:val="88"/>
              </w:rPr>
              <w:t>—</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customized credit default swap index tranches related to securitization entities</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38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credit default swaps on index tranches</w:t>
            </w: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380" w:type="dxa"/>
            <w:vAlign w:val="bottom"/>
            <w:gridSpan w:val="2"/>
            <w:vMerge w:val="continue"/>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u w:val="single" w:color="auto"/>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1,242</w:t>
            </w:r>
          </w:p>
        </w:tc>
        <w:tc>
          <w:tcPr>
            <w:tcW w:w="220" w:type="dxa"/>
            <w:vAlign w:val="bottom"/>
          </w:tcPr>
          <w:p>
            <w:pPr>
              <w:spacing w:after="0"/>
              <w:rPr>
                <w:sz w:val="19"/>
                <w:szCs w:val="19"/>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w w:val="92"/>
              </w:rPr>
              <w:t>$—</w:t>
            </w:r>
          </w:p>
        </w:tc>
        <w:tc>
          <w:tcPr>
            <w:tcW w:w="22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120"/>
              <w:spacing w:after="0"/>
              <w:rPr>
                <w:sz w:val="20"/>
                <w:szCs w:val="20"/>
                <w:color w:val="auto"/>
              </w:rPr>
            </w:pPr>
            <w:r>
              <w:rPr>
                <w:rFonts w:ascii="Arial" w:cs="Arial" w:eastAsia="Arial" w:hAnsi="Arial"/>
                <w:sz w:val="18"/>
                <w:szCs w:val="18"/>
                <w:color w:val="auto"/>
              </w:rPr>
              <w:t>185</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ind w:left="140"/>
              <w:spacing w:after="0"/>
              <w:rPr>
                <w:sz w:val="20"/>
                <w:szCs w:val="20"/>
                <w:color w:val="auto"/>
              </w:rPr>
            </w:pPr>
            <w:r>
              <w:rPr>
                <w:rFonts w:ascii="Arial" w:cs="Arial" w:eastAsia="Arial" w:hAnsi="Arial"/>
                <w:sz w:val="18"/>
                <w:szCs w:val="18"/>
                <w:color w:val="auto"/>
              </w:rPr>
              <w:t>925</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260" w:type="dxa"/>
            <w:vAlign w:val="bottom"/>
          </w:tcPr>
          <w:p>
            <w:pPr>
              <w:jc w:val="right"/>
              <w:spacing w:after="0"/>
              <w:rPr>
                <w:sz w:val="20"/>
                <w:szCs w:val="20"/>
                <w:color w:val="auto"/>
              </w:rPr>
            </w:pPr>
            <w:r>
              <w:rPr>
                <w:rFonts w:ascii="Arial" w:cs="Arial" w:eastAsia="Arial" w:hAnsi="Arial"/>
                <w:sz w:val="18"/>
                <w:szCs w:val="18"/>
                <w:color w:val="auto"/>
              </w:rPr>
              <w:t>7</w:t>
            </w:r>
          </w:p>
        </w:tc>
        <w:tc>
          <w:tcPr>
            <w:tcW w:w="5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360" w:type="dxa"/>
            <w:vAlign w:val="bottom"/>
            <w:gridSpan w:val="2"/>
          </w:tcPr>
          <w:p>
            <w:pPr>
              <w:ind w:left="260"/>
              <w:spacing w:after="0"/>
              <w:rPr>
                <w:sz w:val="20"/>
                <w:szCs w:val="20"/>
                <w:color w:val="auto"/>
              </w:rPr>
            </w:pPr>
            <w:r>
              <w:rPr>
                <w:rFonts w:ascii="Arial" w:cs="Arial" w:eastAsia="Arial" w:hAnsi="Arial"/>
                <w:sz w:val="18"/>
                <w:szCs w:val="18"/>
                <w:color w:val="auto"/>
                <w:w w:val="79"/>
              </w:rPr>
              <w:t>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22"/>
        </w:numPr>
        <w:rPr>
          <w:rFonts w:ascii="Arial" w:cs="Arial" w:eastAsia="Arial" w:hAnsi="Arial"/>
          <w:sz w:val="22"/>
          <w:szCs w:val="22"/>
          <w:color w:val="auto"/>
          <w:vertAlign w:val="superscript"/>
        </w:rPr>
      </w:pPr>
      <w:r>
        <w:rPr>
          <w:rFonts w:ascii="Arial" w:cs="Arial" w:eastAsia="Arial" w:hAnsi="Arial"/>
          <w:sz w:val="18"/>
          <w:szCs w:val="18"/>
          <w:color w:val="auto"/>
        </w:rPr>
        <w:t>The current attachment/detachment as of June 30, 2010 and December 31, 2009 was 9% – 12%.</w:t>
      </w:r>
    </w:p>
    <w:p>
      <w:pPr>
        <w:spacing w:after="0" w:line="7"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22"/>
        </w:numPr>
        <w:rPr>
          <w:rFonts w:ascii="Arial" w:cs="Arial" w:eastAsia="Arial" w:hAnsi="Arial"/>
          <w:sz w:val="22"/>
          <w:szCs w:val="22"/>
          <w:color w:val="auto"/>
          <w:vertAlign w:val="superscript"/>
        </w:rPr>
      </w:pPr>
      <w:r>
        <w:rPr>
          <w:rFonts w:ascii="Arial" w:cs="Arial" w:eastAsia="Arial" w:hAnsi="Arial"/>
          <w:sz w:val="18"/>
          <w:szCs w:val="18"/>
          <w:color w:val="auto"/>
        </w:rPr>
        <w:t>The current attachment/detachment as of June 30, 2010 and December 31, 2009 was 9% – 12%.</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22"/>
        </w:numPr>
        <w:rPr>
          <w:rFonts w:ascii="Arial" w:cs="Arial" w:eastAsia="Arial" w:hAnsi="Arial"/>
          <w:sz w:val="22"/>
          <w:szCs w:val="22"/>
          <w:color w:val="auto"/>
          <w:vertAlign w:val="superscript"/>
        </w:rPr>
      </w:pPr>
      <w:r>
        <w:rPr>
          <w:rFonts w:ascii="Arial" w:cs="Arial" w:eastAsia="Arial" w:hAnsi="Arial"/>
          <w:sz w:val="18"/>
          <w:szCs w:val="18"/>
          <w:color w:val="auto"/>
        </w:rPr>
        <w:t>The current attachment/detachment as of June 30, 2010 and December 31, 2009 was 10% – 15%.</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22"/>
        </w:numPr>
        <w:rPr>
          <w:rFonts w:ascii="Arial" w:cs="Arial" w:eastAsia="Arial" w:hAnsi="Arial"/>
          <w:sz w:val="22"/>
          <w:szCs w:val="22"/>
          <w:color w:val="auto"/>
          <w:vertAlign w:val="superscript"/>
        </w:rPr>
      </w:pPr>
      <w:r>
        <w:rPr>
          <w:rFonts w:ascii="Arial" w:cs="Arial" w:eastAsia="Arial" w:hAnsi="Arial"/>
          <w:sz w:val="18"/>
          <w:szCs w:val="18"/>
          <w:color w:val="auto"/>
        </w:rPr>
        <w:t>The current attachment/detachment as of June 30, 2010 and December 31, 2009 was 12% – 22%.</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22"/>
        </w:numPr>
        <w:rPr>
          <w:rFonts w:ascii="Arial" w:cs="Arial" w:eastAsia="Arial" w:hAnsi="Arial"/>
          <w:sz w:val="22"/>
          <w:szCs w:val="22"/>
          <w:color w:val="auto"/>
          <w:vertAlign w:val="superscript"/>
        </w:rPr>
      </w:pPr>
      <w:r>
        <w:rPr>
          <w:rFonts w:ascii="Arial" w:cs="Arial" w:eastAsia="Arial" w:hAnsi="Arial"/>
          <w:sz w:val="18"/>
          <w:szCs w:val="18"/>
          <w:color w:val="auto"/>
        </w:rPr>
        <w:t>The current attachment/detachment as of June 30, 2010 and December 31, 2009 was 14.8% – 30.3%.</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22"/>
        </w:numPr>
        <w:rPr>
          <w:rFonts w:ascii="Arial" w:cs="Arial" w:eastAsia="Arial" w:hAnsi="Arial"/>
          <w:sz w:val="22"/>
          <w:szCs w:val="22"/>
          <w:color w:val="auto"/>
          <w:vertAlign w:val="superscript"/>
        </w:rPr>
      </w:pPr>
      <w:r>
        <w:rPr>
          <w:rFonts w:ascii="Arial" w:cs="Arial" w:eastAsia="Arial" w:hAnsi="Arial"/>
          <w:sz w:val="18"/>
          <w:szCs w:val="18"/>
          <w:color w:val="auto"/>
        </w:rPr>
        <w:t>Original notional value was $39 million.</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22"/>
        </w:numPr>
        <w:rPr>
          <w:rFonts w:ascii="Arial" w:cs="Arial" w:eastAsia="Arial" w:hAnsi="Arial"/>
          <w:sz w:val="22"/>
          <w:szCs w:val="22"/>
          <w:color w:val="auto"/>
          <w:vertAlign w:val="superscript"/>
        </w:rPr>
      </w:pPr>
      <w:r>
        <w:rPr>
          <w:rFonts w:ascii="Arial" w:cs="Arial" w:eastAsia="Arial" w:hAnsi="Arial"/>
          <w:sz w:val="18"/>
          <w:szCs w:val="18"/>
          <w:color w:val="auto"/>
        </w:rPr>
        <w:t>Original notional value was $300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-983615</wp:posOffset>
            </wp:positionV>
            <wp:extent cx="72898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7"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The following table sets forth our holding of available-for-sale fixed maturity securities that include embedded credit derivatives and the fair values as of the dates indicated: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70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5"/>
              </w:rPr>
              <w:t>June 30, 2010</w:t>
            </w:r>
          </w:p>
        </w:tc>
        <w:tc>
          <w:tcPr>
            <w:tcW w:w="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7"/>
              </w:rPr>
              <w:t>December 31, 2009</w:t>
            </w:r>
          </w:p>
        </w:tc>
        <w:tc>
          <w:tcPr>
            <w:tcW w:w="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5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60" w:type="dxa"/>
            <w:vAlign w:val="bottom"/>
            <w:gridSpan w:val="3"/>
          </w:tcPr>
          <w:p>
            <w:pPr>
              <w:jc w:val="center"/>
              <w:ind w:right="340"/>
              <w:spacing w:after="0" w:line="129" w:lineRule="exact"/>
              <w:rPr>
                <w:sz w:val="20"/>
                <w:szCs w:val="20"/>
                <w:color w:val="auto"/>
              </w:rPr>
            </w:pPr>
            <w:r>
              <w:rPr>
                <w:rFonts w:ascii="Arial" w:cs="Arial" w:eastAsia="Arial" w:hAnsi="Arial"/>
                <w:sz w:val="14"/>
                <w:szCs w:val="14"/>
                <w:b w:val="1"/>
                <w:bCs w:val="1"/>
                <w:color w:val="auto"/>
                <w:w w:val="90"/>
              </w:rPr>
              <w:t>Amortized</w:t>
            </w: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60" w:type="dxa"/>
            <w:vAlign w:val="bottom"/>
            <w:gridSpan w:val="3"/>
          </w:tcPr>
          <w:p>
            <w:pPr>
              <w:jc w:val="right"/>
              <w:ind w:right="340"/>
              <w:spacing w:after="0" w:line="129" w:lineRule="exact"/>
              <w:rPr>
                <w:sz w:val="20"/>
                <w:szCs w:val="20"/>
                <w:color w:val="auto"/>
              </w:rPr>
            </w:pPr>
            <w:r>
              <w:rPr>
                <w:rFonts w:ascii="Arial" w:cs="Arial" w:eastAsia="Arial" w:hAnsi="Arial"/>
                <w:sz w:val="14"/>
                <w:szCs w:val="14"/>
                <w:b w:val="1"/>
                <w:bCs w:val="1"/>
                <w:color w:val="auto"/>
                <w:w w:val="87"/>
              </w:rPr>
              <w:t>Amortized</w:t>
            </w: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700" w:type="dxa"/>
            <w:vAlign w:val="bottom"/>
          </w:tcPr>
          <w:p>
            <w:pPr>
              <w:spacing w:after="0"/>
              <w:rPr>
                <w:sz w:val="12"/>
                <w:szCs w:val="12"/>
                <w:color w:val="auto"/>
              </w:rPr>
            </w:pPr>
          </w:p>
        </w:tc>
        <w:tc>
          <w:tcPr>
            <w:tcW w:w="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Par</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1"/>
              </w:rPr>
              <w:t>cost or</w:t>
            </w:r>
          </w:p>
        </w:tc>
        <w:tc>
          <w:tcPr>
            <w:tcW w:w="70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Fair</w:t>
            </w:r>
          </w:p>
        </w:tc>
        <w:tc>
          <w:tcPr>
            <w:tcW w:w="3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Par</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1"/>
              </w:rPr>
              <w:t>cost or</w:t>
            </w:r>
          </w:p>
        </w:tc>
        <w:tc>
          <w:tcPr>
            <w:tcW w:w="3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Fair</w:t>
            </w:r>
          </w:p>
        </w:tc>
      </w:tr>
      <w:tr>
        <w:trPr>
          <w:trHeight w:val="161"/>
        </w:trPr>
        <w:tc>
          <w:tcPr>
            <w:tcW w:w="704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360" w:type="dxa"/>
            <w:vAlign w:val="bottom"/>
          </w:tcPr>
          <w:p>
            <w:pPr>
              <w:jc w:val="center"/>
              <w:spacing w:after="0"/>
              <w:rPr>
                <w:sz w:val="20"/>
                <w:szCs w:val="20"/>
                <w:color w:val="auto"/>
              </w:rPr>
            </w:pPr>
            <w:r>
              <w:rPr>
                <w:rFonts w:ascii="Arial" w:cs="Arial" w:eastAsia="Arial" w:hAnsi="Arial"/>
                <w:sz w:val="14"/>
                <w:szCs w:val="14"/>
                <w:b w:val="1"/>
                <w:bCs w:val="1"/>
                <w:color w:val="auto"/>
                <w:w w:val="83"/>
              </w:rPr>
              <w:t>value</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76"/>
              </w:rPr>
              <w:t>cost</w:t>
            </w:r>
          </w:p>
        </w:tc>
        <w:tc>
          <w:tcPr>
            <w:tcW w:w="70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83"/>
              </w:rPr>
              <w:t>value</w:t>
            </w: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w w:val="89"/>
              </w:rPr>
              <w:t>value</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76"/>
              </w:rPr>
              <w:t>cost</w:t>
            </w:r>
          </w:p>
        </w:tc>
        <w:tc>
          <w:tcPr>
            <w:tcW w:w="360" w:type="dxa"/>
            <w:vAlign w:val="bottom"/>
            <w:gridSpan w:val="2"/>
          </w:tcPr>
          <w:p>
            <w:pPr>
              <w:jc w:val="right"/>
              <w:spacing w:after="0"/>
              <w:rPr>
                <w:sz w:val="20"/>
                <w:szCs w:val="20"/>
                <w:color w:val="auto"/>
              </w:rPr>
            </w:pPr>
            <w:r>
              <w:rPr>
                <w:rFonts w:ascii="Arial" w:cs="Arial" w:eastAsia="Arial" w:hAnsi="Arial"/>
                <w:sz w:val="14"/>
                <w:szCs w:val="14"/>
                <w:b w:val="1"/>
                <w:bCs w:val="1"/>
                <w:color w:val="auto"/>
                <w:w w:val="89"/>
              </w:rPr>
              <w:t>value</w:t>
            </w: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Credit rating:</w:t>
            </w:r>
          </w:p>
        </w:tc>
        <w:tc>
          <w:tcPr>
            <w:tcW w:w="570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20" w:type="dxa"/>
            <w:vAlign w:val="bottom"/>
            <w:gridSpan w:val="2"/>
          </w:tcPr>
          <w:p>
            <w:pPr>
              <w:spacing w:after="0"/>
              <w:rPr>
                <w:sz w:val="20"/>
                <w:szCs w:val="20"/>
                <w:color w:val="auto"/>
              </w:rPr>
            </w:pPr>
            <w:r>
              <w:rPr>
                <w:rFonts w:ascii="Arial" w:cs="Arial" w:eastAsia="Arial" w:hAnsi="Arial"/>
                <w:sz w:val="18"/>
                <w:szCs w:val="18"/>
                <w:color w:val="auto"/>
              </w:rPr>
              <w:t>AA</w:t>
            </w: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Matures after five years through ten years</w:t>
            </w:r>
          </w:p>
        </w:tc>
        <w:tc>
          <w:tcPr>
            <w:tcW w:w="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$100</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ind w:left="260"/>
              <w:spacing w:after="0"/>
              <w:rPr>
                <w:sz w:val="20"/>
                <w:szCs w:val="20"/>
                <w:color w:val="auto"/>
              </w:rPr>
            </w:pPr>
            <w:r>
              <w:rPr>
                <w:rFonts w:ascii="Arial" w:cs="Arial" w:eastAsia="Arial" w:hAnsi="Arial"/>
                <w:sz w:val="18"/>
                <w:szCs w:val="18"/>
                <w:color w:val="auto"/>
                <w:w w:val="79"/>
              </w:rPr>
              <w:t>100</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96</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$100</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r>
      <w:tr>
        <w:trPr>
          <w:trHeight w:val="216"/>
        </w:trPr>
        <w:tc>
          <w:tcPr>
            <w:tcW w:w="20" w:type="dxa"/>
            <w:vAlign w:val="bottom"/>
          </w:tcPr>
          <w:p>
            <w:pPr>
              <w:spacing w:after="0"/>
              <w:rPr>
                <w:sz w:val="18"/>
                <w:szCs w:val="18"/>
                <w:color w:val="auto"/>
              </w:rPr>
            </w:pPr>
          </w:p>
        </w:tc>
        <w:tc>
          <w:tcPr>
            <w:tcW w:w="7020" w:type="dxa"/>
            <w:vAlign w:val="bottom"/>
            <w:gridSpan w:val="2"/>
          </w:tcPr>
          <w:p>
            <w:pPr>
              <w:spacing w:after="0"/>
              <w:rPr>
                <w:sz w:val="20"/>
                <w:szCs w:val="20"/>
                <w:color w:val="auto"/>
              </w:rPr>
            </w:pPr>
            <w:r>
              <w:rPr>
                <w:rFonts w:ascii="Arial" w:cs="Arial" w:eastAsia="Arial" w:hAnsi="Arial"/>
                <w:sz w:val="18"/>
                <w:szCs w:val="18"/>
                <w:color w:val="auto"/>
              </w:rPr>
              <w:t>BBB</w:t>
            </w: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Matures after five years through ten years </w:t>
            </w:r>
            <w:r>
              <w:rPr>
                <w:rFonts w:ascii="Arial" w:cs="Arial" w:eastAsia="Arial" w:hAnsi="Arial"/>
                <w:sz w:val="11"/>
                <w:szCs w:val="11"/>
                <w:color w:val="auto"/>
              </w:rPr>
              <w:t>(1)</w:t>
            </w:r>
          </w:p>
        </w:tc>
        <w:tc>
          <w:tcPr>
            <w:tcW w:w="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center"/>
              <w:ind w:right="420"/>
              <w:spacing w:after="0"/>
              <w:rPr>
                <w:sz w:val="20"/>
                <w:szCs w:val="20"/>
                <w:color w:val="auto"/>
              </w:rPr>
            </w:pPr>
            <w:r>
              <w:rPr>
                <w:rFonts w:ascii="Arial" w:cs="Arial" w:eastAsia="Arial" w:hAnsi="Arial"/>
                <w:sz w:val="18"/>
                <w:szCs w:val="18"/>
                <w:color w:val="auto"/>
                <w:w w:val="88"/>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w:t>
            </w:r>
          </w:p>
        </w:tc>
      </w:tr>
      <w:tr>
        <w:trPr>
          <w:trHeight w:val="216"/>
        </w:trPr>
        <w:tc>
          <w:tcPr>
            <w:tcW w:w="20" w:type="dxa"/>
            <w:vAlign w:val="bottom"/>
          </w:tcPr>
          <w:p>
            <w:pPr>
              <w:spacing w:after="0"/>
              <w:rPr>
                <w:sz w:val="18"/>
                <w:szCs w:val="18"/>
                <w:color w:val="auto"/>
              </w:rPr>
            </w:pPr>
          </w:p>
        </w:tc>
        <w:tc>
          <w:tcPr>
            <w:tcW w:w="7020" w:type="dxa"/>
            <w:vAlign w:val="bottom"/>
            <w:gridSpan w:val="2"/>
          </w:tcPr>
          <w:p>
            <w:pPr>
              <w:spacing w:after="0"/>
              <w:rPr>
                <w:sz w:val="20"/>
                <w:szCs w:val="20"/>
                <w:color w:val="auto"/>
              </w:rPr>
            </w:pPr>
            <w:r>
              <w:rPr>
                <w:rFonts w:ascii="Arial" w:cs="Arial" w:eastAsia="Arial" w:hAnsi="Arial"/>
                <w:sz w:val="18"/>
                <w:szCs w:val="18"/>
                <w:color w:val="auto"/>
              </w:rPr>
              <w:t>BB</w:t>
            </w: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Matures after five years through ten years </w:t>
            </w:r>
            <w:r>
              <w:rPr>
                <w:rFonts w:ascii="Arial" w:cs="Arial" w:eastAsia="Arial" w:hAnsi="Arial"/>
                <w:sz w:val="11"/>
                <w:szCs w:val="11"/>
                <w:color w:val="auto"/>
              </w:rPr>
              <w:t>(1)</w:t>
            </w:r>
          </w:p>
        </w:tc>
        <w:tc>
          <w:tcPr>
            <w:tcW w:w="3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3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34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3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228</w:t>
            </w:r>
          </w:p>
        </w:tc>
        <w:tc>
          <w:tcPr>
            <w:tcW w:w="3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148</w:t>
            </w:r>
          </w:p>
        </w:tc>
      </w:tr>
      <w:tr>
        <w:trPr>
          <w:trHeight w:val="222"/>
        </w:trPr>
        <w:tc>
          <w:tcPr>
            <w:tcW w:w="20" w:type="dxa"/>
            <w:vAlign w:val="bottom"/>
          </w:tcPr>
          <w:p>
            <w:pPr>
              <w:spacing w:after="0"/>
              <w:rPr>
                <w:sz w:val="19"/>
                <w:szCs w:val="19"/>
                <w:color w:val="auto"/>
              </w:rPr>
            </w:pPr>
          </w:p>
        </w:tc>
        <w:tc>
          <w:tcPr>
            <w:tcW w:w="7020" w:type="dxa"/>
            <w:vAlign w:val="bottom"/>
            <w:gridSpan w:val="2"/>
          </w:tcPr>
          <w:p>
            <w:pPr>
              <w:ind w:left="420"/>
              <w:spacing w:after="0"/>
              <w:rPr>
                <w:sz w:val="20"/>
                <w:szCs w:val="20"/>
                <w:color w:val="auto"/>
              </w:rPr>
            </w:pPr>
            <w:r>
              <w:rPr>
                <w:rFonts w:ascii="Arial" w:cs="Arial" w:eastAsia="Arial" w:hAnsi="Arial"/>
                <w:sz w:val="18"/>
                <w:szCs w:val="18"/>
                <w:color w:val="auto"/>
                <w:w w:val="93"/>
              </w:rPr>
              <w:t>Total available-for-sale fixed maturity securities that include embedded credit derivatives</w:t>
            </w:r>
          </w:p>
        </w:tc>
        <w:tc>
          <w:tcPr>
            <w:tcW w:w="360" w:type="dxa"/>
            <w:vAlign w:val="bottom"/>
          </w:tcPr>
          <w:p>
            <w:pPr>
              <w:jc w:val="center"/>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100</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ind w:left="260"/>
              <w:spacing w:after="0"/>
              <w:rPr>
                <w:sz w:val="20"/>
                <w:szCs w:val="20"/>
                <w:color w:val="auto"/>
              </w:rPr>
            </w:pPr>
            <w:r>
              <w:rPr>
                <w:rFonts w:ascii="Arial" w:cs="Arial" w:eastAsia="Arial" w:hAnsi="Arial"/>
                <w:sz w:val="18"/>
                <w:szCs w:val="18"/>
                <w:color w:val="auto"/>
                <w:w w:val="79"/>
              </w:rPr>
              <w:t>100</w:t>
            </w:r>
          </w:p>
        </w:tc>
        <w:tc>
          <w:tcPr>
            <w:tcW w:w="34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340"/>
              <w:spacing w:after="0"/>
              <w:rPr>
                <w:sz w:val="20"/>
                <w:szCs w:val="20"/>
                <w:color w:val="auto"/>
              </w:rPr>
            </w:pPr>
            <w:r>
              <w:rPr>
                <w:rFonts w:ascii="Arial" w:cs="Arial" w:eastAsia="Arial" w:hAnsi="Arial"/>
                <w:sz w:val="18"/>
                <w:szCs w:val="18"/>
                <w:color w:val="auto"/>
              </w:rPr>
              <w:t>96</w:t>
            </w:r>
          </w:p>
        </w:tc>
        <w:tc>
          <w:tcPr>
            <w:tcW w:w="360" w:type="dxa"/>
            <w:vAlign w:val="bottom"/>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400</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428</w:t>
            </w:r>
          </w:p>
        </w:tc>
        <w:tc>
          <w:tcPr>
            <w:tcW w:w="34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280" w:type="dxa"/>
            <w:vAlign w:val="bottom"/>
          </w:tcPr>
          <w:p>
            <w:pPr>
              <w:jc w:val="right"/>
              <w:spacing w:after="0"/>
              <w:rPr>
                <w:sz w:val="20"/>
                <w:szCs w:val="20"/>
                <w:color w:val="auto"/>
              </w:rPr>
            </w:pPr>
            <w:r>
              <w:rPr>
                <w:rFonts w:ascii="Arial" w:cs="Arial" w:eastAsia="Arial" w:hAnsi="Arial"/>
                <w:sz w:val="18"/>
                <w:szCs w:val="18"/>
                <w:color w:val="auto"/>
                <w:w w:val="86"/>
              </w:rPr>
              <w:t>320</w:t>
            </w: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7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r>
    </w:tbl>
    <w:p>
      <w:pPr>
        <w:spacing w:after="0" w:line="154" w:lineRule="exact"/>
        <w:rPr>
          <w:sz w:val="20"/>
          <w:szCs w:val="20"/>
          <w:color w:val="auto"/>
        </w:rPr>
      </w:pPr>
    </w:p>
    <w:p>
      <w:pPr>
        <w:ind w:left="460" w:right="520" w:hanging="452"/>
        <w:spacing w:after="0" w:line="228" w:lineRule="auto"/>
        <w:tabs>
          <w:tab w:leader="none" w:pos="460" w:val="left"/>
        </w:tabs>
        <w:numPr>
          <w:ilvl w:val="0"/>
          <w:numId w:val="23"/>
        </w:numPr>
        <w:rPr>
          <w:rFonts w:ascii="Arial" w:cs="Arial" w:eastAsia="Arial" w:hAnsi="Arial"/>
          <w:sz w:val="22"/>
          <w:szCs w:val="22"/>
          <w:color w:val="auto"/>
          <w:vertAlign w:val="superscript"/>
        </w:rPr>
      </w:pPr>
      <w:r>
        <w:rPr>
          <w:rFonts w:ascii="Arial" w:cs="Arial" w:eastAsia="Arial" w:hAnsi="Arial"/>
          <w:sz w:val="18"/>
          <w:szCs w:val="18"/>
          <w:color w:val="auto"/>
        </w:rPr>
        <w:t>The amounts in 2009 related to certain VIEs that were consolidated on January 1, 2010. See note 7 for additional information related to consolidated securitization entities.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2898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Fair Value of Financial Instruments</w:t>
      </w:r>
    </w:p>
    <w:p>
      <w:pPr>
        <w:spacing w:after="0" w:line="96"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Assets and liabilities that are reflected in the accompanying consolidated financial statements at fair value are not included in the following disclosure of fair value. Such items include cash and cash equivalents, investment securities, separate accounts, securities held as collateral and derivative instruments. Other financial assets and liabilities—those not carried at fair value—are discussed below. Apart from certain of our borrowings and certain marketable securities, few of the instruments discussed below are actively traded and their fair values must often be determined using models. The fair value estimates are made at a specific point in time, based upon available market information and judgments about the financial instruments, including estimates of the timing and amount of expected future cash flows and the credit standing of counterparties. Such estimates do not reflect any premium or discount that could result from offering for sale at one time our entire holdings of a particular financial instrument, nor do they consider the tax impact of the realization of unrealized gains or losses. In many cases, the fair value estimates cannot be substantiated by comparison to independent markets.</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basis on which we estimate fair value is as follows: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 xml:space="preserve">Commercial mortgage loans. </w:t>
      </w:r>
      <w:r>
        <w:rPr>
          <w:rFonts w:ascii="Arial" w:cs="Arial" w:eastAsia="Arial" w:hAnsi="Arial"/>
          <w:sz w:val="18"/>
          <w:szCs w:val="18"/>
          <w:color w:val="auto"/>
        </w:rPr>
        <w:t>Based on recent transactions and/or discounted future cash flows, using current market rates.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 xml:space="preserve">Restricted commercial mortgage loans. </w:t>
      </w:r>
      <w:r>
        <w:rPr>
          <w:rFonts w:ascii="Arial" w:cs="Arial" w:eastAsia="Arial" w:hAnsi="Arial"/>
          <w:sz w:val="18"/>
          <w:szCs w:val="18"/>
          <w:color w:val="auto"/>
        </w:rPr>
        <w:t>Based on recent transactions and/or discounted future cash flows, using current market rates.</w:t>
      </w:r>
    </w:p>
    <w:p>
      <w:pPr>
        <w:spacing w:after="0" w:line="171" w:lineRule="exact"/>
        <w:rPr>
          <w:sz w:val="20"/>
          <w:szCs w:val="20"/>
          <w:color w:val="auto"/>
        </w:rPr>
      </w:pPr>
    </w:p>
    <w:p>
      <w:pPr>
        <w:ind w:right="40" w:firstLine="456"/>
        <w:spacing w:after="0" w:line="370" w:lineRule="auto"/>
        <w:rPr>
          <w:sz w:val="20"/>
          <w:szCs w:val="20"/>
          <w:color w:val="auto"/>
        </w:rPr>
      </w:pPr>
      <w:r>
        <w:rPr>
          <w:rFonts w:ascii="Arial" w:cs="Arial" w:eastAsia="Arial" w:hAnsi="Arial"/>
          <w:sz w:val="15"/>
          <w:szCs w:val="15"/>
          <w:i w:val="1"/>
          <w:iCs w:val="1"/>
          <w:color w:val="auto"/>
        </w:rPr>
        <w:t xml:space="preserve">Other invested assets. </w:t>
      </w:r>
      <w:r>
        <w:rPr>
          <w:rFonts w:ascii="Arial" w:cs="Arial" w:eastAsia="Arial" w:hAnsi="Arial"/>
          <w:sz w:val="15"/>
          <w:szCs w:val="15"/>
          <w:color w:val="auto"/>
        </w:rPr>
        <w:t>Based on comparable market transactions, discounted future cash flows, quoted market prices and/or estimates using the most recent</w:t>
      </w:r>
      <w:r>
        <w:rPr>
          <w:rFonts w:ascii="Arial" w:cs="Arial" w:eastAsia="Arial" w:hAnsi="Arial"/>
          <w:sz w:val="15"/>
          <w:szCs w:val="15"/>
          <w:i w:val="1"/>
          <w:iCs w:val="1"/>
          <w:color w:val="auto"/>
        </w:rPr>
        <w:t xml:space="preserve"> </w:t>
      </w:r>
      <w:r>
        <w:rPr>
          <w:rFonts w:ascii="Arial" w:cs="Arial" w:eastAsia="Arial" w:hAnsi="Arial"/>
          <w:sz w:val="15"/>
          <w:szCs w:val="15"/>
          <w:color w:val="auto"/>
        </w:rPr>
        <w:t>data available for the related instrument. Primarily represents short-term investments, limited partnerships accounted for under the cost method and bank loans.</w:t>
      </w:r>
    </w:p>
    <w:p>
      <w:pPr>
        <w:spacing w:after="0" w:line="62"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i w:val="1"/>
          <w:iCs w:val="1"/>
          <w:color w:val="auto"/>
        </w:rPr>
        <w:t xml:space="preserve">Short-term borrowings. </w:t>
      </w:r>
      <w:r>
        <w:rPr>
          <w:rFonts w:ascii="Arial" w:cs="Arial" w:eastAsia="Arial" w:hAnsi="Arial"/>
          <w:sz w:val="18"/>
          <w:szCs w:val="18"/>
          <w:color w:val="auto"/>
        </w:rPr>
        <w:t>Based on carrying value which approximates fair value since the borrowings are based on variable interest rates that are reset</w:t>
      </w:r>
      <w:r>
        <w:rPr>
          <w:rFonts w:ascii="Arial" w:cs="Arial" w:eastAsia="Arial" w:hAnsi="Arial"/>
          <w:sz w:val="18"/>
          <w:szCs w:val="18"/>
          <w:i w:val="1"/>
          <w:iCs w:val="1"/>
          <w:color w:val="auto"/>
        </w:rPr>
        <w:t xml:space="preserve"> </w:t>
      </w:r>
      <w:r>
        <w:rPr>
          <w:rFonts w:ascii="Arial" w:cs="Arial" w:eastAsia="Arial" w:hAnsi="Arial"/>
          <w:sz w:val="18"/>
          <w:szCs w:val="18"/>
          <w:color w:val="auto"/>
        </w:rPr>
        <w:t>monthly.</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 xml:space="preserve">Long-term borrowings. </w:t>
      </w:r>
      <w:r>
        <w:rPr>
          <w:rFonts w:ascii="Arial" w:cs="Arial" w:eastAsia="Arial" w:hAnsi="Arial"/>
          <w:sz w:val="18"/>
          <w:szCs w:val="18"/>
          <w:color w:val="auto"/>
        </w:rPr>
        <w:t>Based on market quotes or comparable market transactions.</w:t>
      </w:r>
    </w:p>
    <w:p>
      <w:pPr>
        <w:spacing w:after="0" w:line="171" w:lineRule="exact"/>
        <w:rPr>
          <w:sz w:val="20"/>
          <w:szCs w:val="20"/>
          <w:color w:val="auto"/>
        </w:rPr>
      </w:pPr>
    </w:p>
    <w:p>
      <w:pPr>
        <w:ind w:right="320" w:firstLine="456"/>
        <w:spacing w:after="0" w:line="332" w:lineRule="auto"/>
        <w:rPr>
          <w:sz w:val="20"/>
          <w:szCs w:val="20"/>
          <w:color w:val="auto"/>
        </w:rPr>
      </w:pPr>
      <w:r>
        <w:rPr>
          <w:rFonts w:ascii="Arial" w:cs="Arial" w:eastAsia="Arial" w:hAnsi="Arial"/>
          <w:sz w:val="16"/>
          <w:szCs w:val="16"/>
          <w:i w:val="1"/>
          <w:iCs w:val="1"/>
          <w:color w:val="auto"/>
        </w:rPr>
        <w:t xml:space="preserve">Non-recourse funding obligations. </w:t>
      </w:r>
      <w:r>
        <w:rPr>
          <w:rFonts w:ascii="Arial" w:cs="Arial" w:eastAsia="Arial" w:hAnsi="Arial"/>
          <w:sz w:val="16"/>
          <w:szCs w:val="16"/>
          <w:color w:val="auto"/>
        </w:rPr>
        <w:t>Based on the then current coupon, revalued based on the London Interbank Offered Rate (“LIBOR”) set and current</w:t>
      </w:r>
      <w:r>
        <w:rPr>
          <w:rFonts w:ascii="Arial" w:cs="Arial" w:eastAsia="Arial" w:hAnsi="Arial"/>
          <w:sz w:val="16"/>
          <w:szCs w:val="16"/>
          <w:i w:val="1"/>
          <w:iCs w:val="1"/>
          <w:color w:val="auto"/>
        </w:rPr>
        <w:t xml:space="preserve"> </w:t>
      </w:r>
      <w:r>
        <w:rPr>
          <w:rFonts w:ascii="Arial" w:cs="Arial" w:eastAsia="Arial" w:hAnsi="Arial"/>
          <w:sz w:val="16"/>
          <w:szCs w:val="16"/>
          <w:color w:val="auto"/>
        </w:rPr>
        <w:t>spread assumption based on commercially available data. The model is a floating rate coupon model using the spread assumption to derive the valuation.</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 xml:space="preserve">Borrowings related to securitization entities. </w:t>
      </w:r>
      <w:r>
        <w:rPr>
          <w:rFonts w:ascii="Arial" w:cs="Arial" w:eastAsia="Arial" w:hAnsi="Arial"/>
          <w:sz w:val="18"/>
          <w:szCs w:val="18"/>
          <w:color w:val="auto"/>
        </w:rPr>
        <w:t>Based on market quotes or comparable market transactions.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 xml:space="preserve">Investment contracts. </w:t>
      </w:r>
      <w:r>
        <w:rPr>
          <w:rFonts w:ascii="Arial" w:cs="Arial" w:eastAsia="Arial" w:hAnsi="Arial"/>
          <w:sz w:val="16"/>
          <w:szCs w:val="16"/>
          <w:color w:val="auto"/>
        </w:rPr>
        <w:t>Based on expected future cash flows, discounted at current market rates for annuity contracts or institutional products.</w:t>
      </w:r>
    </w:p>
    <w:p>
      <w:pPr>
        <w:spacing w:after="0" w:line="18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459" w:right="25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jc w:val="center"/>
        <w:ind w:right="420"/>
        <w:spacing w:after="0"/>
        <w:rPr>
          <w:sz w:val="20"/>
          <w:szCs w:val="20"/>
          <w:color w:val="auto"/>
        </w:rPr>
      </w:pPr>
      <w:r>
        <w:rPr>
          <w:rFonts w:ascii="Arial" w:cs="Arial" w:eastAsia="Arial" w:hAnsi="Arial"/>
          <w:sz w:val="15"/>
          <w:szCs w:val="15"/>
          <w:color w:val="auto"/>
        </w:rPr>
        <w:t>The following represents the fair value of financial assets and liabilities that are not required to be carried at fair value as of the dates indicated:</w:t>
      </w:r>
    </w:p>
    <w:p>
      <w:pPr>
        <w:sectPr>
          <w:pgSz w:w="11900" w:h="16838" w:orient="portrait"/>
          <w:cols w:equalWidth="0" w:num="1">
            <w:col w:w="11420"/>
          </w:cols>
          <w:pgMar w:left="240" w:top="459" w:right="239" w:bottom="1440" w:gutter="0" w:footer="0" w:header="0"/>
        </w:sectPr>
      </w:pP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00" w:type="dxa"/>
            <w:vAlign w:val="bottom"/>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June 30, 2010</w:t>
            </w:r>
          </w:p>
        </w:tc>
        <w:tc>
          <w:tcPr>
            <w:tcW w:w="680" w:type="dxa"/>
            <w:vAlign w:val="bottom"/>
            <w:tcBorders>
              <w:bottom w:val="single" w:sz="8" w:color="auto"/>
            </w:tcBorders>
          </w:tcPr>
          <w:p>
            <w:pPr>
              <w:spacing w:after="0"/>
              <w:rPr>
                <w:sz w:val="14"/>
                <w:szCs w:val="14"/>
                <w:color w:val="auto"/>
              </w:rPr>
            </w:pPr>
          </w:p>
        </w:tc>
      </w:tr>
      <w:tr>
        <w:trPr>
          <w:trHeight w:val="129"/>
        </w:trPr>
        <w:tc>
          <w:tcPr>
            <w:tcW w:w="6000" w:type="dxa"/>
            <w:vAlign w:val="bottom"/>
          </w:tcPr>
          <w:p>
            <w:pPr>
              <w:spacing w:after="0"/>
              <w:rPr>
                <w:sz w:val="11"/>
                <w:szCs w:val="11"/>
                <w:color w:val="auto"/>
              </w:rPr>
            </w:pPr>
          </w:p>
        </w:tc>
        <w:tc>
          <w:tcPr>
            <w:tcW w:w="740" w:type="dxa"/>
            <w:vAlign w:val="bottom"/>
          </w:tcPr>
          <w:p>
            <w:pPr>
              <w:jc w:val="center"/>
              <w:ind w:right="52"/>
              <w:spacing w:after="0" w:line="129" w:lineRule="exact"/>
              <w:rPr>
                <w:sz w:val="20"/>
                <w:szCs w:val="20"/>
                <w:color w:val="auto"/>
              </w:rPr>
            </w:pPr>
            <w:r>
              <w:rPr>
                <w:rFonts w:ascii="Arial" w:cs="Arial" w:eastAsia="Arial" w:hAnsi="Arial"/>
                <w:sz w:val="14"/>
                <w:szCs w:val="14"/>
                <w:b w:val="1"/>
                <w:bCs w:val="1"/>
                <w:color w:val="auto"/>
                <w:w w:val="89"/>
              </w:rPr>
              <w:t>Notional</w:t>
            </w:r>
          </w:p>
        </w:tc>
        <w:tc>
          <w:tcPr>
            <w:tcW w:w="1200" w:type="dxa"/>
            <w:vAlign w:val="bottom"/>
          </w:tcPr>
          <w:p>
            <w:pPr>
              <w:jc w:val="center"/>
              <w:ind w:left="72"/>
              <w:spacing w:after="0" w:line="129" w:lineRule="exact"/>
              <w:rPr>
                <w:sz w:val="20"/>
                <w:szCs w:val="20"/>
                <w:color w:val="auto"/>
              </w:rPr>
            </w:pPr>
            <w:r>
              <w:rPr>
                <w:rFonts w:ascii="Arial" w:cs="Arial" w:eastAsia="Arial" w:hAnsi="Arial"/>
                <w:sz w:val="14"/>
                <w:szCs w:val="14"/>
                <w:b w:val="1"/>
                <w:bCs w:val="1"/>
                <w:color w:val="auto"/>
                <w:w w:val="93"/>
              </w:rPr>
              <w:t>Carrying</w:t>
            </w:r>
          </w:p>
        </w:tc>
        <w:tc>
          <w:tcPr>
            <w:tcW w:w="680" w:type="dxa"/>
            <w:vAlign w:val="bottom"/>
          </w:tcPr>
          <w:p>
            <w:pPr>
              <w:jc w:val="center"/>
              <w:ind w:left="12"/>
              <w:spacing w:after="0" w:line="129" w:lineRule="exact"/>
              <w:rPr>
                <w:sz w:val="20"/>
                <w:szCs w:val="20"/>
                <w:color w:val="auto"/>
              </w:rPr>
            </w:pPr>
            <w:r>
              <w:rPr>
                <w:rFonts w:ascii="Arial" w:cs="Arial" w:eastAsia="Arial" w:hAnsi="Arial"/>
                <w:sz w:val="14"/>
                <w:szCs w:val="14"/>
                <w:b w:val="1"/>
                <w:bCs w:val="1"/>
                <w:color w:val="auto"/>
                <w:w w:val="93"/>
              </w:rPr>
              <w:t>Fair</w:t>
            </w:r>
          </w:p>
        </w:tc>
      </w:tr>
      <w:tr>
        <w:trPr>
          <w:trHeight w:val="174"/>
        </w:trPr>
        <w:tc>
          <w:tcPr>
            <w:tcW w:w="6000" w:type="dxa"/>
            <w:vAlign w:val="bottom"/>
          </w:tcPr>
          <w:p>
            <w:pPr>
              <w:spacing w:after="0"/>
              <w:rPr>
                <w:sz w:val="20"/>
                <w:szCs w:val="20"/>
                <w:color w:val="auto"/>
              </w:rPr>
            </w:pPr>
            <w:r>
              <w:rPr>
                <w:rFonts w:ascii="Arial" w:cs="Arial" w:eastAsia="Arial" w:hAnsi="Arial"/>
                <w:sz w:val="14"/>
                <w:szCs w:val="14"/>
                <w:b w:val="1"/>
                <w:bCs w:val="1"/>
                <w:color w:val="auto"/>
              </w:rPr>
              <w:t>(Amounts in millions)</w:t>
            </w:r>
          </w:p>
        </w:tc>
        <w:tc>
          <w:tcPr>
            <w:tcW w:w="740" w:type="dxa"/>
            <w:vAlign w:val="bottom"/>
          </w:tcPr>
          <w:p>
            <w:pPr>
              <w:jc w:val="center"/>
              <w:ind w:right="32"/>
              <w:spacing w:after="0"/>
              <w:rPr>
                <w:sz w:val="20"/>
                <w:szCs w:val="20"/>
                <w:color w:val="auto"/>
              </w:rPr>
            </w:pPr>
            <w:r>
              <w:rPr>
                <w:rFonts w:ascii="Arial" w:cs="Arial" w:eastAsia="Arial" w:hAnsi="Arial"/>
                <w:sz w:val="14"/>
                <w:szCs w:val="14"/>
                <w:b w:val="1"/>
                <w:bCs w:val="1"/>
                <w:color w:val="auto"/>
                <w:w w:val="86"/>
              </w:rPr>
              <w:t>amount</w:t>
            </w:r>
          </w:p>
        </w:tc>
        <w:tc>
          <w:tcPr>
            <w:tcW w:w="1200" w:type="dxa"/>
            <w:vAlign w:val="bottom"/>
          </w:tcPr>
          <w:p>
            <w:pPr>
              <w:jc w:val="center"/>
              <w:ind w:left="92"/>
              <w:spacing w:after="0"/>
              <w:rPr>
                <w:sz w:val="20"/>
                <w:szCs w:val="20"/>
                <w:color w:val="auto"/>
              </w:rPr>
            </w:pPr>
            <w:r>
              <w:rPr>
                <w:rFonts w:ascii="Arial" w:cs="Arial" w:eastAsia="Arial" w:hAnsi="Arial"/>
                <w:sz w:val="14"/>
                <w:szCs w:val="14"/>
                <w:b w:val="1"/>
                <w:bCs w:val="1"/>
                <w:color w:val="auto"/>
                <w:w w:val="86"/>
              </w:rPr>
              <w:t>amount</w:t>
            </w:r>
          </w:p>
        </w:tc>
        <w:tc>
          <w:tcPr>
            <w:tcW w:w="680" w:type="dxa"/>
            <w:vAlign w:val="bottom"/>
          </w:tcPr>
          <w:p>
            <w:pPr>
              <w:jc w:val="center"/>
              <w:ind w:left="12"/>
              <w:spacing w:after="0"/>
              <w:rPr>
                <w:sz w:val="20"/>
                <w:szCs w:val="20"/>
                <w:color w:val="auto"/>
              </w:rPr>
            </w:pPr>
            <w:r>
              <w:rPr>
                <w:rFonts w:ascii="Arial" w:cs="Arial" w:eastAsia="Arial" w:hAnsi="Arial"/>
                <w:sz w:val="14"/>
                <w:szCs w:val="14"/>
                <w:b w:val="1"/>
                <w:bCs w:val="1"/>
                <w:color w:val="auto"/>
                <w:w w:val="89"/>
              </w:rPr>
              <w:t>value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848995"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848995" cy="8890"/>
                    </a:xfrm>
                    <a:prstGeom prst="rect">
                      <a:avLst/>
                    </a:prstGeom>
                    <a:noFill/>
                  </pic:spPr>
                </pic:pic>
              </a:graphicData>
            </a:graphic>
          </wp:anchor>
        </w:drawing>
        <w:drawing>
          <wp:anchor simplePos="0" relativeHeight="251657728" behindDoc="1" locked="0" layoutInCell="0" allowOverlap="1">
            <wp:simplePos x="0" y="0"/>
            <wp:positionH relativeFrom="column">
              <wp:posOffset>3812540</wp:posOffset>
            </wp:positionH>
            <wp:positionV relativeFrom="paragraph">
              <wp:posOffset>-7620</wp:posOffset>
            </wp:positionV>
            <wp:extent cx="394335"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394335" cy="8890"/>
                    </a:xfrm>
                    <a:prstGeom prst="rect">
                      <a:avLst/>
                    </a:prstGeom>
                    <a:noFill/>
                  </pic:spPr>
                </pic:pic>
              </a:graphicData>
            </a:graphic>
          </wp:anchor>
        </w:drawing>
        <w:drawing>
          <wp:anchor simplePos="0" relativeHeight="251657728" behindDoc="1" locked="0" layoutInCell="0" allowOverlap="1">
            <wp:simplePos x="0" y="0"/>
            <wp:positionH relativeFrom="column">
              <wp:posOffset>4524375</wp:posOffset>
            </wp:positionH>
            <wp:positionV relativeFrom="paragraph">
              <wp:posOffset>-7620</wp:posOffset>
            </wp:positionV>
            <wp:extent cx="94361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94361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22" w:lineRule="exact"/>
        <w:rPr>
          <w:sz w:val="20"/>
          <w:szCs w:val="20"/>
          <w:color w:val="auto"/>
        </w:rPr>
      </w:pPr>
    </w:p>
    <w:p>
      <w:pPr>
        <w:ind w:left="700"/>
        <w:spacing w:after="0"/>
        <w:rPr>
          <w:sz w:val="20"/>
          <w:szCs w:val="20"/>
          <w:color w:val="auto"/>
        </w:rPr>
      </w:pPr>
      <w:r>
        <w:rPr>
          <w:rFonts w:ascii="Arial" w:cs="Arial" w:eastAsia="Arial" w:hAnsi="Arial"/>
          <w:sz w:val="14"/>
          <w:szCs w:val="14"/>
          <w:b w:val="1"/>
          <w:bCs w:val="1"/>
          <w:color w:val="auto"/>
        </w:rPr>
        <w:t>December 31, 2009</w:t>
      </w:r>
    </w:p>
    <w:tbl>
      <w:tblPr>
        <w:tblLayout w:type="fixed"/>
        <w:tblInd w:w="0" w:type="dxa"/>
        <w:tblCellMar>
          <w:top w:w="0" w:type="dxa"/>
          <w:left w:w="0" w:type="dxa"/>
          <w:bottom w:w="0" w:type="dxa"/>
          <w:right w:w="0" w:type="dxa"/>
        </w:tblCellMar>
      </w:tblPr>
      <w:tr>
        <w:trPr>
          <w:trHeight w:val="129"/>
        </w:trPr>
        <w:tc>
          <w:tcPr>
            <w:tcW w:w="760" w:type="dxa"/>
            <w:vAlign w:val="bottom"/>
            <w:tcBorders>
              <w:top w:val="single" w:sz="8" w:color="auto"/>
            </w:tcBorders>
          </w:tcPr>
          <w:p>
            <w:pPr>
              <w:jc w:val="center"/>
              <w:ind w:right="192"/>
              <w:spacing w:after="0" w:line="129" w:lineRule="exact"/>
              <w:rPr>
                <w:sz w:val="20"/>
                <w:szCs w:val="20"/>
                <w:color w:val="auto"/>
              </w:rPr>
            </w:pPr>
            <w:r>
              <w:rPr>
                <w:rFonts w:ascii="Arial" w:cs="Arial" w:eastAsia="Arial" w:hAnsi="Arial"/>
                <w:sz w:val="14"/>
                <w:szCs w:val="14"/>
                <w:b w:val="1"/>
                <w:bCs w:val="1"/>
                <w:color w:val="auto"/>
                <w:w w:val="89"/>
              </w:rPr>
              <w:t>Notional</w:t>
            </w:r>
          </w:p>
        </w:tc>
        <w:tc>
          <w:tcPr>
            <w:tcW w:w="104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3"/>
              </w:rPr>
              <w:t>Carrying</w:t>
            </w:r>
          </w:p>
        </w:tc>
        <w:tc>
          <w:tcPr>
            <w:tcW w:w="680" w:type="dxa"/>
            <w:vAlign w:val="bottom"/>
            <w:tcBorders>
              <w:top w:val="single" w:sz="8" w:color="auto"/>
            </w:tcBorders>
          </w:tcPr>
          <w:p>
            <w:pPr>
              <w:jc w:val="center"/>
              <w:ind w:left="32"/>
              <w:spacing w:after="0" w:line="129" w:lineRule="exact"/>
              <w:rPr>
                <w:sz w:val="20"/>
                <w:szCs w:val="20"/>
                <w:color w:val="auto"/>
              </w:rPr>
            </w:pPr>
            <w:r>
              <w:rPr>
                <w:rFonts w:ascii="Arial" w:cs="Arial" w:eastAsia="Arial" w:hAnsi="Arial"/>
                <w:sz w:val="14"/>
                <w:szCs w:val="14"/>
                <w:b w:val="1"/>
                <w:bCs w:val="1"/>
                <w:color w:val="auto"/>
              </w:rPr>
              <w:t>Fair</w:t>
            </w:r>
          </w:p>
        </w:tc>
      </w:tr>
      <w:tr>
        <w:trPr>
          <w:trHeight w:val="174"/>
        </w:trPr>
        <w:tc>
          <w:tcPr>
            <w:tcW w:w="760" w:type="dxa"/>
            <w:vAlign w:val="bottom"/>
          </w:tcPr>
          <w:p>
            <w:pPr>
              <w:jc w:val="center"/>
              <w:ind w:right="212"/>
              <w:spacing w:after="0"/>
              <w:rPr>
                <w:sz w:val="20"/>
                <w:szCs w:val="20"/>
                <w:color w:val="auto"/>
              </w:rPr>
            </w:pPr>
            <w:r>
              <w:rPr>
                <w:rFonts w:ascii="Arial" w:cs="Arial" w:eastAsia="Arial" w:hAnsi="Arial"/>
                <w:sz w:val="14"/>
                <w:szCs w:val="14"/>
                <w:b w:val="1"/>
                <w:bCs w:val="1"/>
                <w:u w:val="single" w:color="auto"/>
                <w:color w:val="auto"/>
                <w:w w:val="86"/>
              </w:rPr>
              <w:t>amount</w:t>
            </w: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6"/>
              </w:rPr>
              <w:t>amount</w:t>
            </w:r>
          </w:p>
        </w:tc>
        <w:tc>
          <w:tcPr>
            <w:tcW w:w="680" w:type="dxa"/>
            <w:vAlign w:val="bottom"/>
          </w:tcPr>
          <w:p>
            <w:pPr>
              <w:jc w:val="center"/>
              <w:ind w:left="32"/>
              <w:spacing w:after="0"/>
              <w:rPr>
                <w:sz w:val="20"/>
                <w:szCs w:val="20"/>
                <w:color w:val="auto"/>
              </w:rPr>
            </w:pPr>
            <w:r>
              <w:rPr>
                <w:rFonts w:ascii="Arial" w:cs="Arial" w:eastAsia="Arial" w:hAnsi="Arial"/>
                <w:sz w:val="14"/>
                <w:szCs w:val="14"/>
                <w:b w:val="1"/>
                <w:bCs w:val="1"/>
                <w:color w:val="auto"/>
                <w:w w:val="83"/>
              </w:rPr>
              <w:t>value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631190</wp:posOffset>
            </wp:positionH>
            <wp:positionV relativeFrom="paragraph">
              <wp:posOffset>-7620</wp:posOffset>
            </wp:positionV>
            <wp:extent cx="94361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943610" cy="8890"/>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2">
            <w:col w:w="8620" w:space="320"/>
            <w:col w:w="2480"/>
          </w:cols>
          <w:pgMar w:left="240" w:top="459" w:right="239" w:bottom="1440" w:gutter="0" w:footer="0" w:header="0"/>
          <w:type w:val="continuous"/>
        </w:sectPr>
      </w:pPr>
    </w:p>
    <w:p>
      <w:pPr>
        <w:spacing w:after="0"/>
        <w:rPr>
          <w:sz w:val="20"/>
          <w:szCs w:val="20"/>
          <w:color w:val="auto"/>
        </w:rPr>
      </w:pPr>
      <w:r>
        <w:rPr>
          <w:rFonts w:ascii="Arial" w:cs="Arial" w:eastAsia="Arial" w:hAnsi="Arial"/>
          <w:sz w:val="18"/>
          <w:szCs w:val="18"/>
          <w:color w:val="auto"/>
        </w:rPr>
        <w:t>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13716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ind w:left="440"/>
        <w:spacing w:after="0"/>
        <w:tabs>
          <w:tab w:leader="none" w:pos="5980" w:val="left"/>
        </w:tabs>
        <w:rPr>
          <w:sz w:val="20"/>
          <w:szCs w:val="20"/>
          <w:color w:val="auto"/>
        </w:rPr>
      </w:pPr>
      <w:r>
        <w:rPr>
          <w:rFonts w:ascii="Arial" w:cs="Arial" w:eastAsia="Arial" w:hAnsi="Arial"/>
          <w:sz w:val="18"/>
          <w:szCs w:val="18"/>
          <w:color w:val="auto"/>
        </w:rPr>
        <w:t>Commercial mortgage loans</w:t>
      </w:r>
      <w:r>
        <w:rPr>
          <w:sz w:val="20"/>
          <w:szCs w:val="20"/>
          <w:color w:val="auto"/>
        </w:rPr>
        <w:tab/>
      </w:r>
      <w:r>
        <w:rPr>
          <w:rFonts w:ascii="Arial" w:cs="Arial" w:eastAsia="Arial" w:hAnsi="Arial"/>
          <w:sz w:val="16"/>
          <w:szCs w:val="16"/>
          <w:color w:val="auto"/>
        </w:rPr>
        <w:t>$</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Restricted commercial mortgage loans </w:t>
      </w:r>
      <w:r>
        <w:rPr>
          <w:rFonts w:ascii="Arial" w:cs="Arial" w:eastAsia="Arial" w:hAnsi="Arial"/>
          <w:sz w:val="11"/>
          <w:szCs w:val="11"/>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-129540</wp:posOffset>
            </wp:positionV>
            <wp:extent cx="7246620" cy="13716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ind w:left="440"/>
        <w:spacing w:after="0"/>
        <w:rPr>
          <w:sz w:val="20"/>
          <w:szCs w:val="20"/>
          <w:color w:val="auto"/>
        </w:rPr>
      </w:pPr>
      <w:r>
        <w:rPr>
          <w:rFonts w:ascii="Arial" w:cs="Arial" w:eastAsia="Arial" w:hAnsi="Arial"/>
          <w:sz w:val="18"/>
          <w:szCs w:val="18"/>
          <w:color w:val="auto"/>
        </w:rPr>
        <w:t>Other invested assets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-129540</wp:posOffset>
            </wp:positionV>
            <wp:extent cx="7246620" cy="13716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ind w:left="440"/>
        <w:spacing w:after="0"/>
        <w:rPr>
          <w:sz w:val="20"/>
          <w:szCs w:val="20"/>
          <w:color w:val="auto"/>
        </w:rPr>
      </w:pPr>
      <w:r>
        <w:rPr>
          <w:rFonts w:ascii="Arial" w:cs="Arial" w:eastAsia="Arial" w:hAnsi="Arial"/>
          <w:sz w:val="18"/>
          <w:szCs w:val="18"/>
          <w:color w:val="auto"/>
        </w:rPr>
        <w:t xml:space="preserve">Short-term borrowings </w:t>
      </w:r>
      <w:r>
        <w:rPr>
          <w:rFonts w:ascii="Arial" w:cs="Arial" w:eastAsia="Arial" w:hAnsi="Arial"/>
          <w:sz w:val="11"/>
          <w:szCs w:val="11"/>
          <w:color w:val="auto"/>
        </w:rPr>
        <w:t>(3)</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Long-term borrowings </w:t>
      </w:r>
      <w:r>
        <w:rPr>
          <w:rFonts w:ascii="Arial" w:cs="Arial" w:eastAsia="Arial" w:hAnsi="Arial"/>
          <w:sz w:val="11"/>
          <w:szCs w:val="11"/>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-129540</wp:posOffset>
            </wp:positionV>
            <wp:extent cx="7246620" cy="13716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ind w:left="440"/>
        <w:spacing w:after="0"/>
        <w:rPr>
          <w:sz w:val="20"/>
          <w:szCs w:val="20"/>
          <w:color w:val="auto"/>
        </w:rPr>
      </w:pPr>
      <w:r>
        <w:rPr>
          <w:rFonts w:ascii="Arial" w:cs="Arial" w:eastAsia="Arial" w:hAnsi="Arial"/>
          <w:sz w:val="18"/>
          <w:szCs w:val="18"/>
          <w:color w:val="auto"/>
        </w:rPr>
        <w:t xml:space="preserve">Non-recourse funding obligations </w:t>
      </w:r>
      <w:r>
        <w:rPr>
          <w:rFonts w:ascii="Arial" w:cs="Arial" w:eastAsia="Arial" w:hAnsi="Arial"/>
          <w:sz w:val="11"/>
          <w:szCs w:val="11"/>
          <w:color w:val="auto"/>
        </w:rPr>
        <w:t>(3)</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Borrowings related to securitization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-129540</wp:posOffset>
            </wp:positionV>
            <wp:extent cx="7246620" cy="27432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ind w:left="660"/>
        <w:spacing w:after="0"/>
        <w:rPr>
          <w:sz w:val="20"/>
          <w:szCs w:val="20"/>
          <w:color w:val="auto"/>
        </w:rPr>
      </w:pPr>
      <w:r>
        <w:rPr>
          <w:rFonts w:ascii="Arial" w:cs="Arial" w:eastAsia="Arial" w:hAnsi="Arial"/>
          <w:sz w:val="18"/>
          <w:szCs w:val="18"/>
          <w:color w:val="auto"/>
        </w:rPr>
        <w:t xml:space="preserve">entities </w:t>
      </w:r>
      <w:r>
        <w:rPr>
          <w:rFonts w:ascii="Arial" w:cs="Arial" w:eastAsia="Arial" w:hAnsi="Arial"/>
          <w:sz w:val="11"/>
          <w:szCs w:val="11"/>
          <w:color w:val="auto"/>
        </w:rPr>
        <w:t>(2), (3)</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Investment contracts</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Performance guarantees, principally letters of credit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-129540</wp:posOffset>
            </wp:positionV>
            <wp:extent cx="7246620" cy="13716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Other firm commitments:</w:t>
      </w:r>
    </w:p>
    <w:p>
      <w:pPr>
        <w:spacing w:after="0" w:line="9" w:lineRule="exact"/>
        <w:rPr>
          <w:sz w:val="20"/>
          <w:szCs w:val="20"/>
          <w:color w:val="auto"/>
        </w:rPr>
      </w:pPr>
    </w:p>
    <w:p>
      <w:pPr>
        <w:ind w:left="440" w:right="2300"/>
        <w:spacing w:after="0" w:line="361" w:lineRule="auto"/>
        <w:rPr>
          <w:sz w:val="20"/>
          <w:szCs w:val="20"/>
          <w:color w:val="auto"/>
        </w:rPr>
      </w:pPr>
      <w:r>
        <w:rPr>
          <w:rFonts w:ascii="Arial" w:cs="Arial" w:eastAsia="Arial" w:hAnsi="Arial"/>
          <w:sz w:val="15"/>
          <w:szCs w:val="15"/>
          <w:color w:val="auto"/>
        </w:rPr>
        <w:t>Commitments to fund limited partnerships Ordinary course of business lending commitments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-327660</wp:posOffset>
            </wp:positionV>
            <wp:extent cx="7246620" cy="13716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5" w:lineRule="exact"/>
        <w:rPr>
          <w:sz w:val="20"/>
          <w:szCs w:val="20"/>
          <w:color w:val="auto"/>
        </w:rPr>
      </w:pPr>
    </w:p>
    <w:p>
      <w:pPr>
        <w:ind w:left="460" w:hanging="452"/>
        <w:spacing w:after="0"/>
        <w:tabs>
          <w:tab w:leader="none" w:pos="460" w:val="left"/>
        </w:tabs>
        <w:numPr>
          <w:ilvl w:val="0"/>
          <w:numId w:val="24"/>
        </w:numPr>
        <w:rPr>
          <w:rFonts w:ascii="Arial" w:cs="Arial" w:eastAsia="Arial" w:hAnsi="Arial"/>
          <w:sz w:val="22"/>
          <w:szCs w:val="22"/>
          <w:color w:val="auto"/>
          <w:vertAlign w:val="superscript"/>
        </w:rPr>
      </w:pPr>
      <w:r>
        <w:rPr>
          <w:rFonts w:ascii="Arial" w:cs="Arial" w:eastAsia="Arial" w:hAnsi="Arial"/>
          <w:sz w:val="18"/>
          <w:szCs w:val="18"/>
          <w:color w:val="auto"/>
        </w:rPr>
        <w:t>These financial instruments do not have notional amounts.</w:t>
      </w:r>
    </w:p>
    <w:p>
      <w:pPr>
        <w:spacing w:after="0" w:line="7" w:lineRule="exact"/>
        <w:rPr>
          <w:rFonts w:ascii="Arial" w:cs="Arial" w:eastAsia="Arial" w:hAnsi="Arial"/>
          <w:sz w:val="22"/>
          <w:szCs w:val="22"/>
          <w:color w:val="auto"/>
          <w:vertAlign w:val="superscript"/>
        </w:rPr>
      </w:pPr>
    </w:p>
    <w:p>
      <w:pPr>
        <w:ind w:left="460" w:hanging="452"/>
        <w:spacing w:after="0" w:line="217" w:lineRule="auto"/>
        <w:tabs>
          <w:tab w:leader="none" w:pos="460" w:val="left"/>
        </w:tabs>
        <w:numPr>
          <w:ilvl w:val="0"/>
          <w:numId w:val="24"/>
        </w:numPr>
        <w:rPr>
          <w:rFonts w:ascii="Arial" w:cs="Arial" w:eastAsia="Arial" w:hAnsi="Arial"/>
          <w:sz w:val="20"/>
          <w:szCs w:val="20"/>
          <w:color w:val="auto"/>
          <w:vertAlign w:val="superscript"/>
        </w:rPr>
      </w:pPr>
      <w:r>
        <w:rPr>
          <w:rFonts w:ascii="Arial" w:cs="Arial" w:eastAsia="Arial" w:hAnsi="Arial"/>
          <w:sz w:val="16"/>
          <w:szCs w:val="16"/>
          <w:color w:val="auto"/>
        </w:rPr>
        <w:t>See note 7 for additional information related to consolidated securitization entities.</w:t>
      </w:r>
    </w:p>
    <w:p>
      <w:pPr>
        <w:spacing w:after="0" w:line="8" w:lineRule="exact"/>
        <w:rPr>
          <w:rFonts w:ascii="Arial" w:cs="Arial" w:eastAsia="Arial" w:hAnsi="Arial"/>
          <w:sz w:val="20"/>
          <w:szCs w:val="20"/>
          <w:color w:val="auto"/>
          <w:vertAlign w:val="superscript"/>
        </w:rPr>
      </w:pPr>
    </w:p>
    <w:p>
      <w:pPr>
        <w:ind w:left="460" w:hanging="452"/>
        <w:spacing w:after="0" w:line="197" w:lineRule="auto"/>
        <w:tabs>
          <w:tab w:leader="none" w:pos="460" w:val="left"/>
        </w:tabs>
        <w:numPr>
          <w:ilvl w:val="0"/>
          <w:numId w:val="24"/>
        </w:numPr>
        <w:rPr>
          <w:rFonts w:ascii="Arial" w:cs="Arial" w:eastAsia="Arial" w:hAnsi="Arial"/>
          <w:sz w:val="22"/>
          <w:szCs w:val="22"/>
          <w:color w:val="auto"/>
          <w:vertAlign w:val="superscript"/>
        </w:rPr>
      </w:pPr>
      <w:r>
        <w:rPr>
          <w:rFonts w:ascii="Arial" w:cs="Arial" w:eastAsia="Arial" w:hAnsi="Arial"/>
          <w:sz w:val="18"/>
          <w:szCs w:val="18"/>
          <w:color w:val="auto"/>
        </w:rPr>
        <w:t>See note 9 for additional information related to borrowings.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-434975</wp:posOffset>
            </wp:positionV>
            <wp:extent cx="72898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580" w:type="dxa"/>
            <w:vAlign w:val="bottom"/>
          </w:tcPr>
          <w:p>
            <w:pPr>
              <w:jc w:val="right"/>
              <w:ind w:right="115"/>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$ 7,208</w:t>
            </w:r>
          </w:p>
        </w:tc>
        <w:tc>
          <w:tcPr>
            <w:tcW w:w="760" w:type="dxa"/>
            <w:vAlign w:val="bottom"/>
          </w:tcPr>
          <w:p>
            <w:pPr>
              <w:jc w:val="right"/>
              <w:spacing w:after="0"/>
              <w:rPr>
                <w:sz w:val="20"/>
                <w:szCs w:val="20"/>
                <w:color w:val="auto"/>
              </w:rPr>
            </w:pPr>
            <w:r>
              <w:rPr>
                <w:rFonts w:ascii="Arial" w:cs="Arial" w:eastAsia="Arial" w:hAnsi="Arial"/>
                <w:sz w:val="18"/>
                <w:szCs w:val="18"/>
                <w:color w:val="auto"/>
              </w:rPr>
              <w:t>$ 7,211</w:t>
            </w:r>
          </w:p>
        </w:tc>
      </w:tr>
      <w:tr>
        <w:trPr>
          <w:trHeight w:val="216"/>
        </w:trPr>
        <w:tc>
          <w:tcPr>
            <w:tcW w:w="580" w:type="dxa"/>
            <w:vAlign w:val="bottom"/>
          </w:tcPr>
          <w:p>
            <w:pPr>
              <w:jc w:val="right"/>
              <w:ind w:right="115"/>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535</w:t>
            </w:r>
          </w:p>
        </w:tc>
        <w:tc>
          <w:tcPr>
            <w:tcW w:w="760" w:type="dxa"/>
            <w:vAlign w:val="bottom"/>
          </w:tcPr>
          <w:p>
            <w:pPr>
              <w:jc w:val="right"/>
              <w:spacing w:after="0"/>
              <w:rPr>
                <w:sz w:val="20"/>
                <w:szCs w:val="20"/>
                <w:color w:val="auto"/>
              </w:rPr>
            </w:pPr>
            <w:r>
              <w:rPr>
                <w:rFonts w:ascii="Arial" w:cs="Arial" w:eastAsia="Arial" w:hAnsi="Arial"/>
                <w:sz w:val="18"/>
                <w:szCs w:val="18"/>
                <w:color w:val="auto"/>
              </w:rPr>
              <w:t>554</w:t>
            </w:r>
          </w:p>
        </w:tc>
      </w:tr>
      <w:tr>
        <w:trPr>
          <w:trHeight w:val="222"/>
        </w:trPr>
        <w:tc>
          <w:tcPr>
            <w:tcW w:w="580" w:type="dxa"/>
            <w:vAlign w:val="bottom"/>
          </w:tcPr>
          <w:p>
            <w:pPr>
              <w:jc w:val="right"/>
              <w:ind w:right="115"/>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328</w:t>
            </w:r>
          </w:p>
        </w:tc>
        <w:tc>
          <w:tcPr>
            <w:tcW w:w="760" w:type="dxa"/>
            <w:vAlign w:val="bottom"/>
          </w:tcPr>
          <w:p>
            <w:pPr>
              <w:jc w:val="right"/>
              <w:spacing w:after="0"/>
              <w:rPr>
                <w:sz w:val="20"/>
                <w:szCs w:val="20"/>
                <w:color w:val="auto"/>
              </w:rPr>
            </w:pPr>
            <w:r>
              <w:rPr>
                <w:rFonts w:ascii="Arial" w:cs="Arial" w:eastAsia="Arial" w:hAnsi="Arial"/>
                <w:sz w:val="18"/>
                <w:szCs w:val="18"/>
                <w:color w:val="auto"/>
              </w:rPr>
              <w:t>332</w:t>
            </w:r>
          </w:p>
        </w:tc>
      </w:tr>
      <w:tr>
        <w:trPr>
          <w:trHeight w:val="426"/>
        </w:trPr>
        <w:tc>
          <w:tcPr>
            <w:tcW w:w="580" w:type="dxa"/>
            <w:vAlign w:val="bottom"/>
          </w:tcPr>
          <w:p>
            <w:pPr>
              <w:jc w:val="right"/>
              <w:ind w:right="115"/>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730</w:t>
            </w:r>
          </w:p>
        </w:tc>
        <w:tc>
          <w:tcPr>
            <w:tcW w:w="760" w:type="dxa"/>
            <w:vAlign w:val="bottom"/>
          </w:tcPr>
          <w:p>
            <w:pPr>
              <w:jc w:val="right"/>
              <w:spacing w:after="0"/>
              <w:rPr>
                <w:sz w:val="20"/>
                <w:szCs w:val="20"/>
                <w:color w:val="auto"/>
              </w:rPr>
            </w:pPr>
            <w:r>
              <w:rPr>
                <w:rFonts w:ascii="Arial" w:cs="Arial" w:eastAsia="Arial" w:hAnsi="Arial"/>
                <w:sz w:val="18"/>
                <w:szCs w:val="18"/>
                <w:color w:val="auto"/>
              </w:rPr>
              <w:t>730</w:t>
            </w:r>
          </w:p>
        </w:tc>
      </w:tr>
      <w:tr>
        <w:trPr>
          <w:trHeight w:val="216"/>
        </w:trPr>
        <w:tc>
          <w:tcPr>
            <w:tcW w:w="580" w:type="dxa"/>
            <w:vAlign w:val="bottom"/>
          </w:tcPr>
          <w:p>
            <w:pPr>
              <w:jc w:val="right"/>
              <w:ind w:right="115"/>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4,331</w:t>
            </w:r>
          </w:p>
        </w:tc>
        <w:tc>
          <w:tcPr>
            <w:tcW w:w="760" w:type="dxa"/>
            <w:vAlign w:val="bottom"/>
          </w:tcPr>
          <w:p>
            <w:pPr>
              <w:jc w:val="right"/>
              <w:spacing w:after="0"/>
              <w:rPr>
                <w:sz w:val="20"/>
                <w:szCs w:val="20"/>
                <w:color w:val="auto"/>
              </w:rPr>
            </w:pPr>
            <w:r>
              <w:rPr>
                <w:rFonts w:ascii="Arial" w:cs="Arial" w:eastAsia="Arial" w:hAnsi="Arial"/>
                <w:sz w:val="18"/>
                <w:szCs w:val="18"/>
                <w:color w:val="auto"/>
              </w:rPr>
              <w:t>4,127</w:t>
            </w:r>
          </w:p>
        </w:tc>
      </w:tr>
      <w:tr>
        <w:trPr>
          <w:trHeight w:val="222"/>
        </w:trPr>
        <w:tc>
          <w:tcPr>
            <w:tcW w:w="580" w:type="dxa"/>
            <w:vAlign w:val="bottom"/>
          </w:tcPr>
          <w:p>
            <w:pPr>
              <w:jc w:val="right"/>
              <w:ind w:right="115"/>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3,437</w:t>
            </w:r>
          </w:p>
        </w:tc>
        <w:tc>
          <w:tcPr>
            <w:tcW w:w="760" w:type="dxa"/>
            <w:vAlign w:val="bottom"/>
          </w:tcPr>
          <w:p>
            <w:pPr>
              <w:jc w:val="right"/>
              <w:spacing w:after="0"/>
              <w:rPr>
                <w:sz w:val="20"/>
                <w:szCs w:val="20"/>
                <w:color w:val="auto"/>
              </w:rPr>
            </w:pPr>
            <w:r>
              <w:rPr>
                <w:rFonts w:ascii="Arial" w:cs="Arial" w:eastAsia="Arial" w:hAnsi="Arial"/>
                <w:sz w:val="18"/>
                <w:szCs w:val="18"/>
                <w:color w:val="auto"/>
              </w:rPr>
              <w:t>1,468</w:t>
            </w:r>
          </w:p>
        </w:tc>
      </w:tr>
      <w:tr>
        <w:trPr>
          <w:trHeight w:val="426"/>
        </w:trPr>
        <w:tc>
          <w:tcPr>
            <w:tcW w:w="580" w:type="dxa"/>
            <w:vAlign w:val="bottom"/>
          </w:tcPr>
          <w:p>
            <w:pPr>
              <w:jc w:val="right"/>
              <w:ind w:right="115"/>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474</w:t>
            </w:r>
          </w:p>
        </w:tc>
        <w:tc>
          <w:tcPr>
            <w:tcW w:w="760" w:type="dxa"/>
            <w:vAlign w:val="bottom"/>
          </w:tcPr>
          <w:p>
            <w:pPr>
              <w:jc w:val="right"/>
              <w:spacing w:after="0"/>
              <w:rPr>
                <w:sz w:val="20"/>
                <w:szCs w:val="20"/>
                <w:color w:val="auto"/>
              </w:rPr>
            </w:pPr>
            <w:r>
              <w:rPr>
                <w:rFonts w:ascii="Arial" w:cs="Arial" w:eastAsia="Arial" w:hAnsi="Arial"/>
                <w:sz w:val="18"/>
                <w:szCs w:val="18"/>
                <w:color w:val="auto"/>
              </w:rPr>
              <w:t>497</w:t>
            </w:r>
          </w:p>
        </w:tc>
      </w:tr>
      <w:tr>
        <w:trPr>
          <w:trHeight w:val="216"/>
        </w:trPr>
        <w:tc>
          <w:tcPr>
            <w:tcW w:w="580" w:type="dxa"/>
            <w:vAlign w:val="bottom"/>
          </w:tcPr>
          <w:p>
            <w:pPr>
              <w:jc w:val="right"/>
              <w:ind w:right="115"/>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21,287</w:t>
            </w:r>
          </w:p>
        </w:tc>
        <w:tc>
          <w:tcPr>
            <w:tcW w:w="760" w:type="dxa"/>
            <w:vAlign w:val="bottom"/>
          </w:tcPr>
          <w:p>
            <w:pPr>
              <w:jc w:val="right"/>
              <w:spacing w:after="0"/>
              <w:rPr>
                <w:sz w:val="20"/>
                <w:szCs w:val="20"/>
                <w:color w:val="auto"/>
              </w:rPr>
            </w:pPr>
            <w:r>
              <w:rPr>
                <w:rFonts w:ascii="Arial" w:cs="Arial" w:eastAsia="Arial" w:hAnsi="Arial"/>
                <w:sz w:val="18"/>
                <w:szCs w:val="18"/>
                <w:color w:val="auto"/>
              </w:rPr>
              <w:t>22,048</w:t>
            </w:r>
          </w:p>
        </w:tc>
      </w:tr>
      <w:tr>
        <w:trPr>
          <w:trHeight w:val="222"/>
        </w:trPr>
        <w:tc>
          <w:tcPr>
            <w:tcW w:w="580" w:type="dxa"/>
            <w:vAlign w:val="bottom"/>
          </w:tcPr>
          <w:p>
            <w:pPr>
              <w:jc w:val="right"/>
              <w:ind w:right="255"/>
              <w:spacing w:after="0"/>
              <w:rPr>
                <w:sz w:val="20"/>
                <w:szCs w:val="20"/>
                <w:color w:val="auto"/>
              </w:rPr>
            </w:pPr>
            <w:r>
              <w:rPr>
                <w:rFonts w:ascii="Arial" w:cs="Arial" w:eastAsia="Arial" w:hAnsi="Arial"/>
                <w:sz w:val="18"/>
                <w:szCs w:val="18"/>
                <w:color w:val="auto"/>
              </w:rPr>
              <w:t>77</w:t>
            </w:r>
          </w:p>
        </w:tc>
        <w:tc>
          <w:tcPr>
            <w:tcW w:w="920" w:type="dxa"/>
            <w:vAlign w:val="bottom"/>
          </w:tcPr>
          <w:p>
            <w:pPr>
              <w:jc w:val="right"/>
              <w:ind w:right="152"/>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426"/>
        </w:trPr>
        <w:tc>
          <w:tcPr>
            <w:tcW w:w="580" w:type="dxa"/>
            <w:vAlign w:val="bottom"/>
          </w:tcPr>
          <w:p>
            <w:pPr>
              <w:jc w:val="right"/>
              <w:ind w:right="255"/>
              <w:spacing w:after="0"/>
              <w:rPr>
                <w:sz w:val="20"/>
                <w:szCs w:val="20"/>
                <w:color w:val="auto"/>
              </w:rPr>
            </w:pPr>
            <w:r>
              <w:rPr>
                <w:rFonts w:ascii="Arial" w:cs="Arial" w:eastAsia="Arial" w:hAnsi="Arial"/>
                <w:sz w:val="18"/>
                <w:szCs w:val="18"/>
                <w:color w:val="auto"/>
                <w:w w:val="79"/>
              </w:rPr>
              <w:t>143</w:t>
            </w:r>
          </w:p>
        </w:tc>
        <w:tc>
          <w:tcPr>
            <w:tcW w:w="920" w:type="dxa"/>
            <w:vAlign w:val="bottom"/>
          </w:tcPr>
          <w:p>
            <w:pPr>
              <w:jc w:val="right"/>
              <w:ind w:right="152"/>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22"/>
        </w:trPr>
        <w:tc>
          <w:tcPr>
            <w:tcW w:w="580" w:type="dxa"/>
            <w:vAlign w:val="bottom"/>
          </w:tcPr>
          <w:p>
            <w:pPr>
              <w:jc w:val="right"/>
              <w:ind w:right="255"/>
              <w:spacing w:after="0"/>
              <w:rPr>
                <w:sz w:val="20"/>
                <w:szCs w:val="20"/>
                <w:color w:val="auto"/>
              </w:rPr>
            </w:pPr>
            <w:r>
              <w:rPr>
                <w:rFonts w:ascii="Arial" w:cs="Arial" w:eastAsia="Arial" w:hAnsi="Arial"/>
                <w:sz w:val="18"/>
                <w:szCs w:val="18"/>
                <w:color w:val="auto"/>
              </w:rPr>
              <w:t>5</w:t>
            </w:r>
          </w:p>
        </w:tc>
        <w:tc>
          <w:tcPr>
            <w:tcW w:w="920" w:type="dxa"/>
            <w:vAlign w:val="bottom"/>
          </w:tcPr>
          <w:p>
            <w:pPr>
              <w:jc w:val="right"/>
              <w:ind w:right="152"/>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2"/>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820" w:type="dxa"/>
            <w:vAlign w:val="bottom"/>
          </w:tcPr>
          <w:p>
            <w:pPr>
              <w:jc w:val="right"/>
              <w:ind w:right="138"/>
              <w:spacing w:after="0"/>
              <w:rPr>
                <w:sz w:val="20"/>
                <w:szCs w:val="20"/>
                <w:color w:val="auto"/>
              </w:rPr>
            </w:pPr>
            <w:r>
              <w:rPr>
                <w:rFonts w:ascii="Arial" w:cs="Arial" w:eastAsia="Arial" w:hAnsi="Arial"/>
                <w:sz w:val="18"/>
                <w:szCs w:val="18"/>
                <w:color w:val="auto"/>
                <w:w w:val="88"/>
              </w:rPr>
              <w:t>$</w:t>
            </w:r>
            <w:r>
              <w:rPr>
                <w:rFonts w:ascii="Arial" w:cs="Arial" w:eastAsia="Arial" w:hAnsi="Arial"/>
                <w:sz w:val="11"/>
                <w:szCs w:val="11"/>
                <w:color w:val="auto"/>
                <w:w w:val="88"/>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$ 7,499</w:t>
            </w:r>
          </w:p>
        </w:tc>
        <w:tc>
          <w:tcPr>
            <w:tcW w:w="740" w:type="dxa"/>
            <w:vAlign w:val="bottom"/>
          </w:tcPr>
          <w:p>
            <w:pPr>
              <w:jc w:val="right"/>
              <w:spacing w:after="0"/>
              <w:rPr>
                <w:sz w:val="20"/>
                <w:szCs w:val="20"/>
                <w:color w:val="auto"/>
              </w:rPr>
            </w:pPr>
            <w:r>
              <w:rPr>
                <w:rFonts w:ascii="Arial" w:cs="Arial" w:eastAsia="Arial" w:hAnsi="Arial"/>
                <w:sz w:val="18"/>
                <w:szCs w:val="18"/>
                <w:color w:val="auto"/>
              </w:rPr>
              <w:t>$ 7,213</w:t>
            </w:r>
          </w:p>
        </w:tc>
      </w:tr>
      <w:tr>
        <w:trPr>
          <w:trHeight w:val="216"/>
        </w:trPr>
        <w:tc>
          <w:tcPr>
            <w:tcW w:w="820" w:type="dxa"/>
            <w:vAlign w:val="bottom"/>
          </w:tcPr>
          <w:p>
            <w:pPr>
              <w:jc w:val="right"/>
              <w:ind w:right="138"/>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172"/>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2"/>
        </w:trPr>
        <w:tc>
          <w:tcPr>
            <w:tcW w:w="820" w:type="dxa"/>
            <w:vAlign w:val="bottom"/>
          </w:tcPr>
          <w:p>
            <w:pPr>
              <w:jc w:val="right"/>
              <w:ind w:right="138"/>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1,766</w:t>
            </w:r>
          </w:p>
        </w:tc>
        <w:tc>
          <w:tcPr>
            <w:tcW w:w="740" w:type="dxa"/>
            <w:vAlign w:val="bottom"/>
          </w:tcPr>
          <w:p>
            <w:pPr>
              <w:jc w:val="right"/>
              <w:spacing w:after="0"/>
              <w:rPr>
                <w:sz w:val="20"/>
                <w:szCs w:val="20"/>
                <w:color w:val="auto"/>
              </w:rPr>
            </w:pPr>
            <w:r>
              <w:rPr>
                <w:rFonts w:ascii="Arial" w:cs="Arial" w:eastAsia="Arial" w:hAnsi="Arial"/>
                <w:sz w:val="18"/>
                <w:szCs w:val="18"/>
                <w:color w:val="auto"/>
              </w:rPr>
              <w:t>1,769</w:t>
            </w:r>
          </w:p>
        </w:tc>
      </w:tr>
      <w:tr>
        <w:trPr>
          <w:trHeight w:val="426"/>
        </w:trPr>
        <w:tc>
          <w:tcPr>
            <w:tcW w:w="820" w:type="dxa"/>
            <w:vAlign w:val="bottom"/>
          </w:tcPr>
          <w:p>
            <w:pPr>
              <w:jc w:val="right"/>
              <w:ind w:right="138"/>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930</w:t>
            </w:r>
          </w:p>
        </w:tc>
        <w:tc>
          <w:tcPr>
            <w:tcW w:w="740" w:type="dxa"/>
            <w:vAlign w:val="bottom"/>
          </w:tcPr>
          <w:p>
            <w:pPr>
              <w:jc w:val="right"/>
              <w:spacing w:after="0"/>
              <w:rPr>
                <w:sz w:val="20"/>
                <w:szCs w:val="20"/>
                <w:color w:val="auto"/>
              </w:rPr>
            </w:pPr>
            <w:r>
              <w:rPr>
                <w:rFonts w:ascii="Arial" w:cs="Arial" w:eastAsia="Arial" w:hAnsi="Arial"/>
                <w:sz w:val="18"/>
                <w:szCs w:val="18"/>
                <w:color w:val="auto"/>
              </w:rPr>
              <w:t>930</w:t>
            </w:r>
          </w:p>
        </w:tc>
      </w:tr>
      <w:tr>
        <w:trPr>
          <w:trHeight w:val="216"/>
        </w:trPr>
        <w:tc>
          <w:tcPr>
            <w:tcW w:w="820" w:type="dxa"/>
            <w:vAlign w:val="bottom"/>
          </w:tcPr>
          <w:p>
            <w:pPr>
              <w:jc w:val="right"/>
              <w:ind w:right="138"/>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3,641</w:t>
            </w:r>
          </w:p>
        </w:tc>
        <w:tc>
          <w:tcPr>
            <w:tcW w:w="740" w:type="dxa"/>
            <w:vAlign w:val="bottom"/>
          </w:tcPr>
          <w:p>
            <w:pPr>
              <w:jc w:val="right"/>
              <w:spacing w:after="0"/>
              <w:rPr>
                <w:sz w:val="20"/>
                <w:szCs w:val="20"/>
                <w:color w:val="auto"/>
              </w:rPr>
            </w:pPr>
            <w:r>
              <w:rPr>
                <w:rFonts w:ascii="Arial" w:cs="Arial" w:eastAsia="Arial" w:hAnsi="Arial"/>
                <w:sz w:val="18"/>
                <w:szCs w:val="18"/>
                <w:color w:val="auto"/>
              </w:rPr>
              <w:t>3,291</w:t>
            </w:r>
          </w:p>
        </w:tc>
      </w:tr>
      <w:tr>
        <w:trPr>
          <w:trHeight w:val="222"/>
        </w:trPr>
        <w:tc>
          <w:tcPr>
            <w:tcW w:w="820" w:type="dxa"/>
            <w:vAlign w:val="bottom"/>
          </w:tcPr>
          <w:p>
            <w:pPr>
              <w:jc w:val="right"/>
              <w:ind w:right="138"/>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3,443</w:t>
            </w:r>
          </w:p>
        </w:tc>
        <w:tc>
          <w:tcPr>
            <w:tcW w:w="740" w:type="dxa"/>
            <w:vAlign w:val="bottom"/>
          </w:tcPr>
          <w:p>
            <w:pPr>
              <w:jc w:val="right"/>
              <w:spacing w:after="0"/>
              <w:rPr>
                <w:sz w:val="20"/>
                <w:szCs w:val="20"/>
                <w:color w:val="auto"/>
              </w:rPr>
            </w:pPr>
            <w:r>
              <w:rPr>
                <w:rFonts w:ascii="Arial" w:cs="Arial" w:eastAsia="Arial" w:hAnsi="Arial"/>
                <w:sz w:val="18"/>
                <w:szCs w:val="18"/>
                <w:color w:val="auto"/>
              </w:rPr>
              <w:t>1,674</w:t>
            </w:r>
          </w:p>
        </w:tc>
      </w:tr>
      <w:tr>
        <w:trPr>
          <w:trHeight w:val="426"/>
        </w:trPr>
        <w:tc>
          <w:tcPr>
            <w:tcW w:w="820" w:type="dxa"/>
            <w:vAlign w:val="bottom"/>
          </w:tcPr>
          <w:p>
            <w:pPr>
              <w:jc w:val="right"/>
              <w:ind w:right="138"/>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172"/>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820" w:type="dxa"/>
            <w:vAlign w:val="bottom"/>
          </w:tcPr>
          <w:p>
            <w:pPr>
              <w:jc w:val="right"/>
              <w:ind w:right="138"/>
              <w:spacing w:after="0"/>
              <w:rPr>
                <w:sz w:val="20"/>
                <w:szCs w:val="20"/>
                <w:color w:val="auto"/>
              </w:rPr>
            </w:pPr>
            <w:r>
              <w:rPr>
                <w:rFonts w:ascii="Arial" w:cs="Arial" w:eastAsia="Arial" w:hAnsi="Arial"/>
                <w:sz w:val="11"/>
                <w:szCs w:val="11"/>
                <w:color w:val="auto"/>
              </w:rPr>
              <w:t>(1)</w:t>
            </w:r>
          </w:p>
        </w:tc>
        <w:tc>
          <w:tcPr>
            <w:tcW w:w="920" w:type="dxa"/>
            <w:vAlign w:val="bottom"/>
          </w:tcPr>
          <w:p>
            <w:pPr>
              <w:jc w:val="right"/>
              <w:ind w:right="72"/>
              <w:spacing w:after="0"/>
              <w:rPr>
                <w:sz w:val="20"/>
                <w:szCs w:val="20"/>
                <w:color w:val="auto"/>
              </w:rPr>
            </w:pPr>
            <w:r>
              <w:rPr>
                <w:rFonts w:ascii="Arial" w:cs="Arial" w:eastAsia="Arial" w:hAnsi="Arial"/>
                <w:sz w:val="18"/>
                <w:szCs w:val="18"/>
                <w:color w:val="auto"/>
              </w:rPr>
              <w:t>21,515</w:t>
            </w:r>
          </w:p>
        </w:tc>
        <w:tc>
          <w:tcPr>
            <w:tcW w:w="740" w:type="dxa"/>
            <w:vAlign w:val="bottom"/>
          </w:tcPr>
          <w:p>
            <w:pPr>
              <w:jc w:val="right"/>
              <w:spacing w:after="0"/>
              <w:rPr>
                <w:sz w:val="20"/>
                <w:szCs w:val="20"/>
                <w:color w:val="auto"/>
              </w:rPr>
            </w:pPr>
            <w:r>
              <w:rPr>
                <w:rFonts w:ascii="Arial" w:cs="Arial" w:eastAsia="Arial" w:hAnsi="Arial"/>
                <w:sz w:val="18"/>
                <w:szCs w:val="18"/>
                <w:color w:val="auto"/>
              </w:rPr>
              <w:t>21,743</w:t>
            </w:r>
          </w:p>
        </w:tc>
      </w:tr>
      <w:tr>
        <w:trPr>
          <w:trHeight w:val="222"/>
        </w:trPr>
        <w:tc>
          <w:tcPr>
            <w:tcW w:w="820" w:type="dxa"/>
            <w:vAlign w:val="bottom"/>
          </w:tcPr>
          <w:p>
            <w:pPr>
              <w:ind w:left="240"/>
              <w:spacing w:after="0"/>
              <w:rPr>
                <w:sz w:val="20"/>
                <w:szCs w:val="20"/>
                <w:color w:val="auto"/>
              </w:rPr>
            </w:pPr>
            <w:r>
              <w:rPr>
                <w:rFonts w:ascii="Arial" w:cs="Arial" w:eastAsia="Arial" w:hAnsi="Arial"/>
                <w:sz w:val="18"/>
                <w:szCs w:val="18"/>
                <w:color w:val="auto"/>
              </w:rPr>
              <w:t>117</w:t>
            </w:r>
          </w:p>
        </w:tc>
        <w:tc>
          <w:tcPr>
            <w:tcW w:w="920" w:type="dxa"/>
            <w:vAlign w:val="bottom"/>
          </w:tcPr>
          <w:p>
            <w:pPr>
              <w:jc w:val="right"/>
              <w:ind w:right="172"/>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426"/>
        </w:trPr>
        <w:tc>
          <w:tcPr>
            <w:tcW w:w="820" w:type="dxa"/>
            <w:vAlign w:val="bottom"/>
          </w:tcPr>
          <w:p>
            <w:pPr>
              <w:ind w:left="240"/>
              <w:spacing w:after="0"/>
              <w:rPr>
                <w:sz w:val="20"/>
                <w:szCs w:val="20"/>
                <w:color w:val="auto"/>
              </w:rPr>
            </w:pPr>
            <w:r>
              <w:rPr>
                <w:rFonts w:ascii="Arial" w:cs="Arial" w:eastAsia="Arial" w:hAnsi="Arial"/>
                <w:sz w:val="18"/>
                <w:szCs w:val="18"/>
                <w:color w:val="auto"/>
              </w:rPr>
              <w:t>194</w:t>
            </w:r>
          </w:p>
        </w:tc>
        <w:tc>
          <w:tcPr>
            <w:tcW w:w="920" w:type="dxa"/>
            <w:vAlign w:val="bottom"/>
          </w:tcPr>
          <w:p>
            <w:pPr>
              <w:jc w:val="right"/>
              <w:ind w:right="172"/>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2"/>
        </w:trPr>
        <w:tc>
          <w:tcPr>
            <w:tcW w:w="820" w:type="dxa"/>
            <w:vAlign w:val="bottom"/>
          </w:tcPr>
          <w:p>
            <w:pPr>
              <w:ind w:left="24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172"/>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r>
    </w:tbl>
    <w:p>
      <w:pPr>
        <w:spacing w:after="0" w:line="996" w:lineRule="exact"/>
        <w:rPr>
          <w:sz w:val="20"/>
          <w:szCs w:val="20"/>
          <w:color w:val="auto"/>
        </w:rPr>
      </w:pPr>
    </w:p>
    <w:p>
      <w:pPr>
        <w:sectPr>
          <w:pgSz w:w="11900" w:h="16838" w:orient="portrait"/>
          <w:cols w:equalWidth="0" w:num="3">
            <w:col w:w="6280" w:space="80"/>
            <w:col w:w="2260" w:space="320"/>
            <w:col w:w="2480"/>
          </w:cols>
          <w:pgMar w:left="240" w:top="459" w:right="239" w:bottom="1440" w:gutter="0" w:footer="0" w:header="0"/>
          <w:type w:val="continuous"/>
        </w:sectPr>
      </w:pPr>
    </w:p>
    <w:p>
      <w:pPr>
        <w:spacing w:after="0" w:line="38"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Recurring Fair Value Measurements</w:t>
      </w:r>
    </w:p>
    <w:p>
      <w:pPr>
        <w:spacing w:after="0" w:line="90" w:lineRule="exact"/>
        <w:rPr>
          <w:sz w:val="20"/>
          <w:szCs w:val="20"/>
          <w:color w:val="auto"/>
        </w:rPr>
      </w:pPr>
    </w:p>
    <w:p>
      <w:pPr>
        <w:jc w:val="both"/>
        <w:ind w:right="180" w:firstLine="456"/>
        <w:spacing w:after="0" w:line="259" w:lineRule="auto"/>
        <w:rPr>
          <w:sz w:val="20"/>
          <w:szCs w:val="20"/>
          <w:color w:val="auto"/>
        </w:rPr>
      </w:pPr>
      <w:r>
        <w:rPr>
          <w:rFonts w:ascii="Arial" w:cs="Arial" w:eastAsia="Arial" w:hAnsi="Arial"/>
          <w:sz w:val="18"/>
          <w:szCs w:val="18"/>
          <w:color w:val="auto"/>
        </w:rPr>
        <w:t>We have fixed maturity, equity and trading securities, derivatives, embedded derivatives, securities held as collateral, separate account assets and certain other financial instruments, which are carried at fair value. Below is a description of the valuation techniques and inputs used to determine fair value by class of instrument.</w:t>
      </w:r>
    </w:p>
    <w:p>
      <w:pPr>
        <w:spacing w:after="0" w:line="22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Fixed maturity, equity and trading securities</w:t>
      </w:r>
    </w:p>
    <w:p>
      <w:pPr>
        <w:spacing w:after="0" w:line="90"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The valuations of fixed maturity, equity and trading securities are determined using a market approach, income approach or a combination of the market and income approach depending on the type of instrument and availability of information.</w:t>
      </w:r>
    </w:p>
    <w:p>
      <w:pPr>
        <w:spacing w:after="0" w:line="132"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We utilize certain third-party data providers when determining fair value. We consider information obtained from third-party pricing services as well as third-party broker provided prices, or broker quotes, in our determination of fair value. Additionally, we utilize internal models to determine the valuation of securities using an income approach where the inputs are based on third-party provided market inputs. While we consider the valuations provided by third-party pricing services and broker quotes, management determines the fair value of our investment securities after considering all relevant and available information. We also obtain an understanding of the valuation methodologies and procedures used by third-party data providers to ensure sufficient understanding to evaluate the valuation data received and determine the appropriate fair value.</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459" w:right="239" w:bottom="1440" w:gutter="0" w:footer="0" w:header="0"/>
          <w:type w:val="continuous"/>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In general, we first obtain valuations from pricing services. If a price is not supplied by a pricing service, we will typically seek a broker quote. For certain private fixed maturity securities where we do not obtain valuations from pricing services, we utilize an internal model to determine fair value since transactions for identical securities are not readily observable and these securities are not typically valued by pricing services. For all securities, excluding certain private fixed maturity securities, if neither a pricing service nor broker quote valuation is available, we determine fair value using internal models.</w:t>
      </w:r>
    </w:p>
    <w:p>
      <w:pPr>
        <w:spacing w:after="0" w:line="113"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For pricing services, we obtain an understanding of the pricing methodologies and procedures for each type of instrument. In general, a pricing service does not provide a price for a security if sufficient information is not readily available to determine fair value or if such security is not in the specific sector or class covered by a particular pricing service. Given our understanding of the pricing methodologies and procedures of pricing services, the securities valued by pricing services are typically classified as Level 2 unless we determine the valuation process for a security or group of securities utilizes significant unobservable inputs.</w:t>
      </w:r>
    </w:p>
    <w:p>
      <w:pPr>
        <w:spacing w:after="0" w:line="113" w:lineRule="exact"/>
        <w:rPr>
          <w:sz w:val="20"/>
          <w:szCs w:val="20"/>
          <w:color w:val="auto"/>
        </w:rPr>
      </w:pPr>
    </w:p>
    <w:p>
      <w:pPr>
        <w:ind w:right="60" w:firstLine="456"/>
        <w:spacing w:after="0" w:line="312" w:lineRule="auto"/>
        <w:rPr>
          <w:sz w:val="20"/>
          <w:szCs w:val="20"/>
          <w:color w:val="auto"/>
        </w:rPr>
      </w:pPr>
      <w:r>
        <w:rPr>
          <w:rFonts w:ascii="Arial" w:cs="Arial" w:eastAsia="Arial" w:hAnsi="Arial"/>
          <w:sz w:val="15"/>
          <w:szCs w:val="15"/>
          <w:color w:val="auto"/>
        </w:rPr>
        <w:t>For private fixed maturity securities, we utilize an internal model to determine fair value and utilize public bond spreads by sector, rating and maturity to develop the market rate that would be utilized for a similar public bond. We then add an additional premium to the public bond spread to adjust for the liquidity and other features of our private placements. We utilize the estimated market yield to discount the expected cash flows of the security to determine fair value. We assign each security an internal rating to determine the appropriate public bond spread that should be utilized in the valuation. While we generally consider the public bond spreads by sector and maturity to be observable inputs, we evaluate the similarities of our private placement with the public bonds to determine whether the spreads utilized would be considered observable inputs for the private placement being valued. To determine the significance of unobservable inputs, we calculate the impact on the valuation from the unobservable input and will classify a security as Level 3 when the impact on the valuation exceeds 10%.</w:t>
      </w:r>
    </w:p>
    <w:p>
      <w:pPr>
        <w:spacing w:after="0" w:line="105" w:lineRule="exact"/>
        <w:rPr>
          <w:sz w:val="20"/>
          <w:szCs w:val="20"/>
          <w:color w:val="auto"/>
        </w:rPr>
      </w:pPr>
    </w:p>
    <w:p>
      <w:pPr>
        <w:ind w:right="400" w:firstLine="456"/>
        <w:spacing w:after="0" w:line="259" w:lineRule="auto"/>
        <w:rPr>
          <w:sz w:val="20"/>
          <w:szCs w:val="20"/>
          <w:color w:val="auto"/>
        </w:rPr>
      </w:pPr>
      <w:r>
        <w:rPr>
          <w:rFonts w:ascii="Arial" w:cs="Arial" w:eastAsia="Arial" w:hAnsi="Arial"/>
          <w:sz w:val="18"/>
          <w:szCs w:val="18"/>
          <w:color w:val="auto"/>
        </w:rPr>
        <w:t>For broker quotes, we discuss the valuation methodology utilized by the third party but cannot typically obtain sufficient evidence to determine the valuation does not include significant unobservable inputs. Accordingly, we typically classify the securities where fair value is based on our consideration of broker quotes as Level 3 measurements.</w:t>
      </w:r>
    </w:p>
    <w:p>
      <w:pPr>
        <w:spacing w:after="0" w:line="140"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For remaining securities priced using internal models, we maximize the use of observable inputs but typically utilize significant unobservable inputs to determine fair value. Accordingly, the valuations are typically classified as Level 3.</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jc w:val="center"/>
        <w:ind w:left="360"/>
        <w:spacing w:after="0"/>
        <w:rPr>
          <w:sz w:val="20"/>
          <w:szCs w:val="20"/>
          <w:color w:val="auto"/>
        </w:rPr>
      </w:pPr>
      <w:r>
        <w:rPr>
          <w:rFonts w:ascii="Arial" w:cs="Arial" w:eastAsia="Arial" w:hAnsi="Arial"/>
          <w:sz w:val="16"/>
          <w:szCs w:val="16"/>
          <w:color w:val="auto"/>
        </w:rPr>
        <w:t>The following table summarizes the primary sources considered when determining fair value of each class of fixed maturity securities as of June 30, 2010.</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1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5"/>
              </w:rPr>
              <w:t>Total</w:t>
            </w:r>
          </w:p>
        </w:tc>
        <w:tc>
          <w:tcPr>
            <w:tcW w:w="16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4"/>
                <w:szCs w:val="14"/>
                <w:b w:val="1"/>
                <w:bCs w:val="1"/>
                <w:color w:val="auto"/>
                <w:w w:val="84"/>
              </w:rPr>
              <w:t>Level 1</w:t>
            </w:r>
          </w:p>
        </w:tc>
        <w:tc>
          <w:tcPr>
            <w:tcW w:w="340" w:type="dxa"/>
            <w:vAlign w:val="bottom"/>
          </w:tcPr>
          <w:p>
            <w:pPr>
              <w:spacing w:after="0"/>
              <w:rPr>
                <w:sz w:val="14"/>
                <w:szCs w:val="14"/>
                <w:color w:val="auto"/>
              </w:rPr>
            </w:pPr>
          </w:p>
        </w:tc>
        <w:tc>
          <w:tcPr>
            <w:tcW w:w="580" w:type="dxa"/>
            <w:vAlign w:val="bottom"/>
            <w:gridSpan w:val="2"/>
          </w:tcPr>
          <w:p>
            <w:pPr>
              <w:jc w:val="right"/>
              <w:spacing w:after="0"/>
              <w:rPr>
                <w:sz w:val="20"/>
                <w:szCs w:val="20"/>
                <w:color w:val="auto"/>
              </w:rPr>
            </w:pPr>
            <w:r>
              <w:rPr>
                <w:rFonts w:ascii="Arial" w:cs="Arial" w:eastAsia="Arial" w:hAnsi="Arial"/>
                <w:sz w:val="14"/>
                <w:szCs w:val="14"/>
                <w:b w:val="1"/>
                <w:bCs w:val="1"/>
                <w:color w:val="auto"/>
              </w:rPr>
              <w:t>Level 2</w:t>
            </w:r>
          </w:p>
        </w:tc>
        <w:tc>
          <w:tcPr>
            <w:tcW w:w="340" w:type="dxa"/>
            <w:vAlign w:val="bottom"/>
          </w:tcPr>
          <w:p>
            <w:pPr>
              <w:spacing w:after="0"/>
              <w:rPr>
                <w:sz w:val="14"/>
                <w:szCs w:val="14"/>
                <w:color w:val="auto"/>
              </w:rPr>
            </w:pPr>
          </w:p>
        </w:tc>
        <w:tc>
          <w:tcPr>
            <w:tcW w:w="520" w:type="dxa"/>
            <w:vAlign w:val="bottom"/>
            <w:gridSpan w:val="3"/>
          </w:tcPr>
          <w:p>
            <w:pPr>
              <w:jc w:val="right"/>
              <w:ind w:right="60"/>
              <w:spacing w:after="0"/>
              <w:rPr>
                <w:sz w:val="20"/>
                <w:szCs w:val="20"/>
                <w:color w:val="auto"/>
              </w:rPr>
            </w:pPr>
            <w:r>
              <w:rPr>
                <w:rFonts w:ascii="Arial" w:cs="Arial" w:eastAsia="Arial" w:hAnsi="Arial"/>
                <w:sz w:val="14"/>
                <w:szCs w:val="14"/>
                <w:b w:val="1"/>
                <w:bCs w:val="1"/>
                <w:color w:val="auto"/>
                <w:w w:val="92"/>
              </w:rPr>
              <w:t>Level 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57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U.S. government, agencies and government-sponsored enterprises: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tcPr>
          <w:p>
            <w:pPr>
              <w:ind w:left="420"/>
              <w:spacing w:after="0"/>
              <w:rPr>
                <w:sz w:val="20"/>
                <w:szCs w:val="20"/>
                <w:color w:val="auto"/>
              </w:rPr>
            </w:pPr>
            <w:r>
              <w:rPr>
                <w:rFonts w:ascii="Arial" w:cs="Arial" w:eastAsia="Arial" w:hAnsi="Arial"/>
                <w:sz w:val="18"/>
                <w:szCs w:val="18"/>
                <w:color w:val="auto"/>
              </w:rPr>
              <w:t>Pricing services</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3,667</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 —</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3,667</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Internal models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17</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0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U.S. government, agencies and government-sponsored enterprises</w:t>
            </w:r>
          </w:p>
        </w:tc>
        <w:tc>
          <w:tcPr>
            <w:tcW w:w="1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100" w:type="dxa"/>
            <w:vAlign w:val="bottom"/>
            <w:gridSpan w:val="2"/>
            <w:vMerge w:val="continue"/>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3,684</w:t>
            </w:r>
          </w:p>
        </w:tc>
        <w:tc>
          <w:tcPr>
            <w:tcW w:w="16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3,675</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Tax-exempt:</w:t>
            </w:r>
          </w:p>
        </w:tc>
        <w:tc>
          <w:tcPr>
            <w:tcW w:w="12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tcPr>
          <w:p>
            <w:pPr>
              <w:ind w:left="420"/>
              <w:spacing w:after="0"/>
              <w:rPr>
                <w:sz w:val="20"/>
                <w:szCs w:val="20"/>
                <w:color w:val="auto"/>
              </w:rPr>
            </w:pPr>
            <w:r>
              <w:rPr>
                <w:rFonts w:ascii="Arial" w:cs="Arial" w:eastAsia="Arial" w:hAnsi="Arial"/>
                <w:sz w:val="18"/>
                <w:szCs w:val="18"/>
                <w:color w:val="auto"/>
              </w:rPr>
              <w:t>Pricing services</w:t>
            </w: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1,350</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1,350</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7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tax-exempt</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1,350</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1,350</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7120" w:type="dxa"/>
            <w:vAlign w:val="bottom"/>
            <w:gridSpan w:val="3"/>
          </w:tcPr>
          <w:p>
            <w:pPr>
              <w:spacing w:after="0"/>
              <w:rPr>
                <w:sz w:val="20"/>
                <w:szCs w:val="20"/>
                <w:color w:val="auto"/>
              </w:rPr>
            </w:pPr>
            <w:r>
              <w:rPr>
                <w:rFonts w:ascii="Arial" w:cs="Arial" w:eastAsia="Arial" w:hAnsi="Arial"/>
                <w:sz w:val="18"/>
                <w:szCs w:val="18"/>
                <w:color w:val="auto"/>
              </w:rPr>
              <w:t>Government—non-U.S.:</w:t>
            </w:r>
          </w:p>
        </w:tc>
        <w:tc>
          <w:tcPr>
            <w:tcW w:w="12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Pricing services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2,116</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2,116</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tcPr>
          <w:p>
            <w:pPr>
              <w:ind w:left="420"/>
              <w:spacing w:after="0"/>
              <w:rPr>
                <w:sz w:val="20"/>
                <w:szCs w:val="20"/>
                <w:color w:val="auto"/>
              </w:rPr>
            </w:pPr>
            <w:r>
              <w:rPr>
                <w:rFonts w:ascii="Arial" w:cs="Arial" w:eastAsia="Arial" w:hAnsi="Arial"/>
                <w:sz w:val="18"/>
                <w:szCs w:val="18"/>
                <w:color w:val="auto"/>
              </w:rPr>
              <w:t>Internal models</w:t>
            </w: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30</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12</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7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government—non-U.S.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2,146</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2,128</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7120" w:type="dxa"/>
            <w:vAlign w:val="bottom"/>
            <w:gridSpan w:val="3"/>
          </w:tcPr>
          <w:p>
            <w:pPr>
              <w:spacing w:after="0"/>
              <w:rPr>
                <w:sz w:val="20"/>
                <w:szCs w:val="20"/>
                <w:color w:val="auto"/>
              </w:rPr>
            </w:pPr>
            <w:r>
              <w:rPr>
                <w:rFonts w:ascii="Arial" w:cs="Arial" w:eastAsia="Arial" w:hAnsi="Arial"/>
                <w:sz w:val="18"/>
                <w:szCs w:val="18"/>
                <w:color w:val="auto"/>
              </w:rPr>
              <w:t>U.S. corporate:</w:t>
            </w:r>
          </w:p>
        </w:tc>
        <w:tc>
          <w:tcPr>
            <w:tcW w:w="12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Pricing services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3"/>
              </w:rPr>
              <w:t>19,988</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19,988</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tcPr>
          <w:p>
            <w:pPr>
              <w:ind w:left="420"/>
              <w:spacing w:after="0"/>
              <w:rPr>
                <w:sz w:val="20"/>
                <w:szCs w:val="20"/>
                <w:color w:val="auto"/>
              </w:rPr>
            </w:pPr>
            <w:r>
              <w:rPr>
                <w:rFonts w:ascii="Arial" w:cs="Arial" w:eastAsia="Arial" w:hAnsi="Arial"/>
                <w:sz w:val="18"/>
                <w:szCs w:val="18"/>
                <w:color w:val="auto"/>
              </w:rPr>
              <w:t>Broker quotes</w:t>
            </w: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300</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300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Internal models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3,090</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1,870</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1,220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0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U.S. corporate</w:t>
            </w:r>
          </w:p>
        </w:tc>
        <w:tc>
          <w:tcPr>
            <w:tcW w:w="1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100" w:type="dxa"/>
            <w:vAlign w:val="bottom"/>
            <w:gridSpan w:val="2"/>
            <w:vMerge w:val="continue"/>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w w:val="83"/>
              </w:rPr>
              <w:t>23,378</w:t>
            </w:r>
          </w:p>
        </w:tc>
        <w:tc>
          <w:tcPr>
            <w:tcW w:w="16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21,858</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w w:val="84"/>
              </w:rPr>
              <w:t>1,520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Corporate—non-U.S.:</w:t>
            </w:r>
          </w:p>
        </w:tc>
        <w:tc>
          <w:tcPr>
            <w:tcW w:w="12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tcPr>
          <w:p>
            <w:pPr>
              <w:ind w:left="420"/>
              <w:spacing w:after="0"/>
              <w:rPr>
                <w:sz w:val="20"/>
                <w:szCs w:val="20"/>
                <w:color w:val="auto"/>
              </w:rPr>
            </w:pPr>
            <w:r>
              <w:rPr>
                <w:rFonts w:ascii="Arial" w:cs="Arial" w:eastAsia="Arial" w:hAnsi="Arial"/>
                <w:sz w:val="18"/>
                <w:szCs w:val="18"/>
                <w:color w:val="auto"/>
              </w:rPr>
              <w:t>Pricing services</w:t>
            </w: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w w:val="83"/>
              </w:rPr>
              <w:t>10,793</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10,696</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Broker quotes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136</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tcPr>
          <w:p>
            <w:pPr>
              <w:ind w:left="420"/>
              <w:spacing w:after="0"/>
              <w:rPr>
                <w:sz w:val="20"/>
                <w:szCs w:val="20"/>
                <w:color w:val="auto"/>
              </w:rPr>
            </w:pPr>
            <w:r>
              <w:rPr>
                <w:rFonts w:ascii="Arial" w:cs="Arial" w:eastAsia="Arial" w:hAnsi="Arial"/>
                <w:sz w:val="18"/>
                <w:szCs w:val="18"/>
                <w:color w:val="auto"/>
              </w:rPr>
              <w:t>Internal models</w:t>
            </w: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1,870</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1,383</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487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7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corporate—non-U.S.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3"/>
              </w:rPr>
              <w:t>12,799</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12,079</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7120" w:type="dxa"/>
            <w:vAlign w:val="bottom"/>
            <w:gridSpan w:val="3"/>
          </w:tcPr>
          <w:p>
            <w:pPr>
              <w:spacing w:after="0"/>
              <w:rPr>
                <w:sz w:val="20"/>
                <w:szCs w:val="20"/>
                <w:color w:val="auto"/>
              </w:rPr>
            </w:pPr>
            <w:r>
              <w:rPr>
                <w:rFonts w:ascii="Arial" w:cs="Arial" w:eastAsia="Arial" w:hAnsi="Arial"/>
                <w:sz w:val="18"/>
                <w:szCs w:val="18"/>
                <w:color w:val="auto"/>
              </w:rPr>
              <w:t>Residential mortgage-backed:</w:t>
            </w:r>
          </w:p>
        </w:tc>
        <w:tc>
          <w:tcPr>
            <w:tcW w:w="12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Pricing services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3,893</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3,893</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tcPr>
          <w:p>
            <w:pPr>
              <w:ind w:left="420"/>
              <w:spacing w:after="0"/>
              <w:rPr>
                <w:sz w:val="20"/>
                <w:szCs w:val="20"/>
                <w:color w:val="auto"/>
              </w:rPr>
            </w:pPr>
            <w:r>
              <w:rPr>
                <w:rFonts w:ascii="Arial" w:cs="Arial" w:eastAsia="Arial" w:hAnsi="Arial"/>
                <w:sz w:val="18"/>
                <w:szCs w:val="18"/>
                <w:color w:val="auto"/>
              </w:rPr>
              <w:t>Broker quotes</w:t>
            </w: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35</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Internal models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27</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0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residential mortgage-backed</w:t>
            </w:r>
          </w:p>
        </w:tc>
        <w:tc>
          <w:tcPr>
            <w:tcW w:w="1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100" w:type="dxa"/>
            <w:vAlign w:val="bottom"/>
            <w:gridSpan w:val="2"/>
            <w:vMerge w:val="continue"/>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3,955</w:t>
            </w:r>
          </w:p>
        </w:tc>
        <w:tc>
          <w:tcPr>
            <w:tcW w:w="16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3,893</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 mortgage-backed:</w:t>
            </w:r>
          </w:p>
        </w:tc>
        <w:tc>
          <w:tcPr>
            <w:tcW w:w="12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tcPr>
          <w:p>
            <w:pPr>
              <w:ind w:left="420"/>
              <w:spacing w:after="0"/>
              <w:rPr>
                <w:sz w:val="20"/>
                <w:szCs w:val="20"/>
                <w:color w:val="auto"/>
              </w:rPr>
            </w:pPr>
            <w:r>
              <w:rPr>
                <w:rFonts w:ascii="Arial" w:cs="Arial" w:eastAsia="Arial" w:hAnsi="Arial"/>
                <w:sz w:val="18"/>
                <w:szCs w:val="18"/>
                <w:color w:val="auto"/>
              </w:rPr>
              <w:t>Pricing services</w:t>
            </w: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3,662</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3,662</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Broker quotes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20</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tcPr>
          <w:p>
            <w:pPr>
              <w:ind w:left="420"/>
              <w:spacing w:after="0"/>
              <w:rPr>
                <w:sz w:val="20"/>
                <w:szCs w:val="20"/>
                <w:color w:val="auto"/>
              </w:rPr>
            </w:pPr>
            <w:r>
              <w:rPr>
                <w:rFonts w:ascii="Arial" w:cs="Arial" w:eastAsia="Arial" w:hAnsi="Arial"/>
                <w:sz w:val="18"/>
                <w:szCs w:val="18"/>
                <w:color w:val="auto"/>
              </w:rPr>
              <w:t>Internal models</w:t>
            </w: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44</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39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7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commercial mortgage-backed</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3,726</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3,667</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7120" w:type="dxa"/>
            <w:vAlign w:val="bottom"/>
            <w:gridSpan w:val="3"/>
          </w:tcPr>
          <w:p>
            <w:pPr>
              <w:spacing w:after="0"/>
              <w:rPr>
                <w:sz w:val="20"/>
                <w:szCs w:val="20"/>
                <w:color w:val="auto"/>
              </w:rPr>
            </w:pPr>
            <w:r>
              <w:rPr>
                <w:rFonts w:ascii="Arial" w:cs="Arial" w:eastAsia="Arial" w:hAnsi="Arial"/>
                <w:sz w:val="18"/>
                <w:szCs w:val="18"/>
                <w:color w:val="auto"/>
              </w:rPr>
              <w:t>Other asset-backed:</w:t>
            </w:r>
          </w:p>
        </w:tc>
        <w:tc>
          <w:tcPr>
            <w:tcW w:w="12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Pricing services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1,978</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1,978</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tcPr>
          <w:p>
            <w:pPr>
              <w:ind w:left="420"/>
              <w:spacing w:after="0"/>
              <w:rPr>
                <w:sz w:val="20"/>
                <w:szCs w:val="20"/>
                <w:color w:val="auto"/>
              </w:rPr>
            </w:pPr>
            <w:r>
              <w:rPr>
                <w:rFonts w:ascii="Arial" w:cs="Arial" w:eastAsia="Arial" w:hAnsi="Arial"/>
                <w:sz w:val="18"/>
                <w:szCs w:val="18"/>
                <w:color w:val="auto"/>
              </w:rPr>
              <w:t>Broker quotes</w:t>
            </w: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156</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156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Internal models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214</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0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other asset-backed</w:t>
            </w:r>
          </w:p>
        </w:tc>
        <w:tc>
          <w:tcPr>
            <w:tcW w:w="1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100" w:type="dxa"/>
            <w:vAlign w:val="bottom"/>
            <w:gridSpan w:val="2"/>
            <w:vMerge w:val="continue"/>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2,348</w:t>
            </w:r>
          </w:p>
        </w:tc>
        <w:tc>
          <w:tcPr>
            <w:tcW w:w="16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1,987</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361</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7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1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fixed maturity securities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3"/>
              </w:rPr>
              <w:t>53,386</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50,637</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2,749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120" w:type="dxa"/>
            <w:vAlign w:val="bottom"/>
            <w:gridSpan w:val="3"/>
            <w:vMerge w:val="restart"/>
          </w:tcPr>
          <w:p>
            <w:pPr>
              <w:ind w:left="5620"/>
              <w:spacing w:after="0"/>
              <w:rPr>
                <w:sz w:val="20"/>
                <w:szCs w:val="20"/>
                <w:color w:val="auto"/>
              </w:rPr>
            </w:pPr>
            <w:r>
              <w:rPr>
                <w:rFonts w:ascii="Arial" w:cs="Arial" w:eastAsia="Arial" w:hAnsi="Arial"/>
                <w:sz w:val="18"/>
                <w:szCs w:val="18"/>
                <w:color w:val="auto"/>
              </w:rPr>
              <w:t>38</w:t>
            </w:r>
          </w:p>
        </w:tc>
        <w:tc>
          <w:tcPr>
            <w:tcW w:w="1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7120" w:type="dxa"/>
            <w:vAlign w:val="bottom"/>
            <w:gridSpan w:val="3"/>
            <w:vMerge w:val="continue"/>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summarizes the primary sources considered when determining fair value of equity securities as of June 30, 2010.</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78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20" w:type="dxa"/>
            <w:vAlign w:val="bottom"/>
          </w:tcPr>
          <w:p>
            <w:pPr>
              <w:spacing w:after="0"/>
              <w:rPr>
                <w:sz w:val="14"/>
                <w:szCs w:val="14"/>
                <w:color w:val="auto"/>
              </w:rPr>
            </w:pP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w w:val="89"/>
              </w:rPr>
              <w:t>Total</w:t>
            </w:r>
          </w:p>
        </w:tc>
        <w:tc>
          <w:tcPr>
            <w:tcW w:w="320" w:type="dxa"/>
            <w:vAlign w:val="bottom"/>
          </w:tcPr>
          <w:p>
            <w:pPr>
              <w:spacing w:after="0"/>
              <w:rPr>
                <w:sz w:val="14"/>
                <w:szCs w:val="14"/>
                <w:color w:val="auto"/>
              </w:rPr>
            </w:pPr>
          </w:p>
        </w:tc>
        <w:tc>
          <w:tcPr>
            <w:tcW w:w="600" w:type="dxa"/>
            <w:vAlign w:val="bottom"/>
            <w:gridSpan w:val="3"/>
          </w:tcPr>
          <w:p>
            <w:pPr>
              <w:ind w:left="2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14"/>
                <w:szCs w:val="14"/>
                <w:color w:val="auto"/>
              </w:rPr>
            </w:pPr>
          </w:p>
        </w:tc>
        <w:tc>
          <w:tcPr>
            <w:tcW w:w="420" w:type="dxa"/>
            <w:vAlign w:val="bottom"/>
            <w:gridSpan w:val="2"/>
          </w:tcPr>
          <w:p>
            <w:pPr>
              <w:spacing w:after="0"/>
              <w:rPr>
                <w:sz w:val="20"/>
                <w:szCs w:val="20"/>
                <w:color w:val="auto"/>
              </w:rPr>
            </w:pPr>
            <w:r>
              <w:rPr>
                <w:rFonts w:ascii="Arial" w:cs="Arial" w:eastAsia="Arial" w:hAnsi="Arial"/>
                <w:sz w:val="14"/>
                <w:szCs w:val="14"/>
                <w:b w:val="1"/>
                <w:bCs w:val="1"/>
                <w:color w:val="auto"/>
                <w:w w:val="84"/>
              </w:rPr>
              <w:t>Level 2</w:t>
            </w:r>
          </w:p>
        </w:tc>
        <w:tc>
          <w:tcPr>
            <w:tcW w:w="340" w:type="dxa"/>
            <w:vAlign w:val="bottom"/>
          </w:tcPr>
          <w:p>
            <w:pPr>
              <w:spacing w:after="0"/>
              <w:rPr>
                <w:sz w:val="14"/>
                <w:szCs w:val="14"/>
                <w:color w:val="auto"/>
              </w:rPr>
            </w:pPr>
          </w:p>
        </w:tc>
        <w:tc>
          <w:tcPr>
            <w:tcW w:w="440" w:type="dxa"/>
            <w:vAlign w:val="bottom"/>
            <w:gridSpan w:val="2"/>
          </w:tcPr>
          <w:p>
            <w:pPr>
              <w:spacing w:after="0"/>
              <w:rPr>
                <w:sz w:val="20"/>
                <w:szCs w:val="20"/>
                <w:color w:val="auto"/>
              </w:rPr>
            </w:pPr>
            <w:r>
              <w:rPr>
                <w:rFonts w:ascii="Arial" w:cs="Arial" w:eastAsia="Arial" w:hAnsi="Arial"/>
                <w:sz w:val="14"/>
                <w:szCs w:val="14"/>
                <w:b w:val="1"/>
                <w:bCs w:val="1"/>
                <w:color w:val="auto"/>
                <w:w w:val="88"/>
              </w:rPr>
              <w:t>Level 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7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320" w:type="dxa"/>
            <w:vAlign w:val="bottom"/>
            <w:shd w:val="clear" w:color="auto" w:fill="CCEEFF"/>
          </w:tcPr>
          <w:p>
            <w:pPr>
              <w:spacing w:after="0"/>
              <w:rPr>
                <w:sz w:val="20"/>
                <w:szCs w:val="20"/>
                <w:color w:val="auto"/>
              </w:rPr>
            </w:pPr>
            <w:r>
              <w:rPr>
                <w:rFonts w:ascii="Arial" w:cs="Arial" w:eastAsia="Arial" w:hAnsi="Arial"/>
                <w:sz w:val="18"/>
                <w:szCs w:val="18"/>
                <w:color w:val="auto"/>
              </w:rPr>
              <w:t>Pricing services</w:t>
            </w:r>
          </w:p>
        </w:tc>
        <w:tc>
          <w:tcPr>
            <w:tcW w:w="744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$190</w:t>
            </w:r>
          </w:p>
        </w:tc>
        <w:tc>
          <w:tcPr>
            <w:tcW w:w="4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20</w:t>
            </w:r>
          </w:p>
        </w:tc>
        <w:tc>
          <w:tcPr>
            <w:tcW w:w="5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$ 170</w:t>
            </w:r>
          </w:p>
        </w:tc>
        <w:tc>
          <w:tcPr>
            <w:tcW w:w="7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 —</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color w:val="auto"/>
              </w:rPr>
              <w:t>Broker quotes</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6</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gridSpan w:val="2"/>
          </w:tcPr>
          <w:p>
            <w:pPr>
              <w:jc w:val="right"/>
              <w:ind w:right="260"/>
              <w:spacing w:after="0"/>
              <w:rPr>
                <w:sz w:val="20"/>
                <w:szCs w:val="20"/>
                <w:color w:val="auto"/>
              </w:rPr>
            </w:pPr>
            <w:r>
              <w:rPr>
                <w:rFonts w:ascii="Arial" w:cs="Arial" w:eastAsia="Arial" w:hAnsi="Arial"/>
                <w:sz w:val="18"/>
                <w:szCs w:val="18"/>
                <w:color w:val="auto"/>
                <w:w w:val="99"/>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Internal models</w:t>
            </w:r>
          </w:p>
        </w:tc>
        <w:tc>
          <w:tcPr>
            <w:tcW w:w="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3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760" w:type="dxa"/>
            <w:vAlign w:val="bottom"/>
            <w:gridSpan w:val="2"/>
          </w:tcPr>
          <w:p>
            <w:pPr>
              <w:ind w:left="420"/>
              <w:spacing w:after="0"/>
              <w:rPr>
                <w:sz w:val="20"/>
                <w:szCs w:val="20"/>
                <w:color w:val="auto"/>
              </w:rPr>
            </w:pPr>
            <w:r>
              <w:rPr>
                <w:rFonts w:ascii="Arial" w:cs="Arial" w:eastAsia="Arial" w:hAnsi="Arial"/>
                <w:sz w:val="18"/>
                <w:szCs w:val="18"/>
                <w:color w:val="auto"/>
              </w:rPr>
              <w:t>Total equity securities</w:t>
            </w:r>
          </w:p>
        </w:tc>
        <w:tc>
          <w:tcPr>
            <w:tcW w:w="380" w:type="dxa"/>
            <w:vAlign w:val="bottom"/>
            <w:gridSpan w:val="2"/>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199</w:t>
            </w:r>
          </w:p>
        </w:tc>
        <w:tc>
          <w:tcPr>
            <w:tcW w:w="320" w:type="dxa"/>
            <w:vAlign w:val="bottom"/>
          </w:tcPr>
          <w:p>
            <w:pPr>
              <w:spacing w:after="0"/>
              <w:rPr>
                <w:sz w:val="19"/>
                <w:szCs w:val="19"/>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60" w:type="dxa"/>
            <w:vAlign w:val="bottom"/>
            <w:gridSpan w:val="2"/>
          </w:tcPr>
          <w:p>
            <w:pPr>
              <w:jc w:val="right"/>
              <w:ind w:right="180"/>
              <w:spacing w:after="0"/>
              <w:rPr>
                <w:sz w:val="20"/>
                <w:szCs w:val="20"/>
                <w:color w:val="auto"/>
              </w:rPr>
            </w:pPr>
            <w:r>
              <w:rPr>
                <w:rFonts w:ascii="Arial" w:cs="Arial" w:eastAsia="Arial" w:hAnsi="Arial"/>
                <w:sz w:val="18"/>
                <w:szCs w:val="18"/>
                <w:color w:val="auto"/>
              </w:rPr>
              <w:t>20</w:t>
            </w:r>
          </w:p>
        </w:tc>
        <w:tc>
          <w:tcPr>
            <w:tcW w:w="580" w:type="dxa"/>
            <w:vAlign w:val="bottom"/>
            <w:gridSpan w:val="3"/>
          </w:tcPr>
          <w:p>
            <w:pPr>
              <w:jc w:val="right"/>
              <w:spacing w:after="0"/>
              <w:rPr>
                <w:sz w:val="20"/>
                <w:szCs w:val="20"/>
                <w:color w:val="auto"/>
              </w:rPr>
            </w:pPr>
            <w:r>
              <w:rPr>
                <w:rFonts w:ascii="Arial" w:cs="Arial" w:eastAsia="Arial" w:hAnsi="Arial"/>
                <w:sz w:val="18"/>
                <w:szCs w:val="18"/>
                <w:color w:val="auto"/>
              </w:rPr>
              <w:t>$ 170</w:t>
            </w:r>
          </w:p>
        </w:tc>
        <w:tc>
          <w:tcPr>
            <w:tcW w:w="780" w:type="dxa"/>
            <w:vAlign w:val="bottom"/>
            <w:gridSpan w:val="3"/>
          </w:tcPr>
          <w:p>
            <w:pPr>
              <w:jc w:val="right"/>
              <w:ind w:right="20"/>
              <w:spacing w:after="0"/>
              <w:rPr>
                <w:sz w:val="20"/>
                <w:szCs w:val="20"/>
                <w:color w:val="auto"/>
              </w:rPr>
            </w:pPr>
            <w:r>
              <w:rPr>
                <w:rFonts w:ascii="Arial" w:cs="Arial" w:eastAsia="Arial" w:hAnsi="Arial"/>
                <w:sz w:val="18"/>
                <w:szCs w:val="18"/>
                <w:color w:val="auto"/>
              </w:rPr>
              <w:t>$   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760" w:type="dxa"/>
            <w:vAlign w:val="bottom"/>
            <w:gridSpan w:val="2"/>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1"/>
        </w:trPr>
        <w:tc>
          <w:tcPr>
            <w:tcW w:w="20" w:type="dxa"/>
            <w:vAlign w:val="bottom"/>
          </w:tcPr>
          <w:p>
            <w:pPr>
              <w:spacing w:after="0"/>
              <w:rPr>
                <w:sz w:val="24"/>
                <w:szCs w:val="24"/>
                <w:color w:val="auto"/>
              </w:rPr>
            </w:pPr>
          </w:p>
        </w:tc>
        <w:tc>
          <w:tcPr>
            <w:tcW w:w="10060" w:type="dxa"/>
            <w:vAlign w:val="bottom"/>
            <w:gridSpan w:val="8"/>
          </w:tcPr>
          <w:p>
            <w:pPr>
              <w:ind w:left="440"/>
              <w:spacing w:after="0"/>
              <w:rPr>
                <w:sz w:val="20"/>
                <w:szCs w:val="20"/>
                <w:color w:val="auto"/>
              </w:rPr>
            </w:pPr>
            <w:r>
              <w:rPr>
                <w:rFonts w:ascii="Arial" w:cs="Arial" w:eastAsia="Arial" w:hAnsi="Arial"/>
                <w:sz w:val="18"/>
                <w:szCs w:val="18"/>
                <w:color w:val="auto"/>
                <w:w w:val="90"/>
              </w:rPr>
              <w:t>The following table summarizes the primary sources considered when determining fair value of trading securities as of June 30, 2010.</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878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20" w:type="dxa"/>
            <w:vAlign w:val="bottom"/>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w w:val="89"/>
              </w:rPr>
              <w:t>Total</w:t>
            </w:r>
          </w:p>
        </w:tc>
        <w:tc>
          <w:tcPr>
            <w:tcW w:w="320" w:type="dxa"/>
            <w:vAlign w:val="bottom"/>
          </w:tcPr>
          <w:p>
            <w:pPr>
              <w:spacing w:after="0"/>
              <w:rPr>
                <w:sz w:val="24"/>
                <w:szCs w:val="24"/>
                <w:color w:val="auto"/>
              </w:rPr>
            </w:pPr>
          </w:p>
        </w:tc>
        <w:tc>
          <w:tcPr>
            <w:tcW w:w="600" w:type="dxa"/>
            <w:vAlign w:val="bottom"/>
            <w:gridSpan w:val="3"/>
          </w:tcPr>
          <w:p>
            <w:pPr>
              <w:ind w:left="2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24"/>
                <w:szCs w:val="24"/>
                <w:color w:val="auto"/>
              </w:rPr>
            </w:pPr>
          </w:p>
        </w:tc>
        <w:tc>
          <w:tcPr>
            <w:tcW w:w="420" w:type="dxa"/>
            <w:vAlign w:val="bottom"/>
            <w:gridSpan w:val="2"/>
          </w:tcPr>
          <w:p>
            <w:pPr>
              <w:spacing w:after="0"/>
              <w:rPr>
                <w:sz w:val="20"/>
                <w:szCs w:val="20"/>
                <w:color w:val="auto"/>
              </w:rPr>
            </w:pPr>
            <w:r>
              <w:rPr>
                <w:rFonts w:ascii="Arial" w:cs="Arial" w:eastAsia="Arial" w:hAnsi="Arial"/>
                <w:sz w:val="14"/>
                <w:szCs w:val="14"/>
                <w:b w:val="1"/>
                <w:bCs w:val="1"/>
                <w:color w:val="auto"/>
                <w:w w:val="84"/>
              </w:rPr>
              <w:t>Level 2</w:t>
            </w:r>
          </w:p>
        </w:tc>
        <w:tc>
          <w:tcPr>
            <w:tcW w:w="340" w:type="dxa"/>
            <w:vAlign w:val="bottom"/>
          </w:tcPr>
          <w:p>
            <w:pPr>
              <w:spacing w:after="0"/>
              <w:rPr>
                <w:sz w:val="24"/>
                <w:szCs w:val="24"/>
                <w:color w:val="auto"/>
              </w:rPr>
            </w:pPr>
          </w:p>
        </w:tc>
        <w:tc>
          <w:tcPr>
            <w:tcW w:w="440" w:type="dxa"/>
            <w:vAlign w:val="bottom"/>
            <w:gridSpan w:val="2"/>
          </w:tcPr>
          <w:p>
            <w:pPr>
              <w:spacing w:after="0"/>
              <w:rPr>
                <w:sz w:val="20"/>
                <w:szCs w:val="20"/>
                <w:color w:val="auto"/>
              </w:rPr>
            </w:pPr>
            <w:r>
              <w:rPr>
                <w:rFonts w:ascii="Arial" w:cs="Arial" w:eastAsia="Arial" w:hAnsi="Arial"/>
                <w:sz w:val="14"/>
                <w:szCs w:val="14"/>
                <w:b w:val="1"/>
                <w:bCs w:val="1"/>
                <w:color w:val="auto"/>
                <w:w w:val="88"/>
              </w:rPr>
              <w:t>Level 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7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320" w:type="dxa"/>
            <w:vAlign w:val="bottom"/>
            <w:shd w:val="clear" w:color="auto" w:fill="CCEEFF"/>
          </w:tcPr>
          <w:p>
            <w:pPr>
              <w:spacing w:after="0"/>
              <w:rPr>
                <w:sz w:val="20"/>
                <w:szCs w:val="20"/>
                <w:color w:val="auto"/>
              </w:rPr>
            </w:pPr>
            <w:r>
              <w:rPr>
                <w:rFonts w:ascii="Arial" w:cs="Arial" w:eastAsia="Arial" w:hAnsi="Arial"/>
                <w:sz w:val="18"/>
                <w:szCs w:val="18"/>
                <w:color w:val="auto"/>
              </w:rPr>
              <w:t>Pricing services</w:t>
            </w:r>
          </w:p>
        </w:tc>
        <w:tc>
          <w:tcPr>
            <w:tcW w:w="744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$ 85</w:t>
            </w:r>
          </w:p>
        </w:tc>
        <w:tc>
          <w:tcPr>
            <w:tcW w:w="320" w:type="dxa"/>
            <w:vAlign w:val="bottom"/>
            <w:shd w:val="clear" w:color="auto" w:fill="CCEEFF"/>
          </w:tcPr>
          <w:p>
            <w:pPr>
              <w:spacing w:after="0"/>
              <w:rPr>
                <w:sz w:val="18"/>
                <w:szCs w:val="18"/>
                <w:color w:val="auto"/>
              </w:rPr>
            </w:pPr>
          </w:p>
        </w:tc>
        <w:tc>
          <w:tcPr>
            <w:tcW w:w="60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w w:val="96"/>
              </w:rPr>
              <w:t>$ —</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7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 —</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760" w:type="dxa"/>
            <w:vAlign w:val="bottom"/>
            <w:gridSpan w:val="2"/>
          </w:tcPr>
          <w:p>
            <w:pPr>
              <w:spacing w:after="0"/>
              <w:rPr>
                <w:sz w:val="20"/>
                <w:szCs w:val="20"/>
                <w:color w:val="auto"/>
              </w:rPr>
            </w:pPr>
            <w:r>
              <w:rPr>
                <w:rFonts w:ascii="Arial" w:cs="Arial" w:eastAsia="Arial" w:hAnsi="Arial"/>
                <w:sz w:val="18"/>
                <w:szCs w:val="18"/>
                <w:color w:val="auto"/>
              </w:rPr>
              <w:t>Broker quotes</w:t>
            </w:r>
          </w:p>
        </w:tc>
        <w:tc>
          <w:tcPr>
            <w:tcW w:w="20" w:type="dxa"/>
            <w:vAlign w:val="bottom"/>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136</w:t>
            </w:r>
          </w:p>
        </w:tc>
        <w:tc>
          <w:tcPr>
            <w:tcW w:w="3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trading securities</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221</w:t>
            </w:r>
          </w:p>
        </w:tc>
        <w:tc>
          <w:tcPr>
            <w:tcW w:w="320" w:type="dxa"/>
            <w:vAlign w:val="bottom"/>
            <w:shd w:val="clear" w:color="auto" w:fill="CCEEFF"/>
          </w:tcPr>
          <w:p>
            <w:pPr>
              <w:spacing w:after="0"/>
              <w:rPr>
                <w:sz w:val="18"/>
                <w:szCs w:val="18"/>
                <w:color w:val="auto"/>
              </w:rPr>
            </w:pPr>
          </w:p>
        </w:tc>
        <w:tc>
          <w:tcPr>
            <w:tcW w:w="60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w w:val="96"/>
              </w:rPr>
              <w:t>$ —</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7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8"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Restricted other invested assets related to securitization entities</w:t>
      </w:r>
    </w:p>
    <w:p>
      <w:pPr>
        <w:spacing w:after="0" w:line="90" w:lineRule="exact"/>
        <w:rPr>
          <w:sz w:val="20"/>
          <w:szCs w:val="20"/>
          <w:color w:val="auto"/>
        </w:rPr>
      </w:pPr>
    </w:p>
    <w:p>
      <w:pPr>
        <w:ind w:right="140" w:firstLine="456"/>
        <w:spacing w:after="0" w:line="254" w:lineRule="auto"/>
        <w:rPr>
          <w:sz w:val="20"/>
          <w:szCs w:val="20"/>
          <w:color w:val="auto"/>
        </w:rPr>
      </w:pPr>
      <w:r>
        <w:rPr>
          <w:rFonts w:ascii="Arial" w:cs="Arial" w:eastAsia="Arial" w:hAnsi="Arial"/>
          <w:sz w:val="18"/>
          <w:szCs w:val="18"/>
          <w:color w:val="auto"/>
        </w:rPr>
        <w:t>We have trading securities related to securitization entities that are classified as restricted other invested assets and are carried at fair value. The trading securities represent asset-backed securities. The valuation for trading securities is determined using a market approach and/or an income approach depending on the availability of information. For certain highly rated asset-backed securities, there is observable market information for transactions of the same or similar instruments and is provided to us by a third-party pricing service and is classified as Level 2. For certain securities that are not actively traded, we determine fair value after considering third-party broker provided prices or discounted expected cash flows using current yields for similar securities and classify these valuations as Level 3.</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Securities lending and derivative counterparty collateral</w:t>
      </w:r>
    </w:p>
    <w:p>
      <w:pPr>
        <w:spacing w:after="0" w:line="9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The fair value of securities held as collateral is primarily based on Level 2 inputs from market information for the collateral that is held on our behalf by the custodian. We determine fair value after considering prices obtained by third-party pricing services.</w:t>
      </w:r>
    </w:p>
    <w:p>
      <w:pPr>
        <w:spacing w:after="0" w:line="213"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Separate account assets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fair value of separate account assets is based on the quoted prices of the underlying fund investments and, therefore, represents Level 1 pricing.</w:t>
      </w:r>
    </w:p>
    <w:p>
      <w:pPr>
        <w:spacing w:after="0" w:line="275"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Derivatives</w:t>
      </w:r>
    </w:p>
    <w:p>
      <w:pPr>
        <w:spacing w:after="0" w:line="90"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In determining the fair value of derivatives, we consider the counterparty collateral arrangements and rights of set-off when determining whether any incremental adjustment should be made for both the counterparty’s and our non-performance risk. As a result of these counterparty arrangements, we determined no adjustment for our non-performance risk was required to our derivative liabilities.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i w:val="1"/>
          <w:iCs w:val="1"/>
          <w:color w:val="auto"/>
        </w:rPr>
        <w:t xml:space="preserve">Interest rate swaps. </w:t>
      </w:r>
      <w:r>
        <w:rPr>
          <w:rFonts w:ascii="Arial" w:cs="Arial" w:eastAsia="Arial" w:hAnsi="Arial"/>
          <w:sz w:val="18"/>
          <w:szCs w:val="18"/>
          <w:color w:val="auto"/>
        </w:rPr>
        <w:t>The valuation of interest rate swaps is determined using an income approach. The primary inputs into the valuation represent the</w:t>
      </w:r>
      <w:r>
        <w:rPr>
          <w:rFonts w:ascii="Arial" w:cs="Arial" w:eastAsia="Arial" w:hAnsi="Arial"/>
          <w:sz w:val="18"/>
          <w:szCs w:val="18"/>
          <w:i w:val="1"/>
          <w:iCs w:val="1"/>
          <w:color w:val="auto"/>
        </w:rPr>
        <w:t xml:space="preserve"> </w:t>
      </w:r>
      <w:r>
        <w:rPr>
          <w:rFonts w:ascii="Arial" w:cs="Arial" w:eastAsia="Arial" w:hAnsi="Arial"/>
          <w:sz w:val="18"/>
          <w:szCs w:val="18"/>
          <w:color w:val="auto"/>
        </w:rPr>
        <w:t>forward interest rate swap curve, which is generally considered an observable input, and results in the derivative being classified as Level 2. For certain swaps, there are features that provide an option to the counterparty to terminate the swap at specified dates and would be considered a significant unobservable input and results in the fair value measurement of the derivative being classified as Level 3.</w:t>
      </w:r>
    </w:p>
    <w:p>
      <w:pPr>
        <w:spacing w:after="0" w:line="143" w:lineRule="exact"/>
        <w:rPr>
          <w:sz w:val="20"/>
          <w:szCs w:val="20"/>
          <w:color w:val="auto"/>
        </w:rPr>
      </w:pPr>
    </w:p>
    <w:p>
      <w:pPr>
        <w:jc w:val="both"/>
        <w:ind w:right="260" w:firstLine="456"/>
        <w:spacing w:after="0" w:line="259" w:lineRule="auto"/>
        <w:rPr>
          <w:sz w:val="20"/>
          <w:szCs w:val="20"/>
          <w:color w:val="auto"/>
        </w:rPr>
      </w:pPr>
      <w:r>
        <w:rPr>
          <w:rFonts w:ascii="Arial" w:cs="Arial" w:eastAsia="Arial" w:hAnsi="Arial"/>
          <w:sz w:val="18"/>
          <w:szCs w:val="18"/>
          <w:i w:val="1"/>
          <w:iCs w:val="1"/>
          <w:color w:val="auto"/>
        </w:rPr>
        <w:t xml:space="preserve">Interest rate swaps related to securitization entities. </w:t>
      </w:r>
      <w:r>
        <w:rPr>
          <w:rFonts w:ascii="Arial" w:cs="Arial" w:eastAsia="Arial" w:hAnsi="Arial"/>
          <w:sz w:val="18"/>
          <w:szCs w:val="18"/>
          <w:color w:val="auto"/>
        </w:rPr>
        <w:t>The valuation of interest rate swaps related to securitization entities is determined using an income</w:t>
      </w:r>
      <w:r>
        <w:rPr>
          <w:rFonts w:ascii="Arial" w:cs="Arial" w:eastAsia="Arial" w:hAnsi="Arial"/>
          <w:sz w:val="18"/>
          <w:szCs w:val="18"/>
          <w:i w:val="1"/>
          <w:iCs w:val="1"/>
          <w:color w:val="auto"/>
        </w:rPr>
        <w:t xml:space="preserve"> </w:t>
      </w:r>
      <w:r>
        <w:rPr>
          <w:rFonts w:ascii="Arial" w:cs="Arial" w:eastAsia="Arial" w:hAnsi="Arial"/>
          <w:sz w:val="18"/>
          <w:szCs w:val="18"/>
          <w:color w:val="auto"/>
        </w:rPr>
        <w:t>approach. The primary input into the valuation represent the forward interest rate swap curve, which is generally considered an observable input, and results in the derivative being classified as Level 2.</w:t>
      </w:r>
    </w:p>
    <w:p>
      <w:pPr>
        <w:spacing w:after="0" w:line="140"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i w:val="1"/>
          <w:iCs w:val="1"/>
          <w:color w:val="auto"/>
        </w:rPr>
        <w:t xml:space="preserve">Inflation indexed swaps. </w:t>
      </w:r>
      <w:r>
        <w:rPr>
          <w:rFonts w:ascii="Arial" w:cs="Arial" w:eastAsia="Arial" w:hAnsi="Arial"/>
          <w:sz w:val="18"/>
          <w:szCs w:val="18"/>
          <w:color w:val="auto"/>
        </w:rPr>
        <w:t>The valuation of inflation indexed swaps is determined using an income approach. The primary inputs into the valuation represent</w:t>
      </w:r>
      <w:r>
        <w:rPr>
          <w:rFonts w:ascii="Arial" w:cs="Arial" w:eastAsia="Arial" w:hAnsi="Arial"/>
          <w:sz w:val="18"/>
          <w:szCs w:val="18"/>
          <w:i w:val="1"/>
          <w:iCs w:val="1"/>
          <w:color w:val="auto"/>
        </w:rPr>
        <w:t xml:space="preserve"> </w:t>
      </w:r>
      <w:r>
        <w:rPr>
          <w:rFonts w:ascii="Arial" w:cs="Arial" w:eastAsia="Arial" w:hAnsi="Arial"/>
          <w:sz w:val="18"/>
          <w:szCs w:val="18"/>
          <w:color w:val="auto"/>
        </w:rPr>
        <w:t>the forward interest rate swap curve and consumer price index, which are generally considered observable inputs, and results in the derivative being classified as Level 2.</w:t>
      </w:r>
    </w:p>
    <w:p>
      <w:pPr>
        <w:spacing w:after="0" w:line="140"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i w:val="1"/>
          <w:iCs w:val="1"/>
          <w:color w:val="auto"/>
        </w:rPr>
        <w:t xml:space="preserve">Interest rate swaptions. </w:t>
      </w:r>
      <w:r>
        <w:rPr>
          <w:rFonts w:ascii="Arial" w:cs="Arial" w:eastAsia="Arial" w:hAnsi="Arial"/>
          <w:sz w:val="18"/>
          <w:szCs w:val="18"/>
          <w:color w:val="auto"/>
        </w:rPr>
        <w:t>The valuation of interest rate swaptions is determined using an income approach. The primary inputs into the valuation represent</w:t>
      </w:r>
      <w:r>
        <w:rPr>
          <w:rFonts w:ascii="Arial" w:cs="Arial" w:eastAsia="Arial" w:hAnsi="Arial"/>
          <w:sz w:val="18"/>
          <w:szCs w:val="18"/>
          <w:i w:val="1"/>
          <w:iCs w:val="1"/>
          <w:color w:val="auto"/>
        </w:rPr>
        <w:t xml:space="preserve"> </w:t>
      </w:r>
      <w:r>
        <w:rPr>
          <w:rFonts w:ascii="Arial" w:cs="Arial" w:eastAsia="Arial" w:hAnsi="Arial"/>
          <w:sz w:val="18"/>
          <w:szCs w:val="18"/>
          <w:color w:val="auto"/>
        </w:rPr>
        <w:t>the forward interest rate swap curve, which is generally considered an observable input, forward interest rate volatility and time value component associated with the optionality in the derivative. As a result of the significant unobservable inputs associated with the forward interest rate volatility input, the derivative is classified as Level 3.</w:t>
      </w:r>
    </w:p>
    <w:p>
      <w:pPr>
        <w:spacing w:after="0" w:line="143"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i w:val="1"/>
          <w:iCs w:val="1"/>
          <w:color w:val="auto"/>
        </w:rPr>
        <w:t xml:space="preserve">Foreign currency swaps. </w:t>
      </w:r>
      <w:r>
        <w:rPr>
          <w:rFonts w:ascii="Arial" w:cs="Arial" w:eastAsia="Arial" w:hAnsi="Arial"/>
          <w:sz w:val="18"/>
          <w:szCs w:val="18"/>
          <w:color w:val="auto"/>
        </w:rPr>
        <w:t>The valuation of foreign currency swaps is determined using an income approach. The primary inputs into the valuation represent</w:t>
      </w:r>
      <w:r>
        <w:rPr>
          <w:rFonts w:ascii="Arial" w:cs="Arial" w:eastAsia="Arial" w:hAnsi="Arial"/>
          <w:sz w:val="18"/>
          <w:szCs w:val="18"/>
          <w:i w:val="1"/>
          <w:iCs w:val="1"/>
          <w:color w:val="auto"/>
        </w:rPr>
        <w:t xml:space="preserve"> </w:t>
      </w:r>
      <w:r>
        <w:rPr>
          <w:rFonts w:ascii="Arial" w:cs="Arial" w:eastAsia="Arial" w:hAnsi="Arial"/>
          <w:sz w:val="18"/>
          <w:szCs w:val="18"/>
          <w:color w:val="auto"/>
        </w:rPr>
        <w:t>the forward interest rate swap curve and foreign currency exchange rates, both of which are considered an observable input, and results in the derivative being classified as Level 2.</w:t>
      </w:r>
    </w:p>
    <w:p>
      <w:pPr>
        <w:spacing w:after="0" w:line="140"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i w:val="1"/>
          <w:iCs w:val="1"/>
          <w:color w:val="auto"/>
        </w:rPr>
        <w:t xml:space="preserve">Credit default swaps. </w:t>
      </w:r>
      <w:r>
        <w:rPr>
          <w:rFonts w:ascii="Arial" w:cs="Arial" w:eastAsia="Arial" w:hAnsi="Arial"/>
          <w:sz w:val="16"/>
          <w:szCs w:val="16"/>
          <w:color w:val="auto"/>
        </w:rPr>
        <w:t>We have both single name credit default swaps and index tranche credit default swaps. For single name credit default swaps, we</w:t>
      </w:r>
      <w:r>
        <w:rPr>
          <w:rFonts w:ascii="Arial" w:cs="Arial" w:eastAsia="Arial" w:hAnsi="Arial"/>
          <w:sz w:val="16"/>
          <w:szCs w:val="16"/>
          <w:i w:val="1"/>
          <w:iCs w:val="1"/>
          <w:color w:val="auto"/>
        </w:rPr>
        <w:t xml:space="preserve"> </w:t>
      </w:r>
      <w:r>
        <w:rPr>
          <w:rFonts w:ascii="Arial" w:cs="Arial" w:eastAsia="Arial" w:hAnsi="Arial"/>
          <w:sz w:val="16"/>
          <w:szCs w:val="16"/>
          <w:color w:val="auto"/>
        </w:rPr>
        <w:t>utilize an income approach to determine fair value based on using current market information for the credit spreads of the reference entity, which is considered observable inputs based on the reference entities of our derivatives and results in these derivatives being classified as Level 2. For index tranche credit default swaps, we utilize an income approach that utilizes current market information related to credit spreads and expected defaults and losses associated with the reference entities that comprise the respective index associated with each derivative. There are significant unobservable inputs associated with the timing and amount of losses from the reference entities as well as the timing or amount of losses, if any, that will be absorbed by our tranche. Accordingly, the index tranche credit default swaps are classified as Level 3.</w:t>
      </w:r>
    </w:p>
    <w:p>
      <w:pPr>
        <w:spacing w:after="0" w:line="118"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i w:val="1"/>
          <w:iCs w:val="1"/>
          <w:color w:val="auto"/>
        </w:rPr>
        <w:t xml:space="preserve">Credit default swaps related to securitization entities. </w:t>
      </w:r>
      <w:r>
        <w:rPr>
          <w:rFonts w:ascii="Arial" w:cs="Arial" w:eastAsia="Arial" w:hAnsi="Arial"/>
          <w:sz w:val="18"/>
          <w:szCs w:val="18"/>
          <w:color w:val="auto"/>
        </w:rPr>
        <w:t>Credit default swaps related to securitization entities represent customized index tranche credit</w:t>
      </w:r>
      <w:r>
        <w:rPr>
          <w:rFonts w:ascii="Arial" w:cs="Arial" w:eastAsia="Arial" w:hAnsi="Arial"/>
          <w:sz w:val="18"/>
          <w:szCs w:val="18"/>
          <w:i w:val="1"/>
          <w:iCs w:val="1"/>
          <w:color w:val="auto"/>
        </w:rPr>
        <w:t xml:space="preserve"> </w:t>
      </w:r>
      <w:r>
        <w:rPr>
          <w:rFonts w:ascii="Arial" w:cs="Arial" w:eastAsia="Arial" w:hAnsi="Arial"/>
          <w:sz w:val="18"/>
          <w:szCs w:val="18"/>
          <w:color w:val="auto"/>
        </w:rPr>
        <w:t>default swaps and are valued using a similar methodology as described above for index tranche credit default swaps. We determine fair value of these credit default swaps after considering both the valuation methodology described above as well as the valuation provided by the derivative counterparty. In addition to the valuation methodology and inputs described for index tranche credit default swaps, these customized credit default swaps contain a feature that permits the securitization entity to provide the par value of underlying assets in the securitization entity to settle any losses under the credit default swap. The valuation of this settlement feature is dependent upon the valuation of the underlying assets and the timing and amount of any expected loss on the credit default swap, which is considered a significant unobservable input. Accordingly, these customized index tranche credit default swaps related to securitization entities are classified as Level 3.</w:t>
      </w:r>
    </w:p>
    <w:p>
      <w:pPr>
        <w:spacing w:after="0" w:line="1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i w:val="1"/>
          <w:iCs w:val="1"/>
          <w:color w:val="auto"/>
        </w:rPr>
        <w:t xml:space="preserve">Equity index options. </w:t>
      </w:r>
      <w:r>
        <w:rPr>
          <w:rFonts w:ascii="Arial" w:cs="Arial" w:eastAsia="Arial" w:hAnsi="Arial"/>
          <w:sz w:val="16"/>
          <w:szCs w:val="16"/>
          <w:color w:val="auto"/>
        </w:rPr>
        <w:t>We have equity index options associated with various equity indices. The valuation of equity index options is determined using an</w:t>
      </w:r>
      <w:r>
        <w:rPr>
          <w:rFonts w:ascii="Arial" w:cs="Arial" w:eastAsia="Arial" w:hAnsi="Arial"/>
          <w:sz w:val="16"/>
          <w:szCs w:val="16"/>
          <w:i w:val="1"/>
          <w:iCs w:val="1"/>
          <w:color w:val="auto"/>
        </w:rPr>
        <w:t xml:space="preserve"> </w:t>
      </w:r>
      <w:r>
        <w:rPr>
          <w:rFonts w:ascii="Arial" w:cs="Arial" w:eastAsia="Arial" w:hAnsi="Arial"/>
          <w:sz w:val="16"/>
          <w:szCs w:val="16"/>
          <w:color w:val="auto"/>
        </w:rPr>
        <w:t>income approach. The primary inputs into the valuation represent forward interest rate volatility and time value component associated with the optionality in the derivative, which are considered significant unobservable inputs in most instances. The equity index volatility surface is determined based on market information that is not readily observable and is developed based upon inputs received from several third-party sources. Accordingly, these options are classified as Level 3.</w:t>
      </w:r>
    </w:p>
    <w:p>
      <w:pPr>
        <w:spacing w:after="0" w:line="113"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 xml:space="preserve">Financial futures. </w:t>
      </w:r>
      <w:r>
        <w:rPr>
          <w:rFonts w:ascii="Arial" w:cs="Arial" w:eastAsia="Arial" w:hAnsi="Arial"/>
          <w:sz w:val="16"/>
          <w:szCs w:val="16"/>
          <w:color w:val="auto"/>
        </w:rPr>
        <w:t>The fair value of financial futures is based on the closing exchange prices. Accordingly, these financial futures are classified as Level 1.</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The period end valuation is zero as a result of settling the margins on these contracts on a daily basis.</w:t>
      </w:r>
    </w:p>
    <w:p>
      <w:pPr>
        <w:spacing w:after="0" w:line="165"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i w:val="1"/>
          <w:iCs w:val="1"/>
          <w:color w:val="auto"/>
        </w:rPr>
        <w:t xml:space="preserve">Other foreign currency contracts. </w:t>
      </w:r>
      <w:r>
        <w:rPr>
          <w:rFonts w:ascii="Arial" w:cs="Arial" w:eastAsia="Arial" w:hAnsi="Arial"/>
          <w:sz w:val="18"/>
          <w:szCs w:val="18"/>
          <w:color w:val="auto"/>
        </w:rPr>
        <w:t>We have certain foreign currency options classified as other foreign currency contracts. The valuation of foreign currency</w:t>
      </w:r>
      <w:r>
        <w:rPr>
          <w:rFonts w:ascii="Arial" w:cs="Arial" w:eastAsia="Arial" w:hAnsi="Arial"/>
          <w:sz w:val="18"/>
          <w:szCs w:val="18"/>
          <w:i w:val="1"/>
          <w:iCs w:val="1"/>
          <w:color w:val="auto"/>
        </w:rPr>
        <w:t xml:space="preserve"> </w:t>
      </w:r>
      <w:r>
        <w:rPr>
          <w:rFonts w:ascii="Arial" w:cs="Arial" w:eastAsia="Arial" w:hAnsi="Arial"/>
          <w:sz w:val="18"/>
          <w:szCs w:val="18"/>
          <w:color w:val="auto"/>
        </w:rPr>
        <w:t>options is determined using an income approach. The primary inputs into the valuation represent the forward interest rate swap curve, foreign currency exchange rates, forward interest rate and foreign currency exchange rate volatility and time value component associated with the optionality in the derivative. As a result of the significant unobservable inputs associated with the forward interest rate and foreign currency exchange rate volatility input, the derivative is classified as Level 3.</w:t>
      </w:r>
    </w:p>
    <w:p>
      <w:pPr>
        <w:spacing w:after="0" w:line="22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Reinsurance embedded derivatives</w:t>
      </w:r>
    </w:p>
    <w:p>
      <w:pPr>
        <w:spacing w:after="0" w:line="90" w:lineRule="exact"/>
        <w:rPr>
          <w:sz w:val="20"/>
          <w:szCs w:val="20"/>
          <w:color w:val="auto"/>
        </w:rPr>
      </w:pPr>
    </w:p>
    <w:p>
      <w:pPr>
        <w:ind w:right="220" w:firstLine="456"/>
        <w:spacing w:after="0" w:line="298" w:lineRule="auto"/>
        <w:rPr>
          <w:sz w:val="20"/>
          <w:szCs w:val="20"/>
          <w:color w:val="auto"/>
        </w:rPr>
      </w:pPr>
      <w:r>
        <w:rPr>
          <w:rFonts w:ascii="Arial" w:cs="Arial" w:eastAsia="Arial" w:hAnsi="Arial"/>
          <w:sz w:val="16"/>
          <w:szCs w:val="16"/>
          <w:color w:val="auto"/>
        </w:rPr>
        <w:t>We have certain reinsurance agreements that result in a reinsurance counterparty holding assets for our benefit where this feature is considered an embedded derivative requiring bifurcation. As a result, we measure the embedded derivatives at fair value with changes in fair value being recorded in income. Fair value is determined by comparing the fair value and cost basis of the underlying assets. The underlying assets are primarily comprised of highly rated investments and result in the fair value of the embedded derivatives being classified as Level 2.</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GMWB embedded derivatives</w:t>
      </w:r>
    </w:p>
    <w:p>
      <w:pPr>
        <w:spacing w:after="0" w:line="90"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We are required to bifurcate an embedded derivative for certain features associated with annuity products and related reinsurance agreements where we provide a GMWB to the policyholder and are required to record the GMWB embedded derivative at fair value. The valuation of our GMWB embedded derivative is based on an income approach that incorporates inputs such as forward interest rates, equity index volatility, equity index and fund correlation, and policyholder assumptions such as utilization, lapse and mortality. In addition to these inputs, we also consider risk and expense margins when determining the projected cash flows that would be determined by another market participant. While the risk and expense margins are considered in determining fair value, these inputs do not have a significant impact on the valuation.</w:t>
      </w:r>
    </w:p>
    <w:p>
      <w:pPr>
        <w:spacing w:after="0" w:line="120"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For GMWB liabilities, non-performance risk is integrated into the discount rate. The discount rate utilized in our valuation was based on the swap curve, which included the credit risk of an instrument rated “AA” and incorporated the non-performance risk of our GMWB liabilities. In recent periods, the swap curve has been lower than the U.S. Treasury curve for certain points on the curve. For the points where the swap curve is lower than the U.S. Treasury curve, we utilize the U.S. Treasury curve as our discount rate. As of June 30, 2010 and December 31, 2009, the impact of non-performance risk on our GMWB valuation was not material.</w:t>
      </w:r>
    </w:p>
    <w:p>
      <w:pPr>
        <w:spacing w:after="0" w:line="143"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To determine whether the use of the swap curve was the appropriate discount rate to reflect the non-performance risk of the GMWB liabilities, we evaluate the non-performance risk in our liabilities based on a hypothetical exit market transaction as there is no exit market for these types of liabilities. A hypothetical exit</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45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market can be viewed as a hypothetical transfer of the liability to another similarly rated insurance company which would closely resemble a reinsurance transaction. Another hypothetical exit market transaction can be viewed as a hypothetical transaction from the perspective of the GMWB policyholder. After considering all relevant factors in assessing whether any additional adjustment to the discount rate for non-performance risk was necessary, including assumptions we expect market participants would utilize in a hypothetical exit market transaction, we determined that no incremental adjustment to the discount rate was necessary for our GMWB liabilities that are recorded at fair value. We believe that a hypothetical exit market participant would use a similar discount rate to value the liabilities and would not incorporate changes in non-performance risk in the discount rate other than the implied credit spread incorporated in the swap curve.</w:t>
      </w:r>
    </w:p>
    <w:p>
      <w:pPr>
        <w:spacing w:after="0" w:line="147" w:lineRule="exact"/>
        <w:rPr>
          <w:sz w:val="20"/>
          <w:szCs w:val="20"/>
          <w:color w:val="auto"/>
        </w:rPr>
      </w:pPr>
    </w:p>
    <w:p>
      <w:pPr>
        <w:ind w:right="560" w:firstLine="456"/>
        <w:spacing w:after="0" w:line="268" w:lineRule="auto"/>
        <w:rPr>
          <w:sz w:val="20"/>
          <w:szCs w:val="20"/>
          <w:color w:val="auto"/>
        </w:rPr>
      </w:pPr>
      <w:r>
        <w:rPr>
          <w:rFonts w:ascii="Arial" w:cs="Arial" w:eastAsia="Arial" w:hAnsi="Arial"/>
          <w:sz w:val="18"/>
          <w:szCs w:val="18"/>
          <w:color w:val="auto"/>
        </w:rPr>
        <w:t>For equity index volatility, we determine the projected equity market volatility using both historical volatility and projected near-term equity market volatility with more significance being placed on projected and recent historical data.</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Equity index and fund correlations are determined based on historical price observations for the fund and equity index.</w:t>
      </w:r>
    </w:p>
    <w:p>
      <w:pPr>
        <w:spacing w:after="0" w:line="171"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For policyholder assumptions, we use our expected lapse, mortality and utilization assumptions and update these assumptions for our actual experience, as necessary. For our lapse assumption, we adjust our base lapse assumption by policy based on a combination of the policyholder’s current account value and GMWB benefit.</w:t>
      </w:r>
    </w:p>
    <w:p>
      <w:pPr>
        <w:spacing w:after="0" w:line="140"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We classify the GMWB valuation as Level 3 based on having significant unobservable inputs. We evaluate the inputs and methodologies used to determine fair value based on how we expect a market participant would determine exit value. As stated above, there is no exit market or market participants for the GMWB embedded derivatives. Accordingly, we evaluate our inputs and resulting fair value based on a hypothetical exit market and hypothetical market participants. A hypothetical exit market could be viewed as a transaction that would closely resemble reinsurance. While reinsurance transactions for this type of product are not an observable input, we consider this type of hypothetical exit market when evaluating our inputs and determining that our inputs are consistent with that of a hypothetical market participant.</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Borrowings related to securitization entities</w:t>
      </w:r>
    </w:p>
    <w:p>
      <w:pPr>
        <w:spacing w:after="0" w:line="90"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We record certain borrowings related to securitization entities at fair value. The fair value of these borrowings is determined using either a market approach or income approach, depending on the instrument and availability of market information. Given the unique characteristics of the securitization entities that issued these borrowings as well as the lack of comparable instruments, we determine fair value considering the valuation of the underlying assets held by the securitization entities and any derivatives, as well as any unique characteristics of the borrowings that may impact the valuation. After considering all relevant inputs, we determine fair value of the borrowings using the net valuation of the underlying assets and derivatives that are backing the borrowings. Accordingly, these instruments are classified as Level 3.</w:t>
      </w:r>
    </w:p>
    <w:p>
      <w:pPr>
        <w:spacing w:after="0" w:line="13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459" w:right="2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jc w:val="center"/>
        <w:ind w:left="280"/>
        <w:spacing w:after="0"/>
        <w:rPr>
          <w:sz w:val="20"/>
          <w:szCs w:val="20"/>
          <w:color w:val="auto"/>
        </w:rPr>
      </w:pPr>
      <w:r>
        <w:rPr>
          <w:rFonts w:ascii="Arial" w:cs="Arial" w:eastAsia="Arial" w:hAnsi="Arial"/>
          <w:sz w:val="16"/>
          <w:szCs w:val="16"/>
          <w:color w:val="auto"/>
        </w:rPr>
        <w:t>The following tables set forth our assets and liabilities by class of instrument that are measured at fair value on a recurring basis as of the dates indicated: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2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6"/>
          </w:tcPr>
          <w:p>
            <w:pPr>
              <w:jc w:val="right"/>
              <w:ind w:right="460"/>
              <w:spacing w:after="0"/>
              <w:rPr>
                <w:sz w:val="20"/>
                <w:szCs w:val="20"/>
                <w:color w:val="auto"/>
              </w:rPr>
            </w:pPr>
            <w:r>
              <w:rPr>
                <w:rFonts w:ascii="Arial" w:cs="Arial" w:eastAsia="Arial" w:hAnsi="Arial"/>
                <w:sz w:val="14"/>
                <w:szCs w:val="14"/>
                <w:b w:val="1"/>
                <w:bCs w:val="1"/>
                <w:color w:val="auto"/>
              </w:rPr>
              <w:t>June 30, 2010</w:t>
            </w: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240" w:type="dxa"/>
            <w:vAlign w:val="bottom"/>
            <w:gridSpan w:val="3"/>
            <w:vMerge w:val="continue"/>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ind w:left="60"/>
              <w:spacing w:after="0" w:line="142"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700" w:type="dxa"/>
            <w:vAlign w:val="bottom"/>
            <w:gridSpan w:val="3"/>
          </w:tcPr>
          <w:p>
            <w:pPr>
              <w:jc w:val="right"/>
              <w:ind w:right="200"/>
              <w:spacing w:after="0" w:line="142" w:lineRule="exact"/>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12"/>
                <w:szCs w:val="12"/>
                <w:color w:val="auto"/>
              </w:rPr>
            </w:pPr>
          </w:p>
        </w:tc>
        <w:tc>
          <w:tcPr>
            <w:tcW w:w="700" w:type="dxa"/>
            <w:vAlign w:val="bottom"/>
            <w:gridSpan w:val="3"/>
          </w:tcPr>
          <w:p>
            <w:pPr>
              <w:jc w:val="right"/>
              <w:ind w:right="200"/>
              <w:spacing w:after="0" w:line="142" w:lineRule="exact"/>
              <w:rPr>
                <w:sz w:val="20"/>
                <w:szCs w:val="20"/>
                <w:color w:val="auto"/>
              </w:rPr>
            </w:pPr>
            <w:r>
              <w:rPr>
                <w:rFonts w:ascii="Arial" w:cs="Arial" w:eastAsia="Arial" w:hAnsi="Arial"/>
                <w:sz w:val="14"/>
                <w:szCs w:val="14"/>
                <w:b w:val="1"/>
                <w:bCs w:val="1"/>
                <w:color w:val="auto"/>
              </w:rPr>
              <w:t>Level 2</w:t>
            </w:r>
          </w:p>
        </w:tc>
        <w:tc>
          <w:tcPr>
            <w:tcW w:w="100" w:type="dxa"/>
            <w:vAlign w:val="bottom"/>
          </w:tcPr>
          <w:p>
            <w:pPr>
              <w:spacing w:after="0"/>
              <w:rPr>
                <w:sz w:val="12"/>
                <w:szCs w:val="12"/>
                <w:color w:val="auto"/>
              </w:rPr>
            </w:pPr>
          </w:p>
        </w:tc>
        <w:tc>
          <w:tcPr>
            <w:tcW w:w="5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92"/>
              </w:rPr>
              <w:t>Level 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Assets</w:t>
            </w:r>
          </w:p>
        </w:tc>
        <w:tc>
          <w:tcPr>
            <w:tcW w:w="59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420"/>
              <w:spacing w:after="0"/>
              <w:rPr>
                <w:sz w:val="20"/>
                <w:szCs w:val="20"/>
                <w:color w:val="auto"/>
              </w:rPr>
            </w:pPr>
            <w:r>
              <w:rPr>
                <w:rFonts w:ascii="Arial" w:cs="Arial" w:eastAsia="Arial" w:hAnsi="Arial"/>
                <w:sz w:val="18"/>
                <w:szCs w:val="18"/>
                <w:color w:val="auto"/>
              </w:rPr>
              <w:t>Investments: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Fixed maturity securities: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1280"/>
              <w:spacing w:after="0"/>
              <w:rPr>
                <w:sz w:val="20"/>
                <w:szCs w:val="20"/>
                <w:color w:val="auto"/>
              </w:rPr>
            </w:pPr>
            <w:r>
              <w:rPr>
                <w:rFonts w:ascii="Arial" w:cs="Arial" w:eastAsia="Arial" w:hAnsi="Arial"/>
                <w:sz w:val="18"/>
                <w:szCs w:val="18"/>
                <w:color w:val="auto"/>
              </w:rPr>
              <w:t>U.S. government, agencies and government-sponsored enterprises</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3,684</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3,675</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Tax-exempt</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1,350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1,350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1280"/>
              <w:spacing w:after="0"/>
              <w:rPr>
                <w:sz w:val="20"/>
                <w:szCs w:val="20"/>
                <w:color w:val="auto"/>
              </w:rPr>
            </w:pPr>
            <w:r>
              <w:rPr>
                <w:rFonts w:ascii="Arial" w:cs="Arial" w:eastAsia="Arial" w:hAnsi="Arial"/>
                <w:sz w:val="18"/>
                <w:szCs w:val="18"/>
                <w:color w:val="auto"/>
              </w:rPr>
              <w:t>Government—non-U.S.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2,146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2,128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U.S. corporate</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7"/>
              </w:rPr>
              <w:t>23,378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3"/>
              </w:rPr>
              <w:t>21,858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1,520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1280"/>
              <w:spacing w:after="0"/>
              <w:rPr>
                <w:sz w:val="20"/>
                <w:szCs w:val="20"/>
                <w:color w:val="auto"/>
              </w:rPr>
            </w:pPr>
            <w:r>
              <w:rPr>
                <w:rFonts w:ascii="Arial" w:cs="Arial" w:eastAsia="Arial" w:hAnsi="Arial"/>
                <w:sz w:val="18"/>
                <w:szCs w:val="18"/>
                <w:color w:val="auto"/>
              </w:rPr>
              <w:t>Corporate—non-U.S.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w w:val="87"/>
              </w:rPr>
              <w:t>12,799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w w:val="83"/>
              </w:rPr>
              <w:t>12,079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Residential mortgage-backed</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3,955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3,893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1280"/>
              <w:spacing w:after="0"/>
              <w:rPr>
                <w:sz w:val="20"/>
                <w:szCs w:val="20"/>
                <w:color w:val="auto"/>
              </w:rPr>
            </w:pPr>
            <w:r>
              <w:rPr>
                <w:rFonts w:ascii="Arial" w:cs="Arial" w:eastAsia="Arial" w:hAnsi="Arial"/>
                <w:sz w:val="18"/>
                <w:szCs w:val="18"/>
                <w:color w:val="auto"/>
              </w:rPr>
              <w:t>Commercial mortgage-backed</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3,726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3,667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59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Other asset-backed</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1,987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20" w:type="dxa"/>
            <w:vAlign w:val="bottom"/>
            <w:gridSpan w:val="2"/>
            <w:vMerge w:val="restart"/>
          </w:tcPr>
          <w:p>
            <w:pPr>
              <w:ind w:left="1280"/>
              <w:spacing w:after="0"/>
              <w:rPr>
                <w:sz w:val="20"/>
                <w:szCs w:val="20"/>
                <w:color w:val="auto"/>
              </w:rPr>
            </w:pPr>
            <w:r>
              <w:rPr>
                <w:rFonts w:ascii="Arial" w:cs="Arial" w:eastAsia="Arial" w:hAnsi="Arial"/>
                <w:sz w:val="18"/>
                <w:szCs w:val="18"/>
                <w:color w:val="auto"/>
              </w:rPr>
              <w:t>Total fixed maturity securities</w:t>
            </w:r>
          </w:p>
        </w:tc>
        <w:tc>
          <w:tcPr>
            <w:tcW w:w="1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220" w:type="dxa"/>
            <w:vAlign w:val="bottom"/>
            <w:gridSpan w:val="2"/>
            <w:vMerge w:val="continue"/>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53,386</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w w:val="83"/>
              </w:rPr>
              <w:t>50,637</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w w:val="84"/>
              </w:rPr>
              <w:t>2,749</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9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Equity securities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20" w:type="dxa"/>
            <w:vAlign w:val="bottom"/>
            <w:gridSpan w:val="2"/>
          </w:tcPr>
          <w:p>
            <w:pPr>
              <w:ind w:left="860"/>
              <w:spacing w:after="0"/>
              <w:rPr>
                <w:sz w:val="20"/>
                <w:szCs w:val="20"/>
                <w:color w:val="auto"/>
              </w:rPr>
            </w:pPr>
            <w:r>
              <w:rPr>
                <w:rFonts w:ascii="Arial" w:cs="Arial" w:eastAsia="Arial" w:hAnsi="Arial"/>
                <w:sz w:val="18"/>
                <w:szCs w:val="18"/>
                <w:color w:val="auto"/>
              </w:rPr>
              <w:t>Other invested assets:</w:t>
            </w:r>
          </w:p>
        </w:tc>
        <w:tc>
          <w:tcPr>
            <w:tcW w:w="12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22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Trading securities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1280"/>
              <w:spacing w:after="0"/>
              <w:rPr>
                <w:sz w:val="20"/>
                <w:szCs w:val="20"/>
                <w:color w:val="auto"/>
              </w:rPr>
            </w:pPr>
            <w:r>
              <w:rPr>
                <w:rFonts w:ascii="Arial" w:cs="Arial" w:eastAsia="Arial" w:hAnsi="Arial"/>
                <w:sz w:val="18"/>
                <w:szCs w:val="18"/>
                <w:color w:val="auto"/>
              </w:rPr>
              <w:t>Derivative assets: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59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Interest rate swaps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1,173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1,164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5900" w:type="dxa"/>
            <w:vAlign w:val="bottom"/>
          </w:tcPr>
          <w:p>
            <w:pPr>
              <w:ind w:left="400"/>
              <w:spacing w:after="0"/>
              <w:rPr>
                <w:sz w:val="20"/>
                <w:szCs w:val="20"/>
                <w:color w:val="auto"/>
              </w:rPr>
            </w:pPr>
            <w:r>
              <w:rPr>
                <w:rFonts w:ascii="Arial" w:cs="Arial" w:eastAsia="Arial" w:hAnsi="Arial"/>
                <w:sz w:val="18"/>
                <w:szCs w:val="18"/>
                <w:color w:val="auto"/>
              </w:rPr>
              <w:t>Inflation indexed swaps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59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Foreign currency swaps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5900" w:type="dxa"/>
            <w:vAlign w:val="bottom"/>
          </w:tcPr>
          <w:p>
            <w:pPr>
              <w:ind w:left="400"/>
              <w:spacing w:after="0"/>
              <w:rPr>
                <w:sz w:val="20"/>
                <w:szCs w:val="20"/>
                <w:color w:val="auto"/>
              </w:rPr>
            </w:pPr>
            <w:r>
              <w:rPr>
                <w:rFonts w:ascii="Arial" w:cs="Arial" w:eastAsia="Arial" w:hAnsi="Arial"/>
                <w:sz w:val="18"/>
                <w:szCs w:val="18"/>
                <w:color w:val="auto"/>
              </w:rPr>
              <w:t>Interest rate swaptions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59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Credit default swaps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5900" w:type="dxa"/>
            <w:vAlign w:val="bottom"/>
          </w:tcPr>
          <w:p>
            <w:pPr>
              <w:ind w:left="400"/>
              <w:spacing w:after="0"/>
              <w:rPr>
                <w:sz w:val="20"/>
                <w:szCs w:val="20"/>
                <w:color w:val="auto"/>
              </w:rPr>
            </w:pPr>
            <w:r>
              <w:rPr>
                <w:rFonts w:ascii="Arial" w:cs="Arial" w:eastAsia="Arial" w:hAnsi="Arial"/>
                <w:sz w:val="18"/>
                <w:szCs w:val="18"/>
                <w:color w:val="auto"/>
              </w:rPr>
              <w:t>Equity index options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97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59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Other foreign currency contracts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900" w:type="dxa"/>
            <w:vAlign w:val="bottom"/>
            <w:vMerge w:val="restart"/>
          </w:tcPr>
          <w:p>
            <w:pPr>
              <w:ind w:left="400"/>
              <w:spacing w:after="0"/>
              <w:rPr>
                <w:sz w:val="20"/>
                <w:szCs w:val="20"/>
                <w:color w:val="auto"/>
              </w:rPr>
            </w:pPr>
            <w:r>
              <w:rPr>
                <w:rFonts w:ascii="Arial" w:cs="Arial" w:eastAsia="Arial" w:hAnsi="Arial"/>
                <w:sz w:val="18"/>
                <w:szCs w:val="18"/>
                <w:color w:val="auto"/>
              </w:rPr>
              <w:t>Total derivative assets</w:t>
            </w:r>
          </w:p>
        </w:tc>
        <w:tc>
          <w:tcPr>
            <w:tcW w:w="1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5900" w:type="dxa"/>
            <w:vAlign w:val="bottom"/>
            <w:vMerge w:val="continue"/>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1,443</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1,332</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9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Securities lending collateral</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680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1280"/>
              <w:spacing w:after="0"/>
              <w:rPr>
                <w:sz w:val="20"/>
                <w:szCs w:val="20"/>
                <w:color w:val="auto"/>
              </w:rPr>
            </w:pPr>
            <w:r>
              <w:rPr>
                <w:rFonts w:ascii="Arial" w:cs="Arial" w:eastAsia="Arial" w:hAnsi="Arial"/>
                <w:sz w:val="18"/>
                <w:szCs w:val="18"/>
                <w:color w:val="auto"/>
              </w:rPr>
              <w:t>Derivatives counterparty collateral</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Restricted other invested assets related to securitization entities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20" w:type="dxa"/>
            <w:vAlign w:val="bottom"/>
            <w:gridSpan w:val="2"/>
            <w:vMerge w:val="restart"/>
          </w:tcPr>
          <w:p>
            <w:pPr>
              <w:ind w:left="1280"/>
              <w:spacing w:after="0"/>
              <w:rPr>
                <w:sz w:val="20"/>
                <w:szCs w:val="20"/>
                <w:color w:val="auto"/>
              </w:rPr>
            </w:pPr>
            <w:r>
              <w:rPr>
                <w:rFonts w:ascii="Arial" w:cs="Arial" w:eastAsia="Arial" w:hAnsi="Arial"/>
                <w:sz w:val="18"/>
                <w:szCs w:val="18"/>
                <w:color w:val="auto"/>
              </w:rPr>
              <w:t>Total other invested assets</w:t>
            </w:r>
          </w:p>
        </w:tc>
        <w:tc>
          <w:tcPr>
            <w:tcW w:w="1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220" w:type="dxa"/>
            <w:vAlign w:val="bottom"/>
            <w:gridSpan w:val="2"/>
            <w:vMerge w:val="continue"/>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2,817</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2,396</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421</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9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Other assets </w:t>
            </w:r>
            <w:r>
              <w:rPr>
                <w:rFonts w:ascii="Arial" w:cs="Arial" w:eastAsia="Arial" w:hAnsi="Arial"/>
                <w:sz w:val="11"/>
                <w:szCs w:val="11"/>
                <w:color w:val="auto"/>
              </w:rPr>
              <w:t>(1)</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420"/>
              <w:spacing w:after="0"/>
              <w:rPr>
                <w:sz w:val="20"/>
                <w:szCs w:val="20"/>
                <w:color w:val="auto"/>
              </w:rPr>
            </w:pPr>
            <w:r>
              <w:rPr>
                <w:rFonts w:ascii="Arial" w:cs="Arial" w:eastAsia="Arial" w:hAnsi="Arial"/>
                <w:sz w:val="18"/>
                <w:szCs w:val="18"/>
                <w:color w:val="auto"/>
              </w:rPr>
              <w:t xml:space="preserve">Reinsurance recoverable </w:t>
            </w:r>
            <w:r>
              <w:rPr>
                <w:rFonts w:ascii="Arial" w:cs="Arial" w:eastAsia="Arial" w:hAnsi="Arial"/>
                <w:sz w:val="11"/>
                <w:szCs w:val="11"/>
                <w:color w:val="auto"/>
              </w:rPr>
              <w:t>(2)</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Separate account assets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10,284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3"/>
              </w:rPr>
              <w:t>10,284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20" w:type="dxa"/>
            <w:vAlign w:val="bottom"/>
            <w:gridSpan w:val="2"/>
            <w:vMerge w:val="restart"/>
          </w:tcPr>
          <w:p>
            <w:pPr>
              <w:ind w:left="1280"/>
              <w:spacing w:after="0"/>
              <w:rPr>
                <w:sz w:val="20"/>
                <w:szCs w:val="20"/>
                <w:color w:val="auto"/>
              </w:rPr>
            </w:pPr>
            <w:r>
              <w:rPr>
                <w:rFonts w:ascii="Arial" w:cs="Arial" w:eastAsia="Arial" w:hAnsi="Arial"/>
                <w:sz w:val="18"/>
                <w:szCs w:val="18"/>
                <w:color w:val="auto"/>
              </w:rPr>
              <w:t>Total assets</w:t>
            </w:r>
          </w:p>
        </w:tc>
        <w:tc>
          <w:tcPr>
            <w:tcW w:w="1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220" w:type="dxa"/>
            <w:vAlign w:val="bottom"/>
            <w:gridSpan w:val="2"/>
            <w:vMerge w:val="continue"/>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66,697</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w w:val="83"/>
              </w:rPr>
              <w:t>10,304</w:t>
            </w:r>
          </w:p>
        </w:tc>
        <w:tc>
          <w:tcPr>
            <w:tcW w:w="2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w w:val="83"/>
              </w:rPr>
              <w:t>53,205</w:t>
            </w:r>
          </w:p>
        </w:tc>
        <w:tc>
          <w:tcPr>
            <w:tcW w:w="2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w w:val="84"/>
              </w:rPr>
              <w:t>3,188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9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7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Liabilities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420"/>
              <w:spacing w:after="0"/>
              <w:rPr>
                <w:sz w:val="20"/>
                <w:szCs w:val="20"/>
                <w:color w:val="auto"/>
              </w:rPr>
            </w:pPr>
            <w:r>
              <w:rPr>
                <w:rFonts w:ascii="Arial" w:cs="Arial" w:eastAsia="Arial" w:hAnsi="Arial"/>
                <w:sz w:val="18"/>
                <w:szCs w:val="18"/>
                <w:color w:val="auto"/>
              </w:rPr>
              <w:t xml:space="preserve">Policyholder account balances </w:t>
            </w:r>
            <w:r>
              <w:rPr>
                <w:rFonts w:ascii="Arial" w:cs="Arial" w:eastAsia="Arial" w:hAnsi="Arial"/>
                <w:sz w:val="11"/>
                <w:szCs w:val="11"/>
                <w:color w:val="auto"/>
              </w:rPr>
              <w:t>(3)</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447</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447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Derivative liabilities: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860"/>
              <w:spacing w:after="0"/>
              <w:rPr>
                <w:sz w:val="20"/>
                <w:szCs w:val="20"/>
                <w:color w:val="auto"/>
              </w:rPr>
            </w:pPr>
            <w:r>
              <w:rPr>
                <w:rFonts w:ascii="Arial" w:cs="Arial" w:eastAsia="Arial" w:hAnsi="Arial"/>
                <w:sz w:val="18"/>
                <w:szCs w:val="18"/>
                <w:color w:val="auto"/>
              </w:rPr>
              <w:t>Interest rate swaps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Interest rate swaps related to securitization entities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tcPr>
          <w:p>
            <w:pPr>
              <w:ind w:left="860"/>
              <w:spacing w:after="0"/>
              <w:rPr>
                <w:sz w:val="20"/>
                <w:szCs w:val="20"/>
                <w:color w:val="auto"/>
              </w:rPr>
            </w:pPr>
            <w:r>
              <w:rPr>
                <w:rFonts w:ascii="Arial" w:cs="Arial" w:eastAsia="Arial" w:hAnsi="Arial"/>
                <w:sz w:val="18"/>
                <w:szCs w:val="18"/>
                <w:color w:val="auto"/>
              </w:rPr>
              <w:t>Inflation indexed swaps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Credit default swaps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20" w:type="dxa"/>
            <w:vAlign w:val="bottom"/>
            <w:gridSpan w:val="2"/>
          </w:tcPr>
          <w:p>
            <w:pPr>
              <w:ind w:left="860"/>
              <w:spacing w:after="0"/>
              <w:rPr>
                <w:sz w:val="20"/>
                <w:szCs w:val="20"/>
                <w:color w:val="auto"/>
              </w:rPr>
            </w:pPr>
            <w:r>
              <w:rPr>
                <w:rFonts w:ascii="Arial" w:cs="Arial" w:eastAsia="Arial" w:hAnsi="Arial"/>
                <w:sz w:val="18"/>
                <w:szCs w:val="18"/>
                <w:color w:val="auto"/>
              </w:rPr>
              <w:t>Credit default swaps related to securitization entities</w:t>
            </w:r>
          </w:p>
        </w:tc>
        <w:tc>
          <w:tcPr>
            <w:tcW w:w="12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159</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derivative liabilities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20" w:type="dxa"/>
            <w:vAlign w:val="bottom"/>
            <w:gridSpan w:val="2"/>
          </w:tcPr>
          <w:p>
            <w:pPr>
              <w:ind w:left="420"/>
              <w:spacing w:after="0"/>
              <w:rPr>
                <w:sz w:val="20"/>
                <w:szCs w:val="20"/>
                <w:color w:val="auto"/>
              </w:rPr>
            </w:pPr>
            <w:r>
              <w:rPr>
                <w:rFonts w:ascii="Arial" w:cs="Arial" w:eastAsia="Arial" w:hAnsi="Arial"/>
                <w:sz w:val="18"/>
                <w:szCs w:val="18"/>
                <w:color w:val="auto"/>
              </w:rPr>
              <w:t>Borrowings related to securitization entities</w:t>
            </w:r>
          </w:p>
        </w:tc>
        <w:tc>
          <w:tcPr>
            <w:tcW w:w="12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2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Total liabilities</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790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107</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9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340" w:hanging="332"/>
        <w:spacing w:after="0"/>
        <w:tabs>
          <w:tab w:leader="none" w:pos="340" w:val="left"/>
        </w:tabs>
        <w:numPr>
          <w:ilvl w:val="0"/>
          <w:numId w:val="25"/>
        </w:numPr>
        <w:rPr>
          <w:rFonts w:ascii="Arial" w:cs="Arial" w:eastAsia="Arial" w:hAnsi="Arial"/>
          <w:sz w:val="22"/>
          <w:szCs w:val="22"/>
          <w:color w:val="auto"/>
          <w:vertAlign w:val="superscript"/>
        </w:rPr>
      </w:pPr>
      <w:r>
        <w:rPr>
          <w:rFonts w:ascii="Arial" w:cs="Arial" w:eastAsia="Arial" w:hAnsi="Arial"/>
          <w:sz w:val="18"/>
          <w:szCs w:val="18"/>
          <w:color w:val="auto"/>
        </w:rPr>
        <w:t>Represents embedded derivatives associated with certain reinsurance agreements.</w:t>
      </w:r>
    </w:p>
    <w:p>
      <w:pPr>
        <w:spacing w:after="0" w:line="7" w:lineRule="exact"/>
        <w:rPr>
          <w:rFonts w:ascii="Arial" w:cs="Arial" w:eastAsia="Arial" w:hAnsi="Arial"/>
          <w:sz w:val="22"/>
          <w:szCs w:val="22"/>
          <w:color w:val="auto"/>
          <w:vertAlign w:val="superscript"/>
        </w:rPr>
      </w:pPr>
    </w:p>
    <w:p>
      <w:pPr>
        <w:ind w:left="340" w:hanging="332"/>
        <w:spacing w:after="0" w:line="197" w:lineRule="auto"/>
        <w:tabs>
          <w:tab w:leader="none" w:pos="340" w:val="left"/>
        </w:tabs>
        <w:numPr>
          <w:ilvl w:val="0"/>
          <w:numId w:val="25"/>
        </w:numPr>
        <w:rPr>
          <w:rFonts w:ascii="Arial" w:cs="Arial" w:eastAsia="Arial" w:hAnsi="Arial"/>
          <w:sz w:val="22"/>
          <w:szCs w:val="22"/>
          <w:color w:val="auto"/>
          <w:vertAlign w:val="superscript"/>
        </w:rPr>
      </w:pPr>
      <w:r>
        <w:rPr>
          <w:rFonts w:ascii="Arial" w:cs="Arial" w:eastAsia="Arial" w:hAnsi="Arial"/>
          <w:sz w:val="18"/>
          <w:szCs w:val="18"/>
          <w:color w:val="auto"/>
        </w:rPr>
        <w:t>Represents embedded derivatives associated with the reinsured portion of our GMWB liabilities.</w:t>
      </w:r>
    </w:p>
    <w:p>
      <w:pPr>
        <w:spacing w:after="0" w:line="8" w:lineRule="exact"/>
        <w:rPr>
          <w:rFonts w:ascii="Arial" w:cs="Arial" w:eastAsia="Arial" w:hAnsi="Arial"/>
          <w:sz w:val="22"/>
          <w:szCs w:val="22"/>
          <w:color w:val="auto"/>
          <w:vertAlign w:val="superscript"/>
        </w:rPr>
      </w:pPr>
    </w:p>
    <w:p>
      <w:pPr>
        <w:ind w:left="340" w:hanging="332"/>
        <w:spacing w:after="0" w:line="197" w:lineRule="auto"/>
        <w:tabs>
          <w:tab w:leader="none" w:pos="340" w:val="left"/>
        </w:tabs>
        <w:numPr>
          <w:ilvl w:val="0"/>
          <w:numId w:val="25"/>
        </w:numPr>
        <w:rPr>
          <w:rFonts w:ascii="Arial" w:cs="Arial" w:eastAsia="Arial" w:hAnsi="Arial"/>
          <w:sz w:val="22"/>
          <w:szCs w:val="22"/>
          <w:color w:val="auto"/>
          <w:vertAlign w:val="superscript"/>
        </w:rPr>
      </w:pPr>
      <w:r>
        <w:rPr>
          <w:rFonts w:ascii="Arial" w:cs="Arial" w:eastAsia="Arial" w:hAnsi="Arial"/>
          <w:sz w:val="18"/>
          <w:szCs w:val="18"/>
          <w:color w:val="auto"/>
        </w:rPr>
        <w:t>Represents embedded derivatives associated with our GMWB liabilities, excluding the impact of reinsurance.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-434975</wp:posOffset>
            </wp:positionV>
            <wp:extent cx="72898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0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December 31, 2009</w:t>
            </w: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960" w:type="dxa"/>
            <w:vAlign w:val="bottom"/>
            <w:gridSpan w:val="3"/>
            <w:vMerge w:val="continue"/>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right"/>
              <w:ind w:right="580"/>
              <w:spacing w:after="0" w:line="142" w:lineRule="exact"/>
              <w:rPr>
                <w:sz w:val="20"/>
                <w:szCs w:val="20"/>
                <w:color w:val="auto"/>
              </w:rPr>
            </w:pPr>
            <w:r>
              <w:rPr>
                <w:rFonts w:ascii="Arial" w:cs="Arial" w:eastAsia="Arial" w:hAnsi="Arial"/>
                <w:sz w:val="14"/>
                <w:szCs w:val="14"/>
                <w:b w:val="1"/>
                <w:bCs w:val="1"/>
                <w:color w:val="auto"/>
                <w:w w:val="95"/>
              </w:rPr>
              <w:t>Total</w:t>
            </w:r>
          </w:p>
        </w:tc>
        <w:tc>
          <w:tcPr>
            <w:tcW w:w="58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Level 1</w:t>
            </w:r>
          </w:p>
        </w:tc>
        <w:tc>
          <w:tcPr>
            <w:tcW w:w="340" w:type="dxa"/>
            <w:vAlign w:val="bottom"/>
          </w:tcPr>
          <w:p>
            <w:pPr>
              <w:spacing w:after="0"/>
              <w:rPr>
                <w:sz w:val="12"/>
                <w:szCs w:val="12"/>
                <w:color w:val="auto"/>
              </w:rPr>
            </w:pPr>
          </w:p>
        </w:tc>
        <w:tc>
          <w:tcPr>
            <w:tcW w:w="740" w:type="dxa"/>
            <w:vAlign w:val="bottom"/>
            <w:gridSpan w:val="3"/>
          </w:tcPr>
          <w:p>
            <w:pPr>
              <w:jc w:val="right"/>
              <w:ind w:right="240"/>
              <w:spacing w:after="0" w:line="142" w:lineRule="exact"/>
              <w:rPr>
                <w:sz w:val="20"/>
                <w:szCs w:val="20"/>
                <w:color w:val="auto"/>
              </w:rPr>
            </w:pPr>
            <w:r>
              <w:rPr>
                <w:rFonts w:ascii="Arial" w:cs="Arial" w:eastAsia="Arial" w:hAnsi="Arial"/>
                <w:sz w:val="14"/>
                <w:szCs w:val="14"/>
                <w:b w:val="1"/>
                <w:bCs w:val="1"/>
                <w:color w:val="auto"/>
              </w:rPr>
              <w:t>Level 2</w:t>
            </w:r>
          </w:p>
        </w:tc>
        <w:tc>
          <w:tcPr>
            <w:tcW w:w="180" w:type="dxa"/>
            <w:vAlign w:val="bottom"/>
          </w:tcPr>
          <w:p>
            <w:pPr>
              <w:spacing w:after="0"/>
              <w:rPr>
                <w:sz w:val="12"/>
                <w:szCs w:val="12"/>
                <w:color w:val="auto"/>
              </w:rPr>
            </w:pPr>
          </w:p>
        </w:tc>
        <w:tc>
          <w:tcPr>
            <w:tcW w:w="5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92"/>
              </w:rPr>
              <w:t>Level 3</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Assets</w:t>
            </w:r>
          </w:p>
        </w:tc>
        <w:tc>
          <w:tcPr>
            <w:tcW w:w="56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tcPr>
          <w:p>
            <w:pPr>
              <w:ind w:left="420"/>
              <w:spacing w:after="0"/>
              <w:rPr>
                <w:sz w:val="20"/>
                <w:szCs w:val="20"/>
                <w:color w:val="auto"/>
              </w:rPr>
            </w:pPr>
            <w:r>
              <w:rPr>
                <w:rFonts w:ascii="Arial" w:cs="Arial" w:eastAsia="Arial" w:hAnsi="Arial"/>
                <w:sz w:val="18"/>
                <w:szCs w:val="18"/>
                <w:color w:val="auto"/>
              </w:rPr>
              <w:t>Investments:</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Fixed maturity securities: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tcPr>
          <w:p>
            <w:pPr>
              <w:ind w:left="1280"/>
              <w:spacing w:after="0"/>
              <w:rPr>
                <w:sz w:val="20"/>
                <w:szCs w:val="20"/>
                <w:color w:val="auto"/>
              </w:rPr>
            </w:pPr>
            <w:r>
              <w:rPr>
                <w:rFonts w:ascii="Arial" w:cs="Arial" w:eastAsia="Arial" w:hAnsi="Arial"/>
                <w:sz w:val="18"/>
                <w:szCs w:val="18"/>
                <w:color w:val="auto"/>
              </w:rPr>
              <w:t>U.S. government, agencies and government-sponsored enterprises</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2,602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2,586</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Tax-exempt</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1,544</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1,542</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tcPr>
          <w:p>
            <w:pPr>
              <w:ind w:left="1280"/>
              <w:spacing w:after="0"/>
              <w:rPr>
                <w:sz w:val="20"/>
                <w:szCs w:val="20"/>
                <w:color w:val="auto"/>
              </w:rPr>
            </w:pPr>
            <w:r>
              <w:rPr>
                <w:rFonts w:ascii="Arial" w:cs="Arial" w:eastAsia="Arial" w:hAnsi="Arial"/>
                <w:sz w:val="18"/>
                <w:szCs w:val="18"/>
                <w:color w:val="auto"/>
              </w:rPr>
              <w:t>Government—non-U.S.</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2,384</w:t>
            </w:r>
          </w:p>
        </w:tc>
        <w:tc>
          <w:tcPr>
            <w:tcW w:w="100" w:type="dxa"/>
            <w:vAlign w:val="bottom"/>
          </w:tcPr>
          <w:p>
            <w:pPr>
              <w:spacing w:after="0"/>
              <w:rPr>
                <w:sz w:val="18"/>
                <w:szCs w:val="18"/>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2,377</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U.S. corporate</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83"/>
              </w:rPr>
              <w:t>21,412</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7"/>
              </w:rPr>
              <w:t>20,339</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1,073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tcPr>
          <w:p>
            <w:pPr>
              <w:ind w:left="1280"/>
              <w:spacing w:after="0"/>
              <w:rPr>
                <w:sz w:val="20"/>
                <w:szCs w:val="20"/>
                <w:color w:val="auto"/>
              </w:rPr>
            </w:pPr>
            <w:r>
              <w:rPr>
                <w:rFonts w:ascii="Arial" w:cs="Arial" w:eastAsia="Arial" w:hAnsi="Arial"/>
                <w:sz w:val="18"/>
                <w:szCs w:val="18"/>
                <w:color w:val="auto"/>
              </w:rPr>
              <w:t>Corporate—non-U.S.</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w w:val="83"/>
              </w:rPr>
              <w:t>12,551</w:t>
            </w:r>
          </w:p>
        </w:tc>
        <w:tc>
          <w:tcPr>
            <w:tcW w:w="100" w:type="dxa"/>
            <w:vAlign w:val="bottom"/>
          </w:tcPr>
          <w:p>
            <w:pPr>
              <w:spacing w:after="0"/>
              <w:rPr>
                <w:sz w:val="18"/>
                <w:szCs w:val="18"/>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w w:val="87"/>
              </w:rPr>
              <w:t>12,047</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504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Residential mortgage-backed</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3,227</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1,746</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1,481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tcPr>
          <w:p>
            <w:pPr>
              <w:ind w:left="1280"/>
              <w:spacing w:after="0"/>
              <w:rPr>
                <w:sz w:val="20"/>
                <w:szCs w:val="20"/>
                <w:color w:val="auto"/>
              </w:rPr>
            </w:pPr>
            <w:r>
              <w:rPr>
                <w:rFonts w:ascii="Arial" w:cs="Arial" w:eastAsia="Arial" w:hAnsi="Arial"/>
                <w:sz w:val="18"/>
                <w:szCs w:val="18"/>
                <w:color w:val="auto"/>
              </w:rPr>
              <w:t>Commercial mortgage-backed</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3,617</w:t>
            </w:r>
          </w:p>
        </w:tc>
        <w:tc>
          <w:tcPr>
            <w:tcW w:w="100" w:type="dxa"/>
            <w:vAlign w:val="bottom"/>
          </w:tcPr>
          <w:p>
            <w:pPr>
              <w:spacing w:after="0"/>
              <w:rPr>
                <w:sz w:val="18"/>
                <w:szCs w:val="18"/>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59</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3,558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Other asset-backed</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2,415</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996</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1,419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gridSpan w:val="2"/>
            <w:vMerge w:val="restart"/>
          </w:tcPr>
          <w:p>
            <w:pPr>
              <w:ind w:left="1280"/>
              <w:spacing w:after="0"/>
              <w:rPr>
                <w:sz w:val="20"/>
                <w:szCs w:val="20"/>
                <w:color w:val="auto"/>
              </w:rPr>
            </w:pPr>
            <w:r>
              <w:rPr>
                <w:rFonts w:ascii="Arial" w:cs="Arial" w:eastAsia="Arial" w:hAnsi="Arial"/>
                <w:sz w:val="18"/>
                <w:szCs w:val="18"/>
                <w:color w:val="auto"/>
              </w:rPr>
              <w:t>Total fixed maturity securities</w:t>
            </w:r>
          </w:p>
        </w:tc>
        <w:tc>
          <w:tcPr>
            <w:tcW w:w="10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940" w:type="dxa"/>
            <w:vAlign w:val="bottom"/>
            <w:gridSpan w:val="2"/>
            <w:vMerge w:val="continue"/>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w w:val="83"/>
              </w:rPr>
              <w:t>49,752</w:t>
            </w:r>
          </w:p>
        </w:tc>
        <w:tc>
          <w:tcPr>
            <w:tcW w:w="100" w:type="dxa"/>
            <w:vAlign w:val="bottom"/>
          </w:tcPr>
          <w:p>
            <w:pPr>
              <w:spacing w:after="0"/>
              <w:rPr>
                <w:sz w:val="19"/>
                <w:szCs w:val="19"/>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w w:val="87"/>
              </w:rPr>
              <w:t>41,692</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8,060</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6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Equity securities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159</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108</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940" w:type="dxa"/>
            <w:vAlign w:val="bottom"/>
            <w:gridSpan w:val="2"/>
          </w:tcPr>
          <w:p>
            <w:pPr>
              <w:ind w:left="860"/>
              <w:spacing w:after="0"/>
              <w:rPr>
                <w:sz w:val="20"/>
                <w:szCs w:val="20"/>
                <w:color w:val="auto"/>
              </w:rPr>
            </w:pPr>
            <w:r>
              <w:rPr>
                <w:rFonts w:ascii="Arial" w:cs="Arial" w:eastAsia="Arial" w:hAnsi="Arial"/>
                <w:sz w:val="18"/>
                <w:szCs w:val="18"/>
                <w:color w:val="auto"/>
              </w:rPr>
              <w:t>Other invested assets:</w:t>
            </w:r>
          </w:p>
        </w:tc>
        <w:tc>
          <w:tcPr>
            <w:tcW w:w="10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94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Trading securities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174</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29</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tcPr>
          <w:p>
            <w:pPr>
              <w:ind w:left="1280"/>
              <w:spacing w:after="0"/>
              <w:rPr>
                <w:sz w:val="20"/>
                <w:szCs w:val="20"/>
                <w:color w:val="auto"/>
              </w:rPr>
            </w:pPr>
            <w:r>
              <w:rPr>
                <w:rFonts w:ascii="Arial" w:cs="Arial" w:eastAsia="Arial" w:hAnsi="Arial"/>
                <w:sz w:val="18"/>
                <w:szCs w:val="18"/>
                <w:color w:val="auto"/>
              </w:rPr>
              <w:t>Derivative assets:</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5620" w:type="dxa"/>
            <w:vAlign w:val="bottom"/>
            <w:shd w:val="clear" w:color="auto" w:fill="CCEEFF"/>
          </w:tcPr>
          <w:p>
            <w:pPr>
              <w:ind w:left="400"/>
              <w:spacing w:after="0"/>
              <w:rPr>
                <w:sz w:val="20"/>
                <w:szCs w:val="20"/>
                <w:color w:val="auto"/>
              </w:rPr>
            </w:pPr>
            <w:r>
              <w:rPr>
                <w:rFonts w:ascii="Arial" w:cs="Arial" w:eastAsia="Arial" w:hAnsi="Arial"/>
                <w:sz w:val="18"/>
                <w:szCs w:val="18"/>
                <w:color w:val="auto"/>
              </w:rPr>
              <w:t>Interest rate swaps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709</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706</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5620" w:type="dxa"/>
            <w:vAlign w:val="bottom"/>
          </w:tcPr>
          <w:p>
            <w:pPr>
              <w:ind w:left="400"/>
              <w:spacing w:after="0"/>
              <w:rPr>
                <w:sz w:val="20"/>
                <w:szCs w:val="20"/>
                <w:color w:val="auto"/>
              </w:rPr>
            </w:pPr>
            <w:r>
              <w:rPr>
                <w:rFonts w:ascii="Arial" w:cs="Arial" w:eastAsia="Arial" w:hAnsi="Arial"/>
                <w:sz w:val="18"/>
                <w:szCs w:val="18"/>
                <w:color w:val="auto"/>
              </w:rPr>
              <w:t>Foreign currency swaps</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125</w:t>
            </w:r>
          </w:p>
        </w:tc>
        <w:tc>
          <w:tcPr>
            <w:tcW w:w="100" w:type="dxa"/>
            <w:vAlign w:val="bottom"/>
          </w:tcPr>
          <w:p>
            <w:pPr>
              <w:spacing w:after="0"/>
              <w:rPr>
                <w:sz w:val="18"/>
                <w:szCs w:val="18"/>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125</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5620" w:type="dxa"/>
            <w:vAlign w:val="bottom"/>
            <w:shd w:val="clear" w:color="auto" w:fill="CCEEFF"/>
          </w:tcPr>
          <w:p>
            <w:pPr>
              <w:ind w:left="400"/>
              <w:spacing w:after="0"/>
              <w:rPr>
                <w:sz w:val="20"/>
                <w:szCs w:val="20"/>
                <w:color w:val="auto"/>
              </w:rPr>
            </w:pPr>
            <w:r>
              <w:rPr>
                <w:rFonts w:ascii="Arial" w:cs="Arial" w:eastAsia="Arial" w:hAnsi="Arial"/>
                <w:sz w:val="18"/>
                <w:szCs w:val="18"/>
                <w:color w:val="auto"/>
              </w:rPr>
              <w:t>Interest rate swaptions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54</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5620" w:type="dxa"/>
            <w:vAlign w:val="bottom"/>
          </w:tcPr>
          <w:p>
            <w:pPr>
              <w:ind w:left="400"/>
              <w:spacing w:after="0"/>
              <w:rPr>
                <w:sz w:val="20"/>
                <w:szCs w:val="20"/>
                <w:color w:val="auto"/>
              </w:rPr>
            </w:pPr>
            <w:r>
              <w:rPr>
                <w:rFonts w:ascii="Arial" w:cs="Arial" w:eastAsia="Arial" w:hAnsi="Arial"/>
                <w:sz w:val="18"/>
                <w:szCs w:val="18"/>
                <w:color w:val="auto"/>
              </w:rPr>
              <w:t>Credit default swaps</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18"/>
                <w:szCs w:val="18"/>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5</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5620" w:type="dxa"/>
            <w:vAlign w:val="bottom"/>
            <w:shd w:val="clear" w:color="auto" w:fill="CCEEFF"/>
          </w:tcPr>
          <w:p>
            <w:pPr>
              <w:ind w:left="400"/>
              <w:spacing w:after="0"/>
              <w:rPr>
                <w:sz w:val="20"/>
                <w:szCs w:val="20"/>
                <w:color w:val="auto"/>
              </w:rPr>
            </w:pPr>
            <w:r>
              <w:rPr>
                <w:rFonts w:ascii="Arial" w:cs="Arial" w:eastAsia="Arial" w:hAnsi="Arial"/>
                <w:sz w:val="18"/>
                <w:szCs w:val="18"/>
                <w:color w:val="auto"/>
              </w:rPr>
              <w:t>Equity index options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39</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5620" w:type="dxa"/>
            <w:vAlign w:val="bottom"/>
          </w:tcPr>
          <w:p>
            <w:pPr>
              <w:ind w:left="400"/>
              <w:spacing w:after="0"/>
              <w:rPr>
                <w:sz w:val="20"/>
                <w:szCs w:val="20"/>
                <w:color w:val="auto"/>
              </w:rPr>
            </w:pPr>
            <w:r>
              <w:rPr>
                <w:rFonts w:ascii="Arial" w:cs="Arial" w:eastAsia="Arial" w:hAnsi="Arial"/>
                <w:sz w:val="18"/>
                <w:szCs w:val="18"/>
                <w:color w:val="auto"/>
              </w:rPr>
              <w:t>Other foreign currency contracts</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8"/>
                <w:szCs w:val="18"/>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6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562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derivative assets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946</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836</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gridSpan w:val="2"/>
            <w:vMerge w:val="restart"/>
          </w:tcPr>
          <w:p>
            <w:pPr>
              <w:ind w:left="1280"/>
              <w:spacing w:after="0"/>
              <w:rPr>
                <w:sz w:val="20"/>
                <w:szCs w:val="20"/>
                <w:color w:val="auto"/>
              </w:rPr>
            </w:pPr>
            <w:r>
              <w:rPr>
                <w:rFonts w:ascii="Arial" w:cs="Arial" w:eastAsia="Arial" w:hAnsi="Arial"/>
                <w:sz w:val="18"/>
                <w:szCs w:val="18"/>
                <w:color w:val="auto"/>
              </w:rPr>
              <w:t>Securities lending collateral</w:t>
            </w:r>
          </w:p>
        </w:tc>
        <w:tc>
          <w:tcPr>
            <w:tcW w:w="10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940" w:type="dxa"/>
            <w:vAlign w:val="bottom"/>
            <w:gridSpan w:val="2"/>
            <w:vMerge w:val="continue"/>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853</w:t>
            </w:r>
          </w:p>
        </w:tc>
        <w:tc>
          <w:tcPr>
            <w:tcW w:w="100" w:type="dxa"/>
            <w:vAlign w:val="bottom"/>
          </w:tcPr>
          <w:p>
            <w:pPr>
              <w:spacing w:after="0"/>
              <w:rPr>
                <w:sz w:val="19"/>
                <w:szCs w:val="19"/>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853</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94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Derivatives counterparty collateral</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148</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148</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gridSpan w:val="2"/>
            <w:vMerge w:val="restart"/>
          </w:tcPr>
          <w:p>
            <w:pPr>
              <w:ind w:left="1280"/>
              <w:spacing w:after="0"/>
              <w:rPr>
                <w:sz w:val="20"/>
                <w:szCs w:val="20"/>
                <w:color w:val="auto"/>
              </w:rPr>
            </w:pPr>
            <w:r>
              <w:rPr>
                <w:rFonts w:ascii="Arial" w:cs="Arial" w:eastAsia="Arial" w:hAnsi="Arial"/>
                <w:sz w:val="18"/>
                <w:szCs w:val="18"/>
                <w:color w:val="auto"/>
              </w:rPr>
              <w:t>Total other invested assets</w:t>
            </w:r>
          </w:p>
        </w:tc>
        <w:tc>
          <w:tcPr>
            <w:tcW w:w="10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940" w:type="dxa"/>
            <w:vAlign w:val="bottom"/>
            <w:gridSpan w:val="2"/>
            <w:vMerge w:val="continue"/>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2,121</w:t>
            </w:r>
          </w:p>
        </w:tc>
        <w:tc>
          <w:tcPr>
            <w:tcW w:w="100" w:type="dxa"/>
            <w:vAlign w:val="bottom"/>
          </w:tcPr>
          <w:p>
            <w:pPr>
              <w:spacing w:after="0"/>
              <w:rPr>
                <w:sz w:val="19"/>
                <w:szCs w:val="19"/>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1,866</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255</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6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Reinsurance recoverable </w:t>
            </w:r>
            <w:r>
              <w:rPr>
                <w:rFonts w:ascii="Arial" w:cs="Arial" w:eastAsia="Arial" w:hAnsi="Arial"/>
                <w:sz w:val="11"/>
                <w:szCs w:val="11"/>
                <w:color w:val="auto"/>
              </w:rPr>
              <w:t>(1)</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tcPr>
          <w:p>
            <w:pPr>
              <w:ind w:left="420"/>
              <w:spacing w:after="0"/>
              <w:rPr>
                <w:sz w:val="20"/>
                <w:szCs w:val="20"/>
                <w:color w:val="auto"/>
              </w:rPr>
            </w:pPr>
            <w:r>
              <w:rPr>
                <w:rFonts w:ascii="Arial" w:cs="Arial" w:eastAsia="Arial" w:hAnsi="Arial"/>
                <w:sz w:val="18"/>
                <w:szCs w:val="18"/>
                <w:color w:val="auto"/>
              </w:rPr>
              <w:t>Separate account assets</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w w:val="83"/>
              </w:rPr>
              <w:t>11,002</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11,002</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6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Total assets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83"/>
              </w:rPr>
              <w:t>63,029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11,044</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7"/>
              </w:rPr>
              <w:t>43,666</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8,319</w:t>
            </w:r>
          </w:p>
        </w:tc>
        <w:tc>
          <w:tcPr>
            <w:tcW w:w="0" w:type="dxa"/>
            <w:vAlign w:val="bottom"/>
          </w:tcPr>
          <w:p>
            <w:pPr>
              <w:spacing w:after="0"/>
              <w:rPr>
                <w:sz w:val="1"/>
                <w:szCs w:val="1"/>
                <w:color w:val="auto"/>
              </w:rPr>
            </w:pPr>
          </w:p>
        </w:tc>
      </w:tr>
      <w:tr>
        <w:trPr>
          <w:trHeight w:val="20"/>
        </w:trPr>
        <w:tc>
          <w:tcPr>
            <w:tcW w:w="6960" w:type="dxa"/>
            <w:vAlign w:val="bottom"/>
            <w:gridSpan w:val="3"/>
            <w:vMerge w:val="restart"/>
          </w:tcPr>
          <w:p>
            <w:pPr>
              <w:spacing w:after="0"/>
              <w:rPr>
                <w:sz w:val="20"/>
                <w:szCs w:val="20"/>
                <w:color w:val="auto"/>
              </w:rPr>
            </w:pPr>
            <w:r>
              <w:rPr>
                <w:rFonts w:ascii="Arial" w:cs="Arial" w:eastAsia="Arial" w:hAnsi="Arial"/>
                <w:sz w:val="18"/>
                <w:szCs w:val="18"/>
                <w:color w:val="auto"/>
              </w:rPr>
              <w:t>Liabilities</w:t>
            </w:r>
          </w:p>
        </w:tc>
        <w:tc>
          <w:tcPr>
            <w:tcW w:w="10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960" w:type="dxa"/>
            <w:vAlign w:val="bottom"/>
            <w:gridSpan w:val="3"/>
            <w:vMerge w:val="continue"/>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9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Policyholder account balances </w:t>
            </w:r>
            <w:r>
              <w:rPr>
                <w:rFonts w:ascii="Arial" w:cs="Arial" w:eastAsia="Arial" w:hAnsi="Arial"/>
                <w:sz w:val="11"/>
                <w:szCs w:val="11"/>
                <w:color w:val="auto"/>
              </w:rPr>
              <w:t>(2)</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175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tcPr>
          <w:p>
            <w:pPr>
              <w:ind w:left="420"/>
              <w:spacing w:after="0"/>
              <w:rPr>
                <w:sz w:val="20"/>
                <w:szCs w:val="20"/>
                <w:color w:val="auto"/>
              </w:rPr>
            </w:pPr>
            <w:r>
              <w:rPr>
                <w:rFonts w:ascii="Arial" w:cs="Arial" w:eastAsia="Arial" w:hAnsi="Arial"/>
                <w:sz w:val="18"/>
                <w:szCs w:val="18"/>
                <w:color w:val="auto"/>
              </w:rPr>
              <w:t>Derivative liabilities:</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Interest rate swaps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188</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186</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tcPr>
          <w:p>
            <w:pPr>
              <w:ind w:left="860"/>
              <w:spacing w:after="0"/>
              <w:rPr>
                <w:sz w:val="20"/>
                <w:szCs w:val="20"/>
                <w:color w:val="auto"/>
              </w:rPr>
            </w:pPr>
            <w:r>
              <w:rPr>
                <w:rFonts w:ascii="Arial" w:cs="Arial" w:eastAsia="Arial" w:hAnsi="Arial"/>
                <w:sz w:val="18"/>
                <w:szCs w:val="18"/>
                <w:color w:val="auto"/>
              </w:rPr>
              <w:t>Inflation indexed swaps</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21</w:t>
            </w:r>
          </w:p>
        </w:tc>
        <w:tc>
          <w:tcPr>
            <w:tcW w:w="100" w:type="dxa"/>
            <w:vAlign w:val="bottom"/>
          </w:tcPr>
          <w:p>
            <w:pPr>
              <w:spacing w:after="0"/>
              <w:rPr>
                <w:sz w:val="18"/>
                <w:szCs w:val="18"/>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21</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Interest rate swaptions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67</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tcPr>
          <w:p>
            <w:pPr>
              <w:ind w:left="860"/>
              <w:spacing w:after="0"/>
              <w:rPr>
                <w:sz w:val="20"/>
                <w:szCs w:val="20"/>
                <w:color w:val="auto"/>
              </w:rPr>
            </w:pPr>
            <w:r>
              <w:rPr>
                <w:rFonts w:ascii="Arial" w:cs="Arial" w:eastAsia="Arial" w:hAnsi="Arial"/>
                <w:sz w:val="18"/>
                <w:szCs w:val="18"/>
                <w:color w:val="auto"/>
              </w:rPr>
              <w:t>Credit default swap</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3</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Equity index options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derivative liabilities</w:t>
            </w:r>
          </w:p>
        </w:tc>
        <w:tc>
          <w:tcPr>
            <w:tcW w:w="10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940" w:type="dxa"/>
            <w:vAlign w:val="bottom"/>
            <w:gridSpan w:val="2"/>
            <w:vMerge w:val="continue"/>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281</w:t>
            </w:r>
          </w:p>
        </w:tc>
        <w:tc>
          <w:tcPr>
            <w:tcW w:w="100" w:type="dxa"/>
            <w:vAlign w:val="bottom"/>
          </w:tcPr>
          <w:p>
            <w:pPr>
              <w:spacing w:after="0"/>
              <w:rPr>
                <w:sz w:val="19"/>
                <w:szCs w:val="19"/>
                <w:color w:val="auto"/>
              </w:rPr>
            </w:pPr>
          </w:p>
        </w:tc>
        <w:tc>
          <w:tcPr>
            <w:tcW w:w="4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210</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71</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6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Total liabilities</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456</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210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6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26"/>
        </w:numPr>
        <w:rPr>
          <w:rFonts w:ascii="Arial" w:cs="Arial" w:eastAsia="Arial" w:hAnsi="Arial"/>
          <w:sz w:val="22"/>
          <w:szCs w:val="22"/>
          <w:color w:val="auto"/>
          <w:vertAlign w:val="superscript"/>
        </w:rPr>
      </w:pPr>
      <w:r>
        <w:rPr>
          <w:rFonts w:ascii="Arial" w:cs="Arial" w:eastAsia="Arial" w:hAnsi="Arial"/>
          <w:sz w:val="18"/>
          <w:szCs w:val="18"/>
          <w:color w:val="auto"/>
        </w:rPr>
        <w:t>Represents embedded derivatives associated with the reinsured portion of our GMWB liabilities.</w:t>
      </w:r>
    </w:p>
    <w:p>
      <w:pPr>
        <w:spacing w:after="0" w:line="7"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26"/>
        </w:numPr>
        <w:rPr>
          <w:rFonts w:ascii="Arial" w:cs="Arial" w:eastAsia="Arial" w:hAnsi="Arial"/>
          <w:sz w:val="22"/>
          <w:szCs w:val="22"/>
          <w:color w:val="auto"/>
          <w:vertAlign w:val="superscript"/>
        </w:rPr>
      </w:pPr>
      <w:r>
        <w:rPr>
          <w:rFonts w:ascii="Arial" w:cs="Arial" w:eastAsia="Arial" w:hAnsi="Arial"/>
          <w:sz w:val="18"/>
          <w:szCs w:val="18"/>
          <w:color w:val="auto"/>
        </w:rPr>
        <w:t>Represents embedded derivatives associated with our GMWB liabilities, excluding the impact of reinsurance.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-297815</wp:posOffset>
            </wp:positionV>
            <wp:extent cx="72898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45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The following tables present additional information about assets measured at fair value on a recurring basis and for which we have utilized significant unobservable (Level 3) inputs to determine fair value as of or for the dates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0" w:type="dxa"/>
            <w:vAlign w:val="bottom"/>
            <w:gridSpan w:val="4"/>
            <w:vMerge w:val="restart"/>
          </w:tcPr>
          <w:p>
            <w:pPr>
              <w:jc w:val="center"/>
              <w:ind w:left="75"/>
              <w:spacing w:after="0"/>
              <w:rPr>
                <w:sz w:val="20"/>
                <w:szCs w:val="20"/>
                <w:color w:val="auto"/>
              </w:rPr>
            </w:pPr>
            <w:r>
              <w:rPr>
                <w:rFonts w:ascii="Arial" w:cs="Arial" w:eastAsia="Arial" w:hAnsi="Arial"/>
                <w:sz w:val="14"/>
                <w:szCs w:val="14"/>
                <w:b w:val="1"/>
                <w:bCs w:val="1"/>
                <w:color w:val="auto"/>
                <w:w w:val="87"/>
              </w:rPr>
              <w:t>Total realized and</w:t>
            </w:r>
          </w:p>
        </w:tc>
        <w:tc>
          <w:tcPr>
            <w:tcW w:w="2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Total gains</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4"/>
            <w:vMerge w:val="continue"/>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75"/>
              </w:rPr>
              <w:t>(losses)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0" w:type="dxa"/>
            <w:vAlign w:val="bottom"/>
            <w:gridSpan w:val="4"/>
          </w:tcPr>
          <w:p>
            <w:pPr>
              <w:jc w:val="center"/>
              <w:ind w:left="55"/>
              <w:spacing w:after="0" w:line="149" w:lineRule="exact"/>
              <w:rPr>
                <w:sz w:val="20"/>
                <w:szCs w:val="20"/>
                <w:color w:val="auto"/>
              </w:rPr>
            </w:pPr>
            <w:r>
              <w:rPr>
                <w:rFonts w:ascii="Arial" w:cs="Arial" w:eastAsia="Arial" w:hAnsi="Arial"/>
                <w:sz w:val="14"/>
                <w:szCs w:val="14"/>
                <w:b w:val="1"/>
                <w:bCs w:val="1"/>
                <w:color w:val="auto"/>
                <w:w w:val="85"/>
              </w:rPr>
              <w:t>unrealized gains</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2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82"/>
              </w:rPr>
              <w:t>Purchases,</w:t>
            </w:r>
          </w:p>
        </w:tc>
        <w:tc>
          <w:tcPr>
            <w:tcW w:w="1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included in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1040" w:type="dxa"/>
            <w:vAlign w:val="bottom"/>
            <w:gridSpan w:val="3"/>
          </w:tcPr>
          <w:p>
            <w:pPr>
              <w:jc w:val="center"/>
              <w:ind w:right="440"/>
              <w:spacing w:after="0"/>
              <w:rPr>
                <w:sz w:val="20"/>
                <w:szCs w:val="20"/>
                <w:color w:val="auto"/>
              </w:rPr>
            </w:pPr>
            <w:r>
              <w:rPr>
                <w:rFonts w:ascii="Arial" w:cs="Arial" w:eastAsia="Arial" w:hAnsi="Arial"/>
                <w:sz w:val="14"/>
                <w:szCs w:val="14"/>
                <w:b w:val="1"/>
                <w:bCs w:val="1"/>
                <w:color w:val="auto"/>
                <w:w w:val="87"/>
              </w:rPr>
              <w:t>Beginning</w:t>
            </w: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2"/>
          </w:tcPr>
          <w:p>
            <w:pPr>
              <w:jc w:val="center"/>
              <w:ind w:left="335"/>
              <w:spacing w:after="0"/>
              <w:rPr>
                <w:sz w:val="20"/>
                <w:szCs w:val="20"/>
                <w:color w:val="auto"/>
              </w:rPr>
            </w:pPr>
            <w:r>
              <w:rPr>
                <w:rFonts w:ascii="Arial" w:cs="Arial" w:eastAsia="Arial" w:hAnsi="Arial"/>
                <w:sz w:val="14"/>
                <w:szCs w:val="14"/>
                <w:b w:val="1"/>
                <w:bCs w:val="1"/>
                <w:color w:val="auto"/>
                <w:w w:val="79"/>
              </w:rPr>
              <w:t>(losses)</w:t>
            </w:r>
          </w:p>
        </w:tc>
        <w:tc>
          <w:tcPr>
            <w:tcW w:w="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76"/>
              </w:rPr>
              <w:t>sales,</w:t>
            </w:r>
          </w:p>
        </w:tc>
        <w:tc>
          <w:tcPr>
            <w:tcW w:w="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8"/>
              </w:rPr>
              <w:t>Ending</w:t>
            </w:r>
          </w:p>
        </w:tc>
        <w:tc>
          <w:tcPr>
            <w:tcW w:w="160" w:type="dxa"/>
            <w:vAlign w:val="bottom"/>
          </w:tcPr>
          <w:p>
            <w:pPr>
              <w:spacing w:after="0"/>
              <w:rPr>
                <w:sz w:val="14"/>
                <w:szCs w:val="14"/>
                <w:color w:val="auto"/>
              </w:rPr>
            </w:pPr>
          </w:p>
        </w:tc>
        <w:tc>
          <w:tcPr>
            <w:tcW w:w="8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net income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040" w:type="dxa"/>
            <w:vAlign w:val="bottom"/>
            <w:gridSpan w:val="3"/>
          </w:tcPr>
          <w:p>
            <w:pPr>
              <w:jc w:val="center"/>
              <w:ind w:right="440"/>
              <w:spacing w:after="0" w:line="129" w:lineRule="exact"/>
              <w:rPr>
                <w:sz w:val="20"/>
                <w:szCs w:val="20"/>
                <w:color w:val="auto"/>
              </w:rPr>
            </w:pPr>
            <w:r>
              <w:rPr>
                <w:rFonts w:ascii="Arial" w:cs="Arial" w:eastAsia="Arial" w:hAnsi="Arial"/>
                <w:sz w:val="14"/>
                <w:szCs w:val="14"/>
                <w:b w:val="1"/>
                <w:bCs w:val="1"/>
                <w:color w:val="auto"/>
                <w:w w:val="84"/>
              </w:rPr>
              <w:t>balance</w:t>
            </w: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20" w:type="dxa"/>
            <w:vAlign w:val="bottom"/>
            <w:gridSpan w:val="3"/>
          </w:tcPr>
          <w:p>
            <w:pPr>
              <w:jc w:val="center"/>
              <w:ind w:right="420"/>
              <w:spacing w:after="0" w:line="129" w:lineRule="exact"/>
              <w:rPr>
                <w:sz w:val="20"/>
                <w:szCs w:val="20"/>
                <w:color w:val="auto"/>
              </w:rPr>
            </w:pPr>
            <w:r>
              <w:rPr>
                <w:rFonts w:ascii="Arial" w:cs="Arial" w:eastAsia="Arial" w:hAnsi="Arial"/>
                <w:sz w:val="14"/>
                <w:szCs w:val="14"/>
                <w:b w:val="1"/>
                <w:bCs w:val="1"/>
                <w:color w:val="auto"/>
                <w:w w:val="79"/>
              </w:rPr>
              <w:t>issuances</w:t>
            </w: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gridSpan w:val="3"/>
          </w:tcPr>
          <w:p>
            <w:pPr>
              <w:jc w:val="center"/>
              <w:ind w:right="140"/>
              <w:spacing w:after="0" w:line="129" w:lineRule="exact"/>
              <w:rPr>
                <w:sz w:val="20"/>
                <w:szCs w:val="20"/>
                <w:color w:val="auto"/>
              </w:rPr>
            </w:pPr>
            <w:r>
              <w:rPr>
                <w:rFonts w:ascii="Arial" w:cs="Arial" w:eastAsia="Arial" w:hAnsi="Arial"/>
                <w:sz w:val="14"/>
                <w:szCs w:val="14"/>
                <w:b w:val="1"/>
                <w:bCs w:val="1"/>
                <w:color w:val="auto"/>
                <w:w w:val="84"/>
              </w:rPr>
              <w:t>balance</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0"/>
              </w:rPr>
              <w:t>(loss)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85"/>
              </w:rPr>
              <w:t>as of</w:t>
            </w:r>
          </w:p>
        </w:tc>
        <w:tc>
          <w:tcPr>
            <w:tcW w:w="10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Included in</w:t>
            </w: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88"/>
              </w:rPr>
              <w:t>and</w:t>
            </w:r>
          </w:p>
        </w:tc>
        <w:tc>
          <w:tcPr>
            <w:tcW w:w="6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Transfer</w:t>
            </w:r>
          </w:p>
        </w:tc>
        <w:tc>
          <w:tcPr>
            <w:tcW w:w="160" w:type="dxa"/>
            <w:vAlign w:val="bottom"/>
          </w:tcPr>
          <w:p>
            <w:pPr>
              <w:spacing w:after="0"/>
              <w:rPr>
                <w:sz w:val="12"/>
                <w:szCs w:val="12"/>
                <w:color w:val="auto"/>
              </w:rPr>
            </w:pPr>
          </w:p>
        </w:tc>
        <w:tc>
          <w:tcPr>
            <w:tcW w:w="7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Transfer</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79"/>
              </w:rPr>
              <w:t>as of</w:t>
            </w:r>
          </w:p>
        </w:tc>
        <w:tc>
          <w:tcPr>
            <w:tcW w:w="160" w:type="dxa"/>
            <w:vAlign w:val="bottom"/>
          </w:tcPr>
          <w:p>
            <w:pPr>
              <w:spacing w:after="0"/>
              <w:rPr>
                <w:sz w:val="12"/>
                <w:szCs w:val="12"/>
                <w:color w:val="auto"/>
              </w:rPr>
            </w:pPr>
          </w:p>
        </w:tc>
        <w:tc>
          <w:tcPr>
            <w:tcW w:w="8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attributable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040" w:type="dxa"/>
            <w:vAlign w:val="bottom"/>
            <w:gridSpan w:val="3"/>
          </w:tcPr>
          <w:p>
            <w:pPr>
              <w:jc w:val="center"/>
              <w:ind w:right="440"/>
              <w:spacing w:after="0" w:line="135" w:lineRule="exact"/>
              <w:rPr>
                <w:sz w:val="20"/>
                <w:szCs w:val="20"/>
                <w:color w:val="auto"/>
              </w:rPr>
            </w:pPr>
            <w:r>
              <w:rPr>
                <w:rFonts w:ascii="Arial" w:cs="Arial" w:eastAsia="Arial" w:hAnsi="Arial"/>
                <w:sz w:val="14"/>
                <w:szCs w:val="14"/>
                <w:b w:val="1"/>
                <w:bCs w:val="1"/>
                <w:color w:val="auto"/>
                <w:w w:val="92"/>
              </w:rPr>
              <w:t>April 1,</w:t>
            </w:r>
          </w:p>
        </w:tc>
        <w:tc>
          <w:tcPr>
            <w:tcW w:w="1040" w:type="dxa"/>
            <w:vAlign w:val="bottom"/>
            <w:gridSpan w:val="3"/>
          </w:tcPr>
          <w:p>
            <w:pPr>
              <w:spacing w:after="0" w:line="135" w:lineRule="exact"/>
              <w:rPr>
                <w:sz w:val="20"/>
                <w:szCs w:val="20"/>
                <w:color w:val="auto"/>
              </w:rPr>
            </w:pPr>
            <w:r>
              <w:rPr>
                <w:rFonts w:ascii="Arial" w:cs="Arial" w:eastAsia="Arial" w:hAnsi="Arial"/>
                <w:sz w:val="14"/>
                <w:szCs w:val="14"/>
                <w:b w:val="1"/>
                <w:bCs w:val="1"/>
                <w:color w:val="auto"/>
              </w:rPr>
              <w:t>net income</w:t>
            </w:r>
          </w:p>
        </w:tc>
        <w:tc>
          <w:tcPr>
            <w:tcW w:w="40" w:type="dxa"/>
            <w:vAlign w:val="bottom"/>
          </w:tcPr>
          <w:p>
            <w:pPr>
              <w:spacing w:after="0"/>
              <w:rPr>
                <w:sz w:val="11"/>
                <w:szCs w:val="11"/>
                <w:color w:val="auto"/>
              </w:rPr>
            </w:pPr>
          </w:p>
        </w:tc>
        <w:tc>
          <w:tcPr>
            <w:tcW w:w="520" w:type="dxa"/>
            <w:vAlign w:val="bottom"/>
            <w:gridSpan w:val="2"/>
          </w:tcPr>
          <w:p>
            <w:pPr>
              <w:spacing w:after="0" w:line="135" w:lineRule="exact"/>
              <w:rPr>
                <w:sz w:val="20"/>
                <w:szCs w:val="20"/>
                <w:color w:val="auto"/>
              </w:rPr>
            </w:pPr>
            <w:r>
              <w:rPr>
                <w:rFonts w:ascii="Arial" w:cs="Arial" w:eastAsia="Arial" w:hAnsi="Arial"/>
                <w:sz w:val="14"/>
                <w:szCs w:val="14"/>
                <w:b w:val="1"/>
                <w:bCs w:val="1"/>
                <w:color w:val="auto"/>
                <w:w w:val="86"/>
              </w:rPr>
              <w:t>Included</w:t>
            </w:r>
          </w:p>
        </w:tc>
        <w:tc>
          <w:tcPr>
            <w:tcW w:w="320" w:type="dxa"/>
            <w:vAlign w:val="bottom"/>
          </w:tcPr>
          <w:p>
            <w:pPr>
              <w:spacing w:after="0"/>
              <w:rPr>
                <w:sz w:val="11"/>
                <w:szCs w:val="11"/>
                <w:color w:val="auto"/>
              </w:rPr>
            </w:pPr>
          </w:p>
        </w:tc>
        <w:tc>
          <w:tcPr>
            <w:tcW w:w="1120" w:type="dxa"/>
            <w:vAlign w:val="bottom"/>
            <w:gridSpan w:val="3"/>
          </w:tcPr>
          <w:p>
            <w:pPr>
              <w:jc w:val="center"/>
              <w:ind w:right="440"/>
              <w:spacing w:after="0" w:line="135" w:lineRule="exact"/>
              <w:rPr>
                <w:sz w:val="20"/>
                <w:szCs w:val="20"/>
                <w:color w:val="auto"/>
              </w:rPr>
            </w:pPr>
            <w:r>
              <w:rPr>
                <w:rFonts w:ascii="Arial" w:cs="Arial" w:eastAsia="Arial" w:hAnsi="Arial"/>
                <w:sz w:val="14"/>
                <w:szCs w:val="14"/>
                <w:b w:val="1"/>
                <w:bCs w:val="1"/>
                <w:color w:val="auto"/>
                <w:w w:val="83"/>
              </w:rPr>
              <w:t>settlements,</w:t>
            </w:r>
          </w:p>
        </w:tc>
        <w:tc>
          <w:tcPr>
            <w:tcW w:w="680" w:type="dxa"/>
            <w:vAlign w:val="bottom"/>
            <w:gridSpan w:val="3"/>
          </w:tcPr>
          <w:p>
            <w:pPr>
              <w:ind w:left="20"/>
              <w:spacing w:after="0" w:line="135" w:lineRule="exact"/>
              <w:rPr>
                <w:sz w:val="20"/>
                <w:szCs w:val="20"/>
                <w:color w:val="auto"/>
              </w:rPr>
            </w:pPr>
            <w:r>
              <w:rPr>
                <w:rFonts w:ascii="Arial" w:cs="Arial" w:eastAsia="Arial" w:hAnsi="Arial"/>
                <w:sz w:val="14"/>
                <w:szCs w:val="14"/>
                <w:b w:val="1"/>
                <w:bCs w:val="1"/>
                <w:color w:val="auto"/>
              </w:rPr>
              <w:t>in Level</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340"/>
              <w:spacing w:after="0" w:line="135" w:lineRule="exact"/>
              <w:rPr>
                <w:sz w:val="20"/>
                <w:szCs w:val="20"/>
                <w:color w:val="auto"/>
              </w:rPr>
            </w:pPr>
            <w:r>
              <w:rPr>
                <w:rFonts w:ascii="Arial" w:cs="Arial" w:eastAsia="Arial" w:hAnsi="Arial"/>
                <w:sz w:val="14"/>
                <w:szCs w:val="14"/>
                <w:b w:val="1"/>
                <w:bCs w:val="1"/>
                <w:color w:val="auto"/>
                <w:w w:val="82"/>
              </w:rPr>
              <w:t>out of</w:t>
            </w:r>
          </w:p>
        </w:tc>
        <w:tc>
          <w:tcPr>
            <w:tcW w:w="180" w:type="dxa"/>
            <w:vAlign w:val="bottom"/>
          </w:tcPr>
          <w:p>
            <w:pPr>
              <w:spacing w:after="0"/>
              <w:rPr>
                <w:sz w:val="11"/>
                <w:szCs w:val="11"/>
                <w:color w:val="auto"/>
              </w:rPr>
            </w:pPr>
          </w:p>
        </w:tc>
        <w:tc>
          <w:tcPr>
            <w:tcW w:w="660" w:type="dxa"/>
            <w:vAlign w:val="bottom"/>
            <w:gridSpan w:val="3"/>
          </w:tcPr>
          <w:p>
            <w:pPr>
              <w:jc w:val="center"/>
              <w:ind w:right="140"/>
              <w:spacing w:after="0" w:line="135" w:lineRule="exact"/>
              <w:rPr>
                <w:sz w:val="20"/>
                <w:szCs w:val="20"/>
                <w:color w:val="auto"/>
              </w:rPr>
            </w:pPr>
            <w:r>
              <w:rPr>
                <w:rFonts w:ascii="Arial" w:cs="Arial" w:eastAsia="Arial" w:hAnsi="Arial"/>
                <w:sz w:val="14"/>
                <w:szCs w:val="14"/>
                <w:b w:val="1"/>
                <w:bCs w:val="1"/>
                <w:color w:val="auto"/>
                <w:w w:val="85"/>
              </w:rPr>
              <w:t>June 30,</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79"/>
              </w:rPr>
              <w:t>to assets</w:t>
            </w:r>
          </w:p>
        </w:tc>
        <w:tc>
          <w:tcPr>
            <w:tcW w:w="0" w:type="dxa"/>
            <w:vAlign w:val="bottom"/>
          </w:tcPr>
          <w:p>
            <w:pPr>
              <w:spacing w:after="0"/>
              <w:rPr>
                <w:sz w:val="1"/>
                <w:szCs w:val="1"/>
                <w:color w:val="auto"/>
              </w:rPr>
            </w:pPr>
          </w:p>
        </w:tc>
      </w:tr>
      <w:tr>
        <w:trPr>
          <w:trHeight w:val="176"/>
        </w:trPr>
        <w:tc>
          <w:tcPr>
            <w:tcW w:w="39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Pr>
          <w:p>
            <w:pPr>
              <w:spacing w:after="0"/>
              <w:rPr>
                <w:sz w:val="15"/>
                <w:szCs w:val="15"/>
                <w:color w:val="auto"/>
              </w:rPr>
            </w:pPr>
          </w:p>
        </w:tc>
        <w:tc>
          <w:tcPr>
            <w:tcW w:w="480" w:type="dxa"/>
            <w:vAlign w:val="bottom"/>
          </w:tcPr>
          <w:p>
            <w:pPr>
              <w:jc w:val="center"/>
              <w:ind w:right="34"/>
              <w:spacing w:after="0"/>
              <w:rPr>
                <w:sz w:val="20"/>
                <w:szCs w:val="20"/>
                <w:color w:val="auto"/>
              </w:rPr>
            </w:pPr>
            <w:r>
              <w:rPr>
                <w:rFonts w:ascii="Arial" w:cs="Arial" w:eastAsia="Arial" w:hAnsi="Arial"/>
                <w:sz w:val="14"/>
                <w:szCs w:val="14"/>
                <w:b w:val="1"/>
                <w:bCs w:val="1"/>
                <w:color w:val="auto"/>
                <w:w w:val="89"/>
              </w:rPr>
              <w:t>2010</w:t>
            </w:r>
          </w:p>
        </w:tc>
        <w:tc>
          <w:tcPr>
            <w:tcW w:w="4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w w:val="90"/>
              </w:rPr>
              <w:t>(loss)</w:t>
            </w:r>
          </w:p>
        </w:tc>
        <w:tc>
          <w:tcPr>
            <w:tcW w:w="40" w:type="dxa"/>
            <w:vAlign w:val="bottom"/>
          </w:tcPr>
          <w:p>
            <w:pPr>
              <w:spacing w:after="0"/>
              <w:rPr>
                <w:sz w:val="15"/>
                <w:szCs w:val="15"/>
                <w:color w:val="auto"/>
              </w:rPr>
            </w:pPr>
          </w:p>
        </w:tc>
        <w:tc>
          <w:tcPr>
            <w:tcW w:w="520" w:type="dxa"/>
            <w:vAlign w:val="bottom"/>
            <w:gridSpan w:val="2"/>
          </w:tcPr>
          <w:p>
            <w:pPr>
              <w:jc w:val="right"/>
              <w:spacing w:after="0"/>
              <w:rPr>
                <w:sz w:val="20"/>
                <w:szCs w:val="20"/>
                <w:color w:val="auto"/>
              </w:rPr>
            </w:pPr>
            <w:r>
              <w:rPr>
                <w:rFonts w:ascii="Arial" w:cs="Arial" w:eastAsia="Arial" w:hAnsi="Arial"/>
                <w:sz w:val="14"/>
                <w:szCs w:val="14"/>
                <w:b w:val="1"/>
                <w:bCs w:val="1"/>
                <w:color w:val="auto"/>
              </w:rPr>
              <w:t>in OCI</w:t>
            </w: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85"/>
              </w:rPr>
              <w:t>net</w:t>
            </w:r>
          </w:p>
        </w:tc>
        <w:tc>
          <w:tcPr>
            <w:tcW w:w="120" w:type="dxa"/>
            <w:vAlign w:val="bottom"/>
          </w:tcPr>
          <w:p>
            <w:pPr>
              <w:spacing w:after="0"/>
              <w:rPr>
                <w:sz w:val="15"/>
                <w:szCs w:val="15"/>
                <w:color w:val="auto"/>
              </w:rPr>
            </w:pPr>
          </w:p>
        </w:tc>
        <w:tc>
          <w:tcPr>
            <w:tcW w:w="400" w:type="dxa"/>
            <w:vAlign w:val="bottom"/>
          </w:tcPr>
          <w:p>
            <w:pPr>
              <w:ind w:left="20"/>
              <w:spacing w:after="0" w:line="176" w:lineRule="exact"/>
              <w:rPr>
                <w:sz w:val="20"/>
                <w:szCs w:val="20"/>
                <w:color w:val="auto"/>
              </w:rPr>
            </w:pPr>
            <w:r>
              <w:rPr>
                <w:rFonts w:ascii="Arial" w:cs="Arial" w:eastAsia="Arial" w:hAnsi="Arial"/>
                <w:sz w:val="20"/>
                <w:szCs w:val="20"/>
                <w:b w:val="1"/>
                <w:bCs w:val="1"/>
                <w:color w:val="auto"/>
                <w:vertAlign w:val="subscript"/>
              </w:rPr>
              <w:t>3</w:t>
            </w:r>
            <w:r>
              <w:rPr>
                <w:rFonts w:ascii="Arial" w:cs="Arial" w:eastAsia="Arial" w:hAnsi="Arial"/>
                <w:sz w:val="9"/>
                <w:szCs w:val="9"/>
                <w:color w:val="auto"/>
              </w:rPr>
              <w:t xml:space="preserve"> (1)</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2"/>
              </w:rPr>
              <w:t>Level 3</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jc w:val="center"/>
              <w:spacing w:after="0"/>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4"/>
              </w:rPr>
              <w:t>still held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900" w:type="dxa"/>
            <w:vAlign w:val="bottom"/>
            <w:gridSpan w:val="2"/>
          </w:tcPr>
          <w:p>
            <w:pPr>
              <w:ind w:left="420"/>
              <w:spacing w:after="0"/>
              <w:rPr>
                <w:sz w:val="20"/>
                <w:szCs w:val="20"/>
                <w:color w:val="auto"/>
              </w:rPr>
            </w:pPr>
            <w:r>
              <w:rPr>
                <w:rFonts w:ascii="Arial" w:cs="Arial" w:eastAsia="Arial" w:hAnsi="Arial"/>
                <w:sz w:val="18"/>
                <w:szCs w:val="18"/>
                <w:color w:val="auto"/>
                <w:w w:val="96"/>
              </w:rPr>
              <w:t>U.S. government, agencies and government-</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00" w:type="dxa"/>
            <w:vAlign w:val="bottom"/>
            <w:gridSpan w:val="2"/>
          </w:tcPr>
          <w:p>
            <w:pPr>
              <w:ind w:left="640"/>
              <w:spacing w:after="0"/>
              <w:rPr>
                <w:sz w:val="20"/>
                <w:szCs w:val="20"/>
                <w:color w:val="auto"/>
              </w:rPr>
            </w:pPr>
            <w:r>
              <w:rPr>
                <w:rFonts w:ascii="Arial" w:cs="Arial" w:eastAsia="Arial" w:hAnsi="Arial"/>
                <w:sz w:val="18"/>
                <w:szCs w:val="18"/>
                <w:color w:val="auto"/>
              </w:rPr>
              <w:t>sponsored enterprises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8</w:t>
            </w:r>
          </w:p>
        </w:tc>
        <w:tc>
          <w:tcPr>
            <w:tcW w:w="440" w:type="dxa"/>
            <w:vAlign w:val="bottom"/>
          </w:tcPr>
          <w:p>
            <w:pPr>
              <w:spacing w:after="0"/>
              <w:rPr>
                <w:sz w:val="19"/>
                <w:szCs w:val="19"/>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92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28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6</w:t>
            </w:r>
          </w:p>
        </w:tc>
        <w:tc>
          <w:tcPr>
            <w:tcW w:w="240" w:type="dxa"/>
            <w:vAlign w:val="bottom"/>
            <w:gridSpan w:val="2"/>
          </w:tcPr>
          <w:p>
            <w:pPr>
              <w:ind w:left="160"/>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(4)</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9</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9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Tax-exempt</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tcPr>
          <w:p>
            <w:pPr>
              <w:ind w:left="420"/>
              <w:spacing w:after="0"/>
              <w:rPr>
                <w:sz w:val="20"/>
                <w:szCs w:val="20"/>
                <w:color w:val="auto"/>
              </w:rPr>
            </w:pPr>
            <w:r>
              <w:rPr>
                <w:rFonts w:ascii="Arial" w:cs="Arial" w:eastAsia="Arial" w:hAnsi="Arial"/>
                <w:sz w:val="18"/>
                <w:szCs w:val="18"/>
                <w:color w:val="auto"/>
              </w:rPr>
              <w:t>Government—non-U.S.</w:t>
            </w: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1</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16</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18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U.S. corporate</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906</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11</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(29)</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653</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4"/>
              </w:rPr>
              <w:t>1,520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tcPr>
          <w:p>
            <w:pPr>
              <w:ind w:left="420"/>
              <w:spacing w:after="0"/>
              <w:rPr>
                <w:sz w:val="20"/>
                <w:szCs w:val="20"/>
                <w:color w:val="auto"/>
              </w:rPr>
            </w:pPr>
            <w:r>
              <w:rPr>
                <w:rFonts w:ascii="Arial" w:cs="Arial" w:eastAsia="Arial" w:hAnsi="Arial"/>
                <w:sz w:val="18"/>
                <w:szCs w:val="18"/>
                <w:color w:val="auto"/>
              </w:rPr>
              <w:t>Corporate—non-U.S.</w:t>
            </w: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508</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7</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42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18"/>
                <w:szCs w:val="18"/>
                <w:color w:val="auto"/>
              </w:rPr>
            </w:pPr>
          </w:p>
        </w:tc>
        <w:tc>
          <w:tcPr>
            <w:tcW w:w="560" w:type="dxa"/>
            <w:vAlign w:val="bottom"/>
            <w:gridSpan w:val="2"/>
          </w:tcPr>
          <w:p>
            <w:pPr>
              <w:ind w:left="140"/>
              <w:spacing w:after="0"/>
              <w:rPr>
                <w:sz w:val="20"/>
                <w:szCs w:val="20"/>
                <w:color w:val="auto"/>
              </w:rPr>
            </w:pPr>
            <w:r>
              <w:rPr>
                <w:rFonts w:ascii="Arial" w:cs="Arial" w:eastAsia="Arial" w:hAnsi="Arial"/>
                <w:sz w:val="18"/>
                <w:szCs w:val="18"/>
                <w:color w:val="auto"/>
              </w:rPr>
              <w:t>294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(91)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720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Residential mortgage- backed</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(26)</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tcPr>
          <w:p>
            <w:pPr>
              <w:ind w:left="420"/>
              <w:spacing w:after="0"/>
              <w:rPr>
                <w:sz w:val="20"/>
                <w:szCs w:val="20"/>
                <w:color w:val="auto"/>
              </w:rPr>
            </w:pPr>
            <w:r>
              <w:rPr>
                <w:rFonts w:ascii="Arial" w:cs="Arial" w:eastAsia="Arial" w:hAnsi="Arial"/>
                <w:sz w:val="18"/>
                <w:szCs w:val="18"/>
                <w:color w:val="auto"/>
              </w:rPr>
              <w:t>Commercial mortgage- backed</w:t>
            </w: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47</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10</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11</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59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Other asset-backed</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(14)</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(28)</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361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fixed maturity securities</w:t>
            </w: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390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2,052</w:t>
            </w:r>
          </w:p>
        </w:tc>
        <w:tc>
          <w:tcPr>
            <w:tcW w:w="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w:t>
            </w:r>
          </w:p>
        </w:tc>
        <w:tc>
          <w:tcPr>
            <w:tcW w:w="3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39</w:t>
            </w: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(69)</w:t>
            </w:r>
          </w:p>
        </w:tc>
        <w:tc>
          <w:tcPr>
            <w:tcW w:w="120" w:type="dxa"/>
            <w:vAlign w:val="bottom"/>
          </w:tcPr>
          <w:p>
            <w:pPr>
              <w:spacing w:after="0"/>
              <w:rPr>
                <w:sz w:val="19"/>
                <w:szCs w:val="19"/>
                <w:color w:val="auto"/>
              </w:rPr>
            </w:pPr>
          </w:p>
        </w:tc>
        <w:tc>
          <w:tcPr>
            <w:tcW w:w="560" w:type="dxa"/>
            <w:vAlign w:val="bottom"/>
            <w:gridSpan w:val="2"/>
          </w:tcPr>
          <w:p>
            <w:pPr>
              <w:ind w:left="140"/>
              <w:spacing w:after="0"/>
              <w:rPr>
                <w:sz w:val="20"/>
                <w:szCs w:val="20"/>
                <w:color w:val="auto"/>
              </w:rPr>
            </w:pPr>
            <w:r>
              <w:rPr>
                <w:rFonts w:ascii="Arial" w:cs="Arial" w:eastAsia="Arial" w:hAnsi="Arial"/>
                <w:sz w:val="18"/>
                <w:szCs w:val="18"/>
                <w:color w:val="auto"/>
              </w:rPr>
              <w:t>981</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(257)</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w w:val="84"/>
              </w:rPr>
              <w:t>2,749</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25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3920" w:type="dxa"/>
            <w:vAlign w:val="bottom"/>
            <w:gridSpan w:val="3"/>
          </w:tcPr>
          <w:p>
            <w:pPr>
              <w:spacing w:after="0"/>
              <w:rPr>
                <w:sz w:val="20"/>
                <w:szCs w:val="20"/>
                <w:color w:val="auto"/>
              </w:rPr>
            </w:pPr>
            <w:r>
              <w:rPr>
                <w:rFonts w:ascii="Arial" w:cs="Arial" w:eastAsia="Arial" w:hAnsi="Arial"/>
                <w:sz w:val="18"/>
                <w:szCs w:val="18"/>
                <w:color w:val="auto"/>
              </w:rPr>
              <w:t>Other invested assets:</w:t>
            </w:r>
          </w:p>
        </w:tc>
        <w:tc>
          <w:tcPr>
            <w:tcW w:w="12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9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Trading securities</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tcPr>
          <w:p>
            <w:pPr>
              <w:ind w:left="420"/>
              <w:spacing w:after="0"/>
              <w:rPr>
                <w:sz w:val="20"/>
                <w:szCs w:val="20"/>
                <w:color w:val="auto"/>
              </w:rPr>
            </w:pPr>
            <w:r>
              <w:rPr>
                <w:rFonts w:ascii="Arial" w:cs="Arial" w:eastAsia="Arial" w:hAnsi="Arial"/>
                <w:sz w:val="18"/>
                <w:szCs w:val="18"/>
                <w:color w:val="auto"/>
              </w:rPr>
              <w:t>Derivative assets:</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Interest rate swaps</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tcPr>
          <w:p>
            <w:pPr>
              <w:ind w:left="860"/>
              <w:spacing w:after="0"/>
              <w:rPr>
                <w:sz w:val="20"/>
                <w:szCs w:val="20"/>
                <w:color w:val="auto"/>
              </w:rPr>
            </w:pPr>
            <w:r>
              <w:rPr>
                <w:rFonts w:ascii="Arial" w:cs="Arial" w:eastAsia="Arial" w:hAnsi="Arial"/>
                <w:sz w:val="18"/>
                <w:szCs w:val="18"/>
                <w:color w:val="auto"/>
              </w:rPr>
              <w:t>Interest rate swaptions</w:t>
            </w: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14</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Arial" w:cs="Arial" w:eastAsia="Arial" w:hAnsi="Arial"/>
                <w:sz w:val="18"/>
                <w:szCs w:val="18"/>
                <w:color w:val="auto"/>
              </w:rPr>
              <w:t>24</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18"/>
                <w:szCs w:val="18"/>
                <w:color w:val="auto"/>
              </w:rPr>
            </w:pPr>
          </w:p>
        </w:tc>
        <w:tc>
          <w:tcPr>
            <w:tcW w:w="56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Credit default swaps</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tcPr>
          <w:p>
            <w:pPr>
              <w:ind w:left="860"/>
              <w:spacing w:after="0"/>
              <w:rPr>
                <w:sz w:val="20"/>
                <w:szCs w:val="20"/>
                <w:color w:val="auto"/>
              </w:rPr>
            </w:pPr>
            <w:r>
              <w:rPr>
                <w:rFonts w:ascii="Arial" w:cs="Arial" w:eastAsia="Arial" w:hAnsi="Arial"/>
                <w:sz w:val="18"/>
                <w:szCs w:val="18"/>
                <w:color w:val="auto"/>
              </w:rPr>
              <w:t>Equity index options</w:t>
            </w: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34</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Arial" w:cs="Arial" w:eastAsia="Arial" w:hAnsi="Arial"/>
                <w:sz w:val="18"/>
                <w:szCs w:val="18"/>
                <w:color w:val="auto"/>
              </w:rPr>
              <w:t>46</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420"/>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18"/>
                <w:szCs w:val="18"/>
                <w:color w:val="auto"/>
              </w:rPr>
            </w:pPr>
          </w:p>
        </w:tc>
        <w:tc>
          <w:tcPr>
            <w:tcW w:w="56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97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Other foreign currency contracts</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derivative assets</w:t>
            </w: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390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63</w:t>
            </w:r>
          </w:p>
        </w:tc>
        <w:tc>
          <w:tcPr>
            <w:tcW w:w="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65</w:t>
            </w:r>
          </w:p>
        </w:tc>
        <w:tc>
          <w:tcPr>
            <w:tcW w:w="3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19"/>
                <w:szCs w:val="19"/>
                <w:color w:val="auto"/>
              </w:rPr>
            </w:pPr>
          </w:p>
        </w:tc>
        <w:tc>
          <w:tcPr>
            <w:tcW w:w="56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111</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5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other invested assets</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3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(16)</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15"/>
        </w:trPr>
        <w:tc>
          <w:tcPr>
            <w:tcW w:w="3920" w:type="dxa"/>
            <w:vAlign w:val="bottom"/>
            <w:gridSpan w:val="3"/>
          </w:tcPr>
          <w:p>
            <w:pPr>
              <w:spacing w:after="0"/>
              <w:rPr>
                <w:sz w:val="20"/>
                <w:szCs w:val="20"/>
                <w:color w:val="auto"/>
              </w:rPr>
            </w:pPr>
            <w:r>
              <w:rPr>
                <w:rFonts w:ascii="Arial" w:cs="Arial" w:eastAsia="Arial" w:hAnsi="Arial"/>
                <w:sz w:val="18"/>
                <w:szCs w:val="18"/>
                <w:color w:val="auto"/>
              </w:rPr>
              <w:t>Restricted other invested assets related to</w:t>
            </w:r>
          </w:p>
        </w:tc>
        <w:tc>
          <w:tcPr>
            <w:tcW w:w="1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900" w:type="dxa"/>
            <w:vAlign w:val="bottom"/>
            <w:gridSpan w:val="2"/>
          </w:tcPr>
          <w:p>
            <w:pPr>
              <w:ind w:left="200"/>
              <w:spacing w:after="0"/>
              <w:rPr>
                <w:sz w:val="20"/>
                <w:szCs w:val="20"/>
                <w:color w:val="auto"/>
              </w:rPr>
            </w:pPr>
            <w:r>
              <w:rPr>
                <w:rFonts w:ascii="Arial" w:cs="Arial" w:eastAsia="Arial" w:hAnsi="Arial"/>
                <w:sz w:val="18"/>
                <w:szCs w:val="18"/>
                <w:color w:val="auto"/>
              </w:rPr>
              <w:t xml:space="preserve">securitization entities </w:t>
            </w:r>
            <w:r>
              <w:rPr>
                <w:rFonts w:ascii="Arial" w:cs="Arial" w:eastAsia="Arial" w:hAnsi="Arial"/>
                <w:sz w:val="11"/>
                <w:szCs w:val="11"/>
                <w:color w:val="auto"/>
              </w:rPr>
              <w:t>(2)</w:t>
            </w:r>
          </w:p>
        </w:tc>
        <w:tc>
          <w:tcPr>
            <w:tcW w:w="12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174</w:t>
            </w:r>
          </w:p>
        </w:tc>
        <w:tc>
          <w:tcPr>
            <w:tcW w:w="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(2)</w:t>
            </w: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2</w:t>
            </w: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56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174</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Reinsurance recoverable </w:t>
            </w:r>
            <w:r>
              <w:rPr>
                <w:rFonts w:ascii="Arial" w:cs="Arial" w:eastAsia="Arial" w:hAnsi="Arial"/>
                <w:sz w:val="11"/>
                <w:szCs w:val="11"/>
                <w:color w:val="auto"/>
              </w:rPr>
              <w:t>(3)</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(6)</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15</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
        </w:trPr>
        <w:tc>
          <w:tcPr>
            <w:tcW w:w="3920" w:type="dxa"/>
            <w:vAlign w:val="bottom"/>
            <w:gridSpan w:val="3"/>
            <w:vMerge w:val="restart"/>
          </w:tcPr>
          <w:p>
            <w:pPr>
              <w:spacing w:after="0"/>
              <w:rPr>
                <w:sz w:val="20"/>
                <w:szCs w:val="20"/>
                <w:color w:val="auto"/>
              </w:rPr>
            </w:pPr>
            <w:r>
              <w:rPr>
                <w:rFonts w:ascii="Arial" w:cs="Arial" w:eastAsia="Arial" w:hAnsi="Arial"/>
                <w:sz w:val="18"/>
                <w:szCs w:val="18"/>
                <w:color w:val="auto"/>
              </w:rPr>
              <w:t>Total Level 3 assets</w:t>
            </w: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3920" w:type="dxa"/>
            <w:vAlign w:val="bottom"/>
            <w:gridSpan w:val="3"/>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2,492</w:t>
            </w:r>
          </w:p>
        </w:tc>
        <w:tc>
          <w:tcPr>
            <w:tcW w:w="440" w:type="dxa"/>
            <w:vAlign w:val="bottom"/>
          </w:tcPr>
          <w:p>
            <w:pPr>
              <w:spacing w:after="0"/>
              <w:rPr>
                <w:sz w:val="19"/>
                <w:szCs w:val="19"/>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74</w:t>
            </w:r>
          </w:p>
        </w:tc>
        <w:tc>
          <w:tcPr>
            <w:tcW w:w="3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rPr>
              <w:t>42</w:t>
            </w:r>
          </w:p>
        </w:tc>
        <w:tc>
          <w:tcPr>
            <w:tcW w:w="3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(84)</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560" w:type="dxa"/>
            <w:vAlign w:val="bottom"/>
            <w:gridSpan w:val="2"/>
          </w:tcPr>
          <w:p>
            <w:pPr>
              <w:ind w:left="140"/>
              <w:spacing w:after="0"/>
              <w:rPr>
                <w:sz w:val="20"/>
                <w:szCs w:val="20"/>
                <w:color w:val="auto"/>
              </w:rPr>
            </w:pPr>
            <w:r>
              <w:rPr>
                <w:rFonts w:ascii="Arial" w:cs="Arial" w:eastAsia="Arial" w:hAnsi="Arial"/>
                <w:sz w:val="18"/>
                <w:szCs w:val="18"/>
                <w:color w:val="auto"/>
              </w:rPr>
              <w:t>981</w:t>
            </w:r>
          </w:p>
        </w:tc>
        <w:tc>
          <w:tcPr>
            <w:tcW w:w="240" w:type="dxa"/>
            <w:vAlign w:val="bottom"/>
            <w:gridSpan w:val="2"/>
          </w:tcPr>
          <w:p>
            <w:pPr>
              <w:ind w:left="160"/>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(317)</w:t>
            </w:r>
          </w:p>
        </w:tc>
        <w:tc>
          <w:tcPr>
            <w:tcW w:w="2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w w:val="84"/>
              </w:rPr>
              <w:t>3,188</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340" w:right="460" w:hanging="332"/>
        <w:spacing w:after="0" w:line="235" w:lineRule="auto"/>
        <w:tabs>
          <w:tab w:leader="none" w:pos="340" w:val="left"/>
        </w:tabs>
        <w:numPr>
          <w:ilvl w:val="0"/>
          <w:numId w:val="27"/>
        </w:numPr>
        <w:rPr>
          <w:rFonts w:ascii="Arial" w:cs="Arial" w:eastAsia="Arial" w:hAnsi="Arial"/>
          <w:sz w:val="22"/>
          <w:szCs w:val="22"/>
          <w:color w:val="auto"/>
          <w:vertAlign w:val="superscript"/>
        </w:rPr>
      </w:pPr>
      <w:r>
        <w:rPr>
          <w:rFonts w:ascii="Arial" w:cs="Arial" w:eastAsia="Arial" w:hAnsi="Arial"/>
          <w:sz w:val="18"/>
          <w:szCs w:val="18"/>
          <w:color w:val="auto"/>
        </w:rPr>
        <w:t>The transfer into Level 3 was primarily related to private fixed U.S. corporate and corporate—non U.S. securities and resulted from a change in the observability of the additional premium to the public bond spread to adjust for the liquidity and other features of our private placements and resulted in unobservable inputs having a significant impact on certain valuations.</w:t>
      </w:r>
    </w:p>
    <w:p>
      <w:pPr>
        <w:spacing w:after="0" w:line="1" w:lineRule="exact"/>
        <w:rPr>
          <w:rFonts w:ascii="Arial" w:cs="Arial" w:eastAsia="Arial" w:hAnsi="Arial"/>
          <w:sz w:val="22"/>
          <w:szCs w:val="22"/>
          <w:color w:val="auto"/>
          <w:vertAlign w:val="superscript"/>
        </w:rPr>
      </w:pPr>
    </w:p>
    <w:p>
      <w:pPr>
        <w:ind w:left="340" w:right="20" w:hanging="332"/>
        <w:spacing w:after="0" w:line="225" w:lineRule="auto"/>
        <w:tabs>
          <w:tab w:leader="none" w:pos="340" w:val="left"/>
        </w:tabs>
        <w:numPr>
          <w:ilvl w:val="0"/>
          <w:numId w:val="27"/>
        </w:numPr>
        <w:rPr>
          <w:rFonts w:ascii="Arial" w:cs="Arial" w:eastAsia="Arial" w:hAnsi="Arial"/>
          <w:sz w:val="22"/>
          <w:szCs w:val="22"/>
          <w:color w:val="auto"/>
          <w:vertAlign w:val="superscript"/>
        </w:rPr>
      </w:pPr>
      <w:r>
        <w:rPr>
          <w:rFonts w:ascii="Arial" w:cs="Arial" w:eastAsia="Arial" w:hAnsi="Arial"/>
          <w:sz w:val="18"/>
          <w:szCs w:val="18"/>
          <w:color w:val="auto"/>
        </w:rPr>
        <w:t>Relates to the consolidation of certain securitization entities as of January 1, 2010. See note 7 for additional information related to consolidated securitization entities.</w:t>
      </w:r>
    </w:p>
    <w:p>
      <w:pPr>
        <w:ind w:left="340" w:hanging="332"/>
        <w:spacing w:after="0" w:line="205" w:lineRule="auto"/>
        <w:tabs>
          <w:tab w:leader="none" w:pos="340" w:val="left"/>
        </w:tabs>
        <w:numPr>
          <w:ilvl w:val="0"/>
          <w:numId w:val="27"/>
        </w:numPr>
        <w:rPr>
          <w:rFonts w:ascii="Arial" w:cs="Arial" w:eastAsia="Arial" w:hAnsi="Arial"/>
          <w:sz w:val="22"/>
          <w:szCs w:val="22"/>
          <w:color w:val="auto"/>
          <w:vertAlign w:val="superscript"/>
        </w:rPr>
      </w:pPr>
      <w:r>
        <w:rPr>
          <w:rFonts w:ascii="Arial" w:cs="Arial" w:eastAsia="Arial" w:hAnsi="Arial"/>
          <w:sz w:val="18"/>
          <w:szCs w:val="18"/>
          <w:color w:val="auto"/>
        </w:rPr>
        <w:t>Represents embedded derivatives associated with the reinsured portion of our GMWB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-847090</wp:posOffset>
            </wp:positionV>
            <wp:extent cx="72898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459" w:right="2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80" w:type="dxa"/>
            <w:vAlign w:val="bottom"/>
            <w:gridSpan w:val="5"/>
            <w:vMerge w:val="restart"/>
          </w:tcPr>
          <w:p>
            <w:pPr>
              <w:jc w:val="center"/>
              <w:ind w:right="500"/>
              <w:spacing w:after="0"/>
              <w:rPr>
                <w:sz w:val="20"/>
                <w:szCs w:val="20"/>
                <w:color w:val="auto"/>
              </w:rPr>
            </w:pPr>
            <w:r>
              <w:rPr>
                <w:rFonts w:ascii="Arial" w:cs="Arial" w:eastAsia="Arial" w:hAnsi="Arial"/>
                <w:sz w:val="14"/>
                <w:szCs w:val="14"/>
                <w:b w:val="1"/>
                <w:bCs w:val="1"/>
                <w:color w:val="auto"/>
                <w:w w:val="87"/>
              </w:rPr>
              <w:t>Total realized and</w:t>
            </w: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Total gains</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780" w:type="dxa"/>
            <w:vAlign w:val="bottom"/>
            <w:gridSpan w:val="5"/>
            <w:vMerge w:val="continue"/>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75"/>
              </w:rPr>
              <w:t>(losses)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3"/>
          </w:tcPr>
          <w:p>
            <w:pPr>
              <w:jc w:val="center"/>
              <w:ind w:left="56"/>
              <w:spacing w:after="0" w:line="149" w:lineRule="exact"/>
              <w:rPr>
                <w:sz w:val="20"/>
                <w:szCs w:val="20"/>
                <w:color w:val="auto"/>
              </w:rPr>
            </w:pPr>
            <w:r>
              <w:rPr>
                <w:rFonts w:ascii="Arial" w:cs="Arial" w:eastAsia="Arial" w:hAnsi="Arial"/>
                <w:sz w:val="14"/>
                <w:szCs w:val="14"/>
                <w:b w:val="1"/>
                <w:bCs w:val="1"/>
                <w:color w:val="auto"/>
                <w:w w:val="85"/>
              </w:rPr>
              <w:t>unrealized gains</w:t>
            </w:r>
          </w:p>
        </w:tc>
        <w:tc>
          <w:tcPr>
            <w:tcW w:w="3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0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82"/>
              </w:rPr>
              <w:t>Purchases,</w:t>
            </w:r>
          </w:p>
        </w:tc>
        <w:tc>
          <w:tcPr>
            <w:tcW w:w="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included in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72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84"/>
              </w:rPr>
              <w:t>Beginning</w:t>
            </w:r>
          </w:p>
        </w:tc>
        <w:tc>
          <w:tcPr>
            <w:tcW w:w="1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2"/>
          </w:tcPr>
          <w:p>
            <w:pPr>
              <w:jc w:val="center"/>
              <w:ind w:left="276"/>
              <w:spacing w:after="0"/>
              <w:rPr>
                <w:sz w:val="20"/>
                <w:szCs w:val="20"/>
                <w:color w:val="auto"/>
              </w:rPr>
            </w:pPr>
            <w:r>
              <w:rPr>
                <w:rFonts w:ascii="Arial" w:cs="Arial" w:eastAsia="Arial" w:hAnsi="Arial"/>
                <w:sz w:val="14"/>
                <w:szCs w:val="14"/>
                <w:b w:val="1"/>
                <w:bCs w:val="1"/>
                <w:color w:val="auto"/>
                <w:w w:val="79"/>
              </w:rPr>
              <w:t>(losses)</w:t>
            </w:r>
          </w:p>
        </w:tc>
        <w:tc>
          <w:tcPr>
            <w:tcW w:w="2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gridSpan w:val="2"/>
          </w:tcPr>
          <w:p>
            <w:pPr>
              <w:jc w:val="center"/>
              <w:ind w:right="540"/>
              <w:spacing w:after="0"/>
              <w:rPr>
                <w:sz w:val="20"/>
                <w:szCs w:val="20"/>
                <w:color w:val="auto"/>
              </w:rPr>
            </w:pPr>
            <w:r>
              <w:rPr>
                <w:rFonts w:ascii="Arial" w:cs="Arial" w:eastAsia="Arial" w:hAnsi="Arial"/>
                <w:sz w:val="14"/>
                <w:szCs w:val="14"/>
                <w:b w:val="1"/>
                <w:bCs w:val="1"/>
                <w:color w:val="auto"/>
                <w:w w:val="76"/>
              </w:rPr>
              <w:t>sales,</w:t>
            </w:r>
          </w:p>
        </w:tc>
        <w:tc>
          <w:tcPr>
            <w:tcW w:w="1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Ending</w:t>
            </w:r>
          </w:p>
        </w:tc>
        <w:tc>
          <w:tcPr>
            <w:tcW w:w="280" w:type="dxa"/>
            <w:vAlign w:val="bottom"/>
          </w:tcPr>
          <w:p>
            <w:pPr>
              <w:spacing w:after="0"/>
              <w:rPr>
                <w:sz w:val="14"/>
                <w:szCs w:val="14"/>
                <w:color w:val="auto"/>
              </w:rPr>
            </w:pPr>
          </w:p>
        </w:tc>
        <w:tc>
          <w:tcPr>
            <w:tcW w:w="8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net income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820" w:type="dxa"/>
            <w:vAlign w:val="bottom"/>
          </w:tcPr>
          <w:p>
            <w:pPr>
              <w:spacing w:after="0"/>
              <w:rPr>
                <w:sz w:val="11"/>
                <w:szCs w:val="11"/>
                <w:color w:val="auto"/>
              </w:rPr>
            </w:pPr>
          </w:p>
        </w:tc>
        <w:tc>
          <w:tcPr>
            <w:tcW w:w="720" w:type="dxa"/>
            <w:vAlign w:val="bottom"/>
            <w:gridSpan w:val="3"/>
          </w:tcPr>
          <w:p>
            <w:pPr>
              <w:jc w:val="center"/>
              <w:ind w:right="120"/>
              <w:spacing w:after="0" w:line="129" w:lineRule="exact"/>
              <w:rPr>
                <w:sz w:val="20"/>
                <w:szCs w:val="20"/>
                <w:color w:val="auto"/>
              </w:rPr>
            </w:pPr>
            <w:r>
              <w:rPr>
                <w:rFonts w:ascii="Arial" w:cs="Arial" w:eastAsia="Arial" w:hAnsi="Arial"/>
                <w:sz w:val="14"/>
                <w:szCs w:val="14"/>
                <w:b w:val="1"/>
                <w:bCs w:val="1"/>
                <w:color w:val="auto"/>
                <w:w w:val="84"/>
              </w:rPr>
              <w:t>balance</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3"/>
          </w:tcPr>
          <w:p>
            <w:pPr>
              <w:jc w:val="center"/>
              <w:ind w:right="420"/>
              <w:spacing w:after="0" w:line="129" w:lineRule="exact"/>
              <w:rPr>
                <w:sz w:val="20"/>
                <w:szCs w:val="20"/>
                <w:color w:val="auto"/>
              </w:rPr>
            </w:pPr>
            <w:r>
              <w:rPr>
                <w:rFonts w:ascii="Arial" w:cs="Arial" w:eastAsia="Arial" w:hAnsi="Arial"/>
                <w:sz w:val="14"/>
                <w:szCs w:val="14"/>
                <w:b w:val="1"/>
                <w:bCs w:val="1"/>
                <w:color w:val="auto"/>
                <w:w w:val="76"/>
              </w:rPr>
              <w:t>issuances</w:t>
            </w: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4"/>
              </w:rPr>
              <w:t>balance</w:t>
            </w: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0"/>
              </w:rPr>
              <w:t>(loss)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79"/>
              </w:rPr>
              <w:t>as of</w:t>
            </w:r>
          </w:p>
        </w:tc>
        <w:tc>
          <w:tcPr>
            <w:tcW w:w="140" w:type="dxa"/>
            <w:vAlign w:val="bottom"/>
          </w:tcPr>
          <w:p>
            <w:pPr>
              <w:spacing w:after="0"/>
              <w:rPr>
                <w:sz w:val="12"/>
                <w:szCs w:val="12"/>
                <w:color w:val="auto"/>
              </w:rPr>
            </w:pPr>
          </w:p>
        </w:tc>
        <w:tc>
          <w:tcPr>
            <w:tcW w:w="10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Included in</w:t>
            </w:r>
          </w:p>
        </w:tc>
        <w:tc>
          <w:tcPr>
            <w:tcW w:w="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88"/>
              </w:rPr>
              <w:t>and</w:t>
            </w:r>
          </w:p>
        </w:tc>
        <w:tc>
          <w:tcPr>
            <w:tcW w:w="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4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89"/>
              </w:rPr>
              <w:t>Transfer</w:t>
            </w:r>
          </w:p>
        </w:tc>
        <w:tc>
          <w:tcPr>
            <w:tcW w:w="100" w:type="dxa"/>
            <w:vAlign w:val="bottom"/>
          </w:tcPr>
          <w:p>
            <w:pPr>
              <w:spacing w:after="0"/>
              <w:rPr>
                <w:sz w:val="12"/>
                <w:szCs w:val="12"/>
                <w:color w:val="auto"/>
              </w:rPr>
            </w:pPr>
          </w:p>
        </w:tc>
        <w:tc>
          <w:tcPr>
            <w:tcW w:w="400" w:type="dxa"/>
            <w:vAlign w:val="bottom"/>
          </w:tcPr>
          <w:p>
            <w:pPr>
              <w:jc w:val="center"/>
              <w:ind w:right="15"/>
              <w:spacing w:after="0" w:line="149" w:lineRule="exact"/>
              <w:rPr>
                <w:sz w:val="20"/>
                <w:szCs w:val="20"/>
                <w:color w:val="auto"/>
              </w:rPr>
            </w:pPr>
            <w:r>
              <w:rPr>
                <w:rFonts w:ascii="Arial" w:cs="Arial" w:eastAsia="Arial" w:hAnsi="Arial"/>
                <w:sz w:val="14"/>
                <w:szCs w:val="14"/>
                <w:b w:val="1"/>
                <w:bCs w:val="1"/>
                <w:color w:val="auto"/>
                <w:w w:val="79"/>
              </w:rPr>
              <w:t>as of</w:t>
            </w:r>
          </w:p>
        </w:tc>
        <w:tc>
          <w:tcPr>
            <w:tcW w:w="280" w:type="dxa"/>
            <w:vAlign w:val="bottom"/>
          </w:tcPr>
          <w:p>
            <w:pPr>
              <w:spacing w:after="0"/>
              <w:rPr>
                <w:sz w:val="12"/>
                <w:szCs w:val="12"/>
                <w:color w:val="auto"/>
              </w:rPr>
            </w:pPr>
          </w:p>
        </w:tc>
        <w:tc>
          <w:tcPr>
            <w:tcW w:w="8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attributable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72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April 1,</w:t>
            </w:r>
          </w:p>
        </w:tc>
        <w:tc>
          <w:tcPr>
            <w:tcW w:w="140" w:type="dxa"/>
            <w:vAlign w:val="bottom"/>
          </w:tcPr>
          <w:p>
            <w:pPr>
              <w:spacing w:after="0"/>
              <w:rPr>
                <w:sz w:val="12"/>
                <w:szCs w:val="12"/>
                <w:color w:val="auto"/>
              </w:rPr>
            </w:pPr>
          </w:p>
        </w:tc>
        <w:tc>
          <w:tcPr>
            <w:tcW w:w="10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net income</w:t>
            </w:r>
          </w:p>
        </w:tc>
        <w:tc>
          <w:tcPr>
            <w:tcW w:w="8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Included</w:t>
            </w:r>
          </w:p>
        </w:tc>
        <w:tc>
          <w:tcPr>
            <w:tcW w:w="1100" w:type="dxa"/>
            <w:vAlign w:val="bottom"/>
            <w:gridSpan w:val="3"/>
          </w:tcPr>
          <w:p>
            <w:pPr>
              <w:jc w:val="center"/>
              <w:ind w:right="380"/>
              <w:spacing w:after="0" w:line="149" w:lineRule="exact"/>
              <w:rPr>
                <w:sz w:val="20"/>
                <w:szCs w:val="20"/>
                <w:color w:val="auto"/>
              </w:rPr>
            </w:pPr>
            <w:r>
              <w:rPr>
                <w:rFonts w:ascii="Arial" w:cs="Arial" w:eastAsia="Arial" w:hAnsi="Arial"/>
                <w:sz w:val="14"/>
                <w:szCs w:val="14"/>
                <w:b w:val="1"/>
                <w:bCs w:val="1"/>
                <w:color w:val="auto"/>
                <w:w w:val="83"/>
              </w:rPr>
              <w:t>settlements,</w:t>
            </w:r>
          </w:p>
        </w:tc>
        <w:tc>
          <w:tcPr>
            <w:tcW w:w="8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Transfer</w:t>
            </w:r>
          </w:p>
        </w:tc>
        <w:tc>
          <w:tcPr>
            <w:tcW w:w="100" w:type="dxa"/>
            <w:vAlign w:val="bottom"/>
          </w:tcPr>
          <w:p>
            <w:pPr>
              <w:spacing w:after="0"/>
              <w:rPr>
                <w:sz w:val="12"/>
                <w:szCs w:val="12"/>
                <w:color w:val="auto"/>
              </w:rPr>
            </w:pPr>
          </w:p>
        </w:tc>
        <w:tc>
          <w:tcPr>
            <w:tcW w:w="84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2"/>
              </w:rPr>
              <w:t>out of</w:t>
            </w:r>
          </w:p>
        </w:tc>
        <w:tc>
          <w:tcPr>
            <w:tcW w:w="5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June 30,</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79"/>
              </w:rPr>
              <w:t>to assets</w:t>
            </w:r>
          </w:p>
        </w:tc>
        <w:tc>
          <w:tcPr>
            <w:tcW w:w="0" w:type="dxa"/>
            <w:vAlign w:val="bottom"/>
          </w:tcPr>
          <w:p>
            <w:pPr>
              <w:spacing w:after="0"/>
              <w:rPr>
                <w:sz w:val="1"/>
                <w:szCs w:val="1"/>
                <w:color w:val="auto"/>
              </w:rPr>
            </w:pPr>
          </w:p>
        </w:tc>
      </w:tr>
      <w:tr>
        <w:trPr>
          <w:trHeight w:val="161"/>
        </w:trPr>
        <w:tc>
          <w:tcPr>
            <w:tcW w:w="416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480" w:type="dxa"/>
            <w:vAlign w:val="bottom"/>
          </w:tcPr>
          <w:p>
            <w:pPr>
              <w:jc w:val="center"/>
              <w:ind w:right="15"/>
              <w:spacing w:after="0"/>
              <w:rPr>
                <w:sz w:val="20"/>
                <w:szCs w:val="20"/>
                <w:color w:val="auto"/>
              </w:rPr>
            </w:pPr>
            <w:r>
              <w:rPr>
                <w:rFonts w:ascii="Arial" w:cs="Arial" w:eastAsia="Arial" w:hAnsi="Arial"/>
                <w:sz w:val="14"/>
                <w:szCs w:val="14"/>
                <w:b w:val="1"/>
                <w:bCs w:val="1"/>
                <w:color w:val="auto"/>
                <w:w w:val="83"/>
              </w:rPr>
              <w:t>2009</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w w:val="85"/>
              </w:rPr>
              <w:t>(loss)</w:t>
            </w:r>
          </w:p>
        </w:tc>
        <w:tc>
          <w:tcPr>
            <w:tcW w:w="880" w:type="dxa"/>
            <w:vAlign w:val="bottom"/>
            <w:gridSpan w:val="3"/>
          </w:tcPr>
          <w:p>
            <w:pPr>
              <w:ind w:left="60"/>
              <w:spacing w:after="0"/>
              <w:rPr>
                <w:sz w:val="20"/>
                <w:szCs w:val="20"/>
                <w:color w:val="auto"/>
              </w:rPr>
            </w:pPr>
            <w:r>
              <w:rPr>
                <w:rFonts w:ascii="Arial" w:cs="Arial" w:eastAsia="Arial" w:hAnsi="Arial"/>
                <w:sz w:val="14"/>
                <w:szCs w:val="14"/>
                <w:b w:val="1"/>
                <w:bCs w:val="1"/>
                <w:color w:val="auto"/>
              </w:rPr>
              <w:t>in OCI</w:t>
            </w:r>
          </w:p>
        </w:tc>
        <w:tc>
          <w:tcPr>
            <w:tcW w:w="140" w:type="dxa"/>
            <w:vAlign w:val="bottom"/>
          </w:tcPr>
          <w:p>
            <w:pPr>
              <w:spacing w:after="0"/>
              <w:rPr>
                <w:sz w:val="14"/>
                <w:szCs w:val="14"/>
                <w:color w:val="auto"/>
              </w:rPr>
            </w:pPr>
          </w:p>
        </w:tc>
        <w:tc>
          <w:tcPr>
            <w:tcW w:w="960" w:type="dxa"/>
            <w:vAlign w:val="bottom"/>
            <w:gridSpan w:val="2"/>
          </w:tcPr>
          <w:p>
            <w:pPr>
              <w:jc w:val="center"/>
              <w:ind w:right="540"/>
              <w:spacing w:after="0"/>
              <w:rPr>
                <w:sz w:val="20"/>
                <w:szCs w:val="20"/>
                <w:color w:val="auto"/>
              </w:rPr>
            </w:pPr>
            <w:r>
              <w:rPr>
                <w:rFonts w:ascii="Arial" w:cs="Arial" w:eastAsia="Arial" w:hAnsi="Arial"/>
                <w:sz w:val="14"/>
                <w:szCs w:val="14"/>
                <w:b w:val="1"/>
                <w:bCs w:val="1"/>
                <w:color w:val="auto"/>
                <w:w w:val="85"/>
              </w:rPr>
              <w:t>net</w:t>
            </w:r>
          </w:p>
        </w:tc>
        <w:tc>
          <w:tcPr>
            <w:tcW w:w="840" w:type="dxa"/>
            <w:vAlign w:val="bottom"/>
            <w:gridSpan w:val="3"/>
          </w:tcPr>
          <w:p>
            <w:pPr>
              <w:spacing w:after="0"/>
              <w:rPr>
                <w:sz w:val="20"/>
                <w:szCs w:val="20"/>
                <w:color w:val="auto"/>
              </w:rPr>
            </w:pPr>
            <w:r>
              <w:rPr>
                <w:rFonts w:ascii="Arial" w:cs="Arial" w:eastAsia="Arial" w:hAnsi="Arial"/>
                <w:sz w:val="14"/>
                <w:szCs w:val="14"/>
                <w:b w:val="1"/>
                <w:bCs w:val="1"/>
                <w:color w:val="auto"/>
              </w:rPr>
              <w:t>in Level 3</w:t>
            </w:r>
          </w:p>
        </w:tc>
        <w:tc>
          <w:tcPr>
            <w:tcW w:w="940" w:type="dxa"/>
            <w:vAlign w:val="bottom"/>
            <w:gridSpan w:val="3"/>
          </w:tcPr>
          <w:p>
            <w:pPr>
              <w:jc w:val="center"/>
              <w:ind w:right="400"/>
              <w:spacing w:after="0"/>
              <w:rPr>
                <w:sz w:val="20"/>
                <w:szCs w:val="20"/>
                <w:color w:val="auto"/>
              </w:rPr>
            </w:pPr>
            <w:r>
              <w:rPr>
                <w:rFonts w:ascii="Arial" w:cs="Arial" w:eastAsia="Arial" w:hAnsi="Arial"/>
                <w:sz w:val="14"/>
                <w:szCs w:val="14"/>
                <w:b w:val="1"/>
                <w:bCs w:val="1"/>
                <w:color w:val="auto"/>
                <w:w w:val="88"/>
              </w:rPr>
              <w:t>Level 3</w:t>
            </w:r>
          </w:p>
        </w:tc>
        <w:tc>
          <w:tcPr>
            <w:tcW w:w="10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Arial" w:cs="Arial" w:eastAsia="Arial" w:hAnsi="Arial"/>
                <w:sz w:val="14"/>
                <w:szCs w:val="14"/>
                <w:b w:val="1"/>
                <w:bCs w:val="1"/>
                <w:color w:val="auto"/>
                <w:w w:val="89"/>
              </w:rPr>
              <w:t>2009</w:t>
            </w: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4"/>
              </w:rPr>
              <w:t>still held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40" w:type="dxa"/>
            <w:vAlign w:val="bottom"/>
            <w:gridSpan w:val="2"/>
          </w:tcPr>
          <w:p>
            <w:pPr>
              <w:ind w:left="420"/>
              <w:spacing w:after="0"/>
              <w:rPr>
                <w:sz w:val="20"/>
                <w:szCs w:val="20"/>
                <w:color w:val="auto"/>
              </w:rPr>
            </w:pPr>
            <w:r>
              <w:rPr>
                <w:rFonts w:ascii="Arial" w:cs="Arial" w:eastAsia="Arial" w:hAnsi="Arial"/>
                <w:sz w:val="18"/>
                <w:szCs w:val="18"/>
                <w:color w:val="auto"/>
              </w:rPr>
              <w:t>U.S. government, agencies and government-</w:t>
            </w: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40" w:type="dxa"/>
            <w:vAlign w:val="bottom"/>
            <w:gridSpan w:val="2"/>
          </w:tcPr>
          <w:p>
            <w:pPr>
              <w:ind w:left="640"/>
              <w:spacing w:after="0"/>
              <w:rPr>
                <w:sz w:val="20"/>
                <w:szCs w:val="20"/>
                <w:color w:val="auto"/>
              </w:rPr>
            </w:pPr>
            <w:r>
              <w:rPr>
                <w:rFonts w:ascii="Arial" w:cs="Arial" w:eastAsia="Arial" w:hAnsi="Arial"/>
                <w:sz w:val="18"/>
                <w:szCs w:val="18"/>
                <w:color w:val="auto"/>
              </w:rPr>
              <w:t>sponsored entities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19</w:t>
            </w:r>
          </w:p>
        </w:tc>
        <w:tc>
          <w:tcPr>
            <w:tcW w:w="28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300"/>
              <w:spacing w:after="0"/>
              <w:rPr>
                <w:sz w:val="20"/>
                <w:szCs w:val="20"/>
                <w:color w:val="auto"/>
              </w:rPr>
            </w:pPr>
            <w:r>
              <w:rPr>
                <w:rFonts w:ascii="Arial" w:cs="Arial" w:eastAsia="Arial" w:hAnsi="Arial"/>
                <w:sz w:val="18"/>
                <w:szCs w:val="18"/>
                <w:color w:val="auto"/>
              </w:rPr>
              <w:t>(37)</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4</w:t>
            </w:r>
          </w:p>
        </w:tc>
        <w:tc>
          <w:tcPr>
            <w:tcW w:w="400" w:type="dxa"/>
            <w:vAlign w:val="bottom"/>
          </w:tcPr>
          <w:p>
            <w:pPr>
              <w:spacing w:after="0"/>
              <w:rPr>
                <w:sz w:val="19"/>
                <w:szCs w:val="19"/>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gridSpan w:val="2"/>
          </w:tcPr>
          <w:p>
            <w:pPr>
              <w:ind w:left="120"/>
              <w:spacing w:after="0"/>
              <w:rPr>
                <w:sz w:val="20"/>
                <w:szCs w:val="20"/>
                <w:color w:val="auto"/>
              </w:rPr>
            </w:pPr>
            <w:r>
              <w:rPr>
                <w:rFonts w:ascii="Arial" w:cs="Arial" w:eastAsia="Arial" w:hAnsi="Arial"/>
                <w:sz w:val="18"/>
                <w:szCs w:val="18"/>
                <w:color w:val="auto"/>
              </w:rPr>
              <w:t>389</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(18)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357</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1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Tax exempt</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ind w:left="420"/>
              <w:spacing w:after="0"/>
              <w:rPr>
                <w:sz w:val="20"/>
                <w:szCs w:val="20"/>
                <w:color w:val="auto"/>
              </w:rPr>
            </w:pPr>
            <w:r>
              <w:rPr>
                <w:rFonts w:ascii="Arial" w:cs="Arial" w:eastAsia="Arial" w:hAnsi="Arial"/>
                <w:sz w:val="18"/>
                <w:szCs w:val="18"/>
                <w:color w:val="auto"/>
              </w:rPr>
              <w:t>Government—non-U.S.</w:t>
            </w:r>
          </w:p>
        </w:tc>
        <w:tc>
          <w:tcPr>
            <w:tcW w:w="100" w:type="dxa"/>
            <w:vAlign w:val="bottom"/>
          </w:tcPr>
          <w:p>
            <w:pPr>
              <w:spacing w:after="0"/>
              <w:rPr>
                <w:sz w:val="18"/>
                <w:szCs w:val="18"/>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35</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660" w:type="dxa"/>
            <w:vAlign w:val="bottom"/>
            <w:gridSpan w:val="2"/>
          </w:tcPr>
          <w:p>
            <w:pPr>
              <w:jc w:val="right"/>
              <w:ind w:right="360"/>
              <w:spacing w:after="0"/>
              <w:rPr>
                <w:sz w:val="20"/>
                <w:szCs w:val="20"/>
                <w:color w:val="auto"/>
              </w:rPr>
            </w:pPr>
            <w:r>
              <w:rPr>
                <w:rFonts w:ascii="Arial" w:cs="Arial" w:eastAsia="Arial" w:hAnsi="Arial"/>
                <w:sz w:val="18"/>
                <w:szCs w:val="18"/>
                <w:color w:val="auto"/>
              </w:rPr>
              <w:t>2</w:t>
            </w:r>
          </w:p>
        </w:tc>
        <w:tc>
          <w:tcPr>
            <w:tcW w:w="1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22</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U.S. corporate</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1,658</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(14)</w:t>
            </w:r>
          </w:p>
        </w:tc>
        <w:tc>
          <w:tcPr>
            <w:tcW w:w="2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140</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(70)</w:t>
            </w:r>
          </w:p>
        </w:tc>
        <w:tc>
          <w:tcPr>
            <w:tcW w:w="1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240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(546)</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1,408</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ind w:left="420"/>
              <w:spacing w:after="0"/>
              <w:rPr>
                <w:sz w:val="20"/>
                <w:szCs w:val="20"/>
                <w:color w:val="auto"/>
              </w:rPr>
            </w:pPr>
            <w:r>
              <w:rPr>
                <w:rFonts w:ascii="Arial" w:cs="Arial" w:eastAsia="Arial" w:hAnsi="Arial"/>
                <w:sz w:val="18"/>
                <w:szCs w:val="18"/>
                <w:color w:val="auto"/>
              </w:rPr>
              <w:t>Corporate—non-U.S.</w:t>
            </w:r>
          </w:p>
        </w:tc>
        <w:tc>
          <w:tcPr>
            <w:tcW w:w="100" w:type="dxa"/>
            <w:vAlign w:val="bottom"/>
          </w:tcPr>
          <w:p>
            <w:pPr>
              <w:spacing w:after="0"/>
              <w:rPr>
                <w:sz w:val="18"/>
                <w:szCs w:val="18"/>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1,136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320"/>
              <w:spacing w:after="0"/>
              <w:rPr>
                <w:sz w:val="20"/>
                <w:szCs w:val="20"/>
                <w:color w:val="auto"/>
              </w:rPr>
            </w:pPr>
            <w:r>
              <w:rPr>
                <w:rFonts w:ascii="Arial" w:cs="Arial" w:eastAsia="Arial" w:hAnsi="Arial"/>
                <w:sz w:val="18"/>
                <w:szCs w:val="18"/>
                <w:color w:val="auto"/>
              </w:rPr>
              <w:t>(10)</w:t>
            </w:r>
          </w:p>
        </w:tc>
        <w:tc>
          <w:tcPr>
            <w:tcW w:w="220" w:type="dxa"/>
            <w:vAlign w:val="bottom"/>
          </w:tcPr>
          <w:p>
            <w:pPr>
              <w:spacing w:after="0"/>
              <w:rPr>
                <w:sz w:val="18"/>
                <w:szCs w:val="18"/>
                <w:color w:val="auto"/>
              </w:rPr>
            </w:pPr>
          </w:p>
        </w:tc>
        <w:tc>
          <w:tcPr>
            <w:tcW w:w="660" w:type="dxa"/>
            <w:vAlign w:val="bottom"/>
            <w:gridSpan w:val="2"/>
          </w:tcPr>
          <w:p>
            <w:pPr>
              <w:jc w:val="right"/>
              <w:ind w:right="360"/>
              <w:spacing w:after="0"/>
              <w:rPr>
                <w:sz w:val="20"/>
                <w:szCs w:val="20"/>
                <w:color w:val="auto"/>
              </w:rPr>
            </w:pPr>
            <w:r>
              <w:rPr>
                <w:rFonts w:ascii="Arial" w:cs="Arial" w:eastAsia="Arial" w:hAnsi="Arial"/>
                <w:sz w:val="18"/>
                <w:szCs w:val="18"/>
                <w:color w:val="auto"/>
              </w:rPr>
              <w:t>25</w:t>
            </w:r>
          </w:p>
        </w:tc>
        <w:tc>
          <w:tcPr>
            <w:tcW w:w="140" w:type="dxa"/>
            <w:vAlign w:val="bottom"/>
          </w:tcPr>
          <w:p>
            <w:pPr>
              <w:spacing w:after="0"/>
              <w:rPr>
                <w:sz w:val="18"/>
                <w:szCs w:val="18"/>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(23)</w:t>
            </w:r>
          </w:p>
        </w:tc>
        <w:tc>
          <w:tcPr>
            <w:tcW w:w="180" w:type="dxa"/>
            <w:vAlign w:val="bottom"/>
          </w:tcPr>
          <w:p>
            <w:pPr>
              <w:spacing w:after="0"/>
              <w:rPr>
                <w:sz w:val="18"/>
                <w:szCs w:val="18"/>
                <w:color w:val="auto"/>
              </w:rPr>
            </w:pPr>
          </w:p>
        </w:tc>
        <w:tc>
          <w:tcPr>
            <w:tcW w:w="660" w:type="dxa"/>
            <w:vAlign w:val="bottom"/>
            <w:gridSpan w:val="2"/>
          </w:tcPr>
          <w:p>
            <w:pPr>
              <w:ind w:left="120"/>
              <w:spacing w:after="0"/>
              <w:rPr>
                <w:sz w:val="20"/>
                <w:szCs w:val="20"/>
                <w:color w:val="auto"/>
              </w:rPr>
            </w:pPr>
            <w:r>
              <w:rPr>
                <w:rFonts w:ascii="Arial" w:cs="Arial" w:eastAsia="Arial" w:hAnsi="Arial"/>
                <w:sz w:val="18"/>
                <w:szCs w:val="18"/>
                <w:color w:val="auto"/>
              </w:rPr>
              <w:t>204</w:t>
            </w:r>
          </w:p>
        </w:tc>
        <w:tc>
          <w:tcPr>
            <w:tcW w:w="10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(565)</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767</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Residential mortgage-backed</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2,602</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(106)</w:t>
            </w:r>
          </w:p>
        </w:tc>
        <w:tc>
          <w:tcPr>
            <w:tcW w:w="2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66</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(44)</w:t>
            </w:r>
          </w:p>
        </w:tc>
        <w:tc>
          <w:tcPr>
            <w:tcW w:w="1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(899)</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1,623</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ind w:left="420"/>
              <w:spacing w:after="0"/>
              <w:rPr>
                <w:sz w:val="20"/>
                <w:szCs w:val="20"/>
                <w:color w:val="auto"/>
              </w:rPr>
            </w:pPr>
            <w:r>
              <w:rPr>
                <w:rFonts w:ascii="Arial" w:cs="Arial" w:eastAsia="Arial" w:hAnsi="Arial"/>
                <w:sz w:val="18"/>
                <w:szCs w:val="18"/>
                <w:color w:val="auto"/>
              </w:rPr>
              <w:t>Commercial mortgage-backed</w:t>
            </w:r>
          </w:p>
        </w:tc>
        <w:tc>
          <w:tcPr>
            <w:tcW w:w="100" w:type="dxa"/>
            <w:vAlign w:val="bottom"/>
          </w:tcPr>
          <w:p>
            <w:pPr>
              <w:spacing w:after="0"/>
              <w:rPr>
                <w:sz w:val="18"/>
                <w:szCs w:val="18"/>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3,647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320"/>
              <w:spacing w:after="0"/>
              <w:rPr>
                <w:sz w:val="20"/>
                <w:szCs w:val="20"/>
                <w:color w:val="auto"/>
              </w:rPr>
            </w:pPr>
            <w:r>
              <w:rPr>
                <w:rFonts w:ascii="Arial" w:cs="Arial" w:eastAsia="Arial" w:hAnsi="Arial"/>
                <w:sz w:val="18"/>
                <w:szCs w:val="18"/>
                <w:color w:val="auto"/>
              </w:rPr>
              <w:t>(10)</w:t>
            </w:r>
          </w:p>
        </w:tc>
        <w:tc>
          <w:tcPr>
            <w:tcW w:w="220" w:type="dxa"/>
            <w:vAlign w:val="bottom"/>
          </w:tcPr>
          <w:p>
            <w:pPr>
              <w:spacing w:after="0"/>
              <w:rPr>
                <w:sz w:val="18"/>
                <w:szCs w:val="18"/>
                <w:color w:val="auto"/>
              </w:rPr>
            </w:pPr>
          </w:p>
        </w:tc>
        <w:tc>
          <w:tcPr>
            <w:tcW w:w="660" w:type="dxa"/>
            <w:vAlign w:val="bottom"/>
            <w:gridSpan w:val="2"/>
          </w:tcPr>
          <w:p>
            <w:pPr>
              <w:jc w:val="right"/>
              <w:ind w:right="360"/>
              <w:spacing w:after="0"/>
              <w:rPr>
                <w:sz w:val="20"/>
                <w:szCs w:val="20"/>
                <w:color w:val="auto"/>
              </w:rPr>
            </w:pPr>
            <w:r>
              <w:rPr>
                <w:rFonts w:ascii="Arial" w:cs="Arial" w:eastAsia="Arial" w:hAnsi="Arial"/>
                <w:sz w:val="18"/>
                <w:szCs w:val="18"/>
                <w:color w:val="auto"/>
              </w:rPr>
              <w:t>7</w:t>
            </w:r>
          </w:p>
        </w:tc>
        <w:tc>
          <w:tcPr>
            <w:tcW w:w="140" w:type="dxa"/>
            <w:vAlign w:val="bottom"/>
          </w:tcPr>
          <w:p>
            <w:pPr>
              <w:spacing w:after="0"/>
              <w:rPr>
                <w:sz w:val="18"/>
                <w:szCs w:val="18"/>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(27)</w:t>
            </w:r>
          </w:p>
        </w:tc>
        <w:tc>
          <w:tcPr>
            <w:tcW w:w="180" w:type="dxa"/>
            <w:vAlign w:val="bottom"/>
          </w:tcPr>
          <w:p>
            <w:pPr>
              <w:spacing w:after="0"/>
              <w:rPr>
                <w:sz w:val="18"/>
                <w:szCs w:val="18"/>
                <w:color w:val="auto"/>
              </w:rPr>
            </w:pPr>
          </w:p>
        </w:tc>
        <w:tc>
          <w:tcPr>
            <w:tcW w:w="660" w:type="dxa"/>
            <w:vAlign w:val="bottom"/>
            <w:gridSpan w:val="2"/>
          </w:tcPr>
          <w:p>
            <w:pPr>
              <w:jc w:val="right"/>
              <w:ind w:right="280"/>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(516)</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3,128</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Other asset-backed</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1,901</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w:t>
            </w:r>
          </w:p>
        </w:tc>
        <w:tc>
          <w:tcPr>
            <w:tcW w:w="2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137</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(98)</w:t>
            </w:r>
          </w:p>
        </w:tc>
        <w:tc>
          <w:tcPr>
            <w:tcW w:w="1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(877)</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1,063</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4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fixed maturity securities</w:t>
            </w: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414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w w:val="83"/>
              </w:rPr>
              <w:t>11,003</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gridSpan w:val="2"/>
          </w:tcPr>
          <w:p>
            <w:pPr>
              <w:jc w:val="right"/>
              <w:ind w:right="320"/>
              <w:spacing w:after="0"/>
              <w:rPr>
                <w:sz w:val="20"/>
                <w:szCs w:val="20"/>
                <w:color w:val="auto"/>
              </w:rPr>
            </w:pPr>
            <w:r>
              <w:rPr>
                <w:rFonts w:ascii="Arial" w:cs="Arial" w:eastAsia="Arial" w:hAnsi="Arial"/>
                <w:sz w:val="18"/>
                <w:szCs w:val="18"/>
                <w:color w:val="auto"/>
              </w:rPr>
              <w:t>(148)</w:t>
            </w:r>
          </w:p>
        </w:tc>
        <w:tc>
          <w:tcPr>
            <w:tcW w:w="220" w:type="dxa"/>
            <w:vAlign w:val="bottom"/>
          </w:tcPr>
          <w:p>
            <w:pPr>
              <w:spacing w:after="0"/>
              <w:rPr>
                <w:sz w:val="19"/>
                <w:szCs w:val="19"/>
                <w:color w:val="auto"/>
              </w:rPr>
            </w:pPr>
          </w:p>
        </w:tc>
        <w:tc>
          <w:tcPr>
            <w:tcW w:w="660" w:type="dxa"/>
            <w:vAlign w:val="bottom"/>
            <w:gridSpan w:val="2"/>
          </w:tcPr>
          <w:p>
            <w:pPr>
              <w:ind w:left="20"/>
              <w:spacing w:after="0"/>
              <w:rPr>
                <w:sz w:val="20"/>
                <w:szCs w:val="20"/>
                <w:color w:val="auto"/>
              </w:rPr>
            </w:pPr>
            <w:r>
              <w:rPr>
                <w:rFonts w:ascii="Arial" w:cs="Arial" w:eastAsia="Arial" w:hAnsi="Arial"/>
                <w:sz w:val="18"/>
                <w:szCs w:val="18"/>
                <w:color w:val="auto"/>
              </w:rPr>
              <w:t>340</w:t>
            </w:r>
          </w:p>
        </w:tc>
        <w:tc>
          <w:tcPr>
            <w:tcW w:w="140" w:type="dxa"/>
            <w:vAlign w:val="bottom"/>
          </w:tcPr>
          <w:p>
            <w:pPr>
              <w:spacing w:after="0"/>
              <w:rPr>
                <w:sz w:val="19"/>
                <w:szCs w:val="19"/>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(255)</w:t>
            </w:r>
          </w:p>
        </w:tc>
        <w:tc>
          <w:tcPr>
            <w:tcW w:w="180" w:type="dxa"/>
            <w:vAlign w:val="bottom"/>
          </w:tcPr>
          <w:p>
            <w:pPr>
              <w:spacing w:after="0"/>
              <w:rPr>
                <w:sz w:val="19"/>
                <w:szCs w:val="19"/>
                <w:color w:val="auto"/>
              </w:rPr>
            </w:pPr>
          </w:p>
        </w:tc>
        <w:tc>
          <w:tcPr>
            <w:tcW w:w="660" w:type="dxa"/>
            <w:vAlign w:val="bottom"/>
            <w:gridSpan w:val="2"/>
          </w:tcPr>
          <w:p>
            <w:pPr>
              <w:ind w:left="120"/>
              <w:spacing w:after="0"/>
              <w:rPr>
                <w:sz w:val="20"/>
                <w:szCs w:val="20"/>
                <w:color w:val="auto"/>
              </w:rPr>
            </w:pPr>
            <w:r>
              <w:rPr>
                <w:rFonts w:ascii="Arial" w:cs="Arial" w:eastAsia="Arial" w:hAnsi="Arial"/>
                <w:sz w:val="18"/>
                <w:szCs w:val="18"/>
                <w:color w:val="auto"/>
              </w:rPr>
              <w:t>874</w:t>
            </w:r>
          </w:p>
        </w:tc>
        <w:tc>
          <w:tcPr>
            <w:tcW w:w="100" w:type="dxa"/>
            <w:vAlign w:val="bottom"/>
          </w:tcPr>
          <w:p>
            <w:pPr>
              <w:spacing w:after="0"/>
              <w:rPr>
                <w:sz w:val="19"/>
                <w:szCs w:val="19"/>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w w:val="87"/>
              </w:rPr>
              <w:t>(3,444)</w:t>
            </w: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8,370</w:t>
            </w: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28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61</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4160" w:type="dxa"/>
            <w:vAlign w:val="bottom"/>
            <w:gridSpan w:val="3"/>
          </w:tcPr>
          <w:p>
            <w:pPr>
              <w:spacing w:after="0"/>
              <w:rPr>
                <w:sz w:val="20"/>
                <w:szCs w:val="20"/>
                <w:color w:val="auto"/>
              </w:rPr>
            </w:pPr>
            <w:r>
              <w:rPr>
                <w:rFonts w:ascii="Arial" w:cs="Arial" w:eastAsia="Arial" w:hAnsi="Arial"/>
                <w:sz w:val="18"/>
                <w:szCs w:val="18"/>
                <w:color w:val="auto"/>
              </w:rPr>
              <w:t>Other invested assets:</w:t>
            </w: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1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Trading securities</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156</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w:t>
            </w:r>
          </w:p>
        </w:tc>
        <w:tc>
          <w:tcPr>
            <w:tcW w:w="1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ind w:left="420"/>
              <w:spacing w:after="0"/>
              <w:rPr>
                <w:sz w:val="20"/>
                <w:szCs w:val="20"/>
                <w:color w:val="auto"/>
              </w:rPr>
            </w:pPr>
            <w:r>
              <w:rPr>
                <w:rFonts w:ascii="Arial" w:cs="Arial" w:eastAsia="Arial" w:hAnsi="Arial"/>
                <w:sz w:val="18"/>
                <w:szCs w:val="18"/>
                <w:color w:val="auto"/>
              </w:rPr>
              <w:t>Derivative assets</w:t>
            </w:r>
          </w:p>
        </w:tc>
        <w:tc>
          <w:tcPr>
            <w:tcW w:w="100" w:type="dxa"/>
            <w:vAlign w:val="bottom"/>
          </w:tcPr>
          <w:p>
            <w:pPr>
              <w:spacing w:after="0"/>
              <w:rPr>
                <w:sz w:val="18"/>
                <w:szCs w:val="18"/>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706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320"/>
              <w:spacing w:after="0"/>
              <w:rPr>
                <w:sz w:val="20"/>
                <w:szCs w:val="20"/>
                <w:color w:val="auto"/>
              </w:rPr>
            </w:pPr>
            <w:r>
              <w:rPr>
                <w:rFonts w:ascii="Arial" w:cs="Arial" w:eastAsia="Arial" w:hAnsi="Arial"/>
                <w:sz w:val="18"/>
                <w:szCs w:val="18"/>
                <w:color w:val="auto"/>
              </w:rPr>
              <w:t>(256)</w:t>
            </w:r>
          </w:p>
        </w:tc>
        <w:tc>
          <w:tcPr>
            <w:tcW w:w="220" w:type="dxa"/>
            <w:vAlign w:val="bottom"/>
          </w:tcPr>
          <w:p>
            <w:pPr>
              <w:spacing w:after="0"/>
              <w:rPr>
                <w:sz w:val="18"/>
                <w:szCs w:val="18"/>
                <w:color w:val="auto"/>
              </w:rPr>
            </w:pPr>
          </w:p>
        </w:tc>
        <w:tc>
          <w:tcPr>
            <w:tcW w:w="6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(164)</w:t>
            </w:r>
          </w:p>
        </w:tc>
        <w:tc>
          <w:tcPr>
            <w:tcW w:w="180" w:type="dxa"/>
            <w:vAlign w:val="bottom"/>
          </w:tcPr>
          <w:p>
            <w:pPr>
              <w:spacing w:after="0"/>
              <w:rPr>
                <w:sz w:val="18"/>
                <w:szCs w:val="18"/>
                <w:color w:val="auto"/>
              </w:rPr>
            </w:pPr>
          </w:p>
        </w:tc>
        <w:tc>
          <w:tcPr>
            <w:tcW w:w="6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286</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(237)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8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other invested assets</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862</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(241)</w:t>
            </w:r>
          </w:p>
        </w:tc>
        <w:tc>
          <w:tcPr>
            <w:tcW w:w="2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(169)</w:t>
            </w:r>
          </w:p>
        </w:tc>
        <w:tc>
          <w:tcPr>
            <w:tcW w:w="1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419</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(224)</w:t>
            </w:r>
          </w:p>
        </w:tc>
        <w:tc>
          <w:tcPr>
            <w:tcW w:w="0" w:type="dxa"/>
            <w:vAlign w:val="bottom"/>
          </w:tcPr>
          <w:p>
            <w:pPr>
              <w:spacing w:after="0"/>
              <w:rPr>
                <w:sz w:val="1"/>
                <w:szCs w:val="1"/>
                <w:color w:val="auto"/>
              </w:rPr>
            </w:pPr>
          </w:p>
        </w:tc>
      </w:tr>
      <w:tr>
        <w:trPr>
          <w:trHeight w:val="20"/>
        </w:trPr>
        <w:tc>
          <w:tcPr>
            <w:tcW w:w="4160" w:type="dxa"/>
            <w:vAlign w:val="bottom"/>
            <w:gridSpan w:val="3"/>
            <w:vMerge w:val="restart"/>
          </w:tcPr>
          <w:p>
            <w:pPr>
              <w:spacing w:after="0"/>
              <w:rPr>
                <w:sz w:val="20"/>
                <w:szCs w:val="20"/>
                <w:color w:val="auto"/>
              </w:rPr>
            </w:pPr>
            <w:r>
              <w:rPr>
                <w:rFonts w:ascii="Arial" w:cs="Arial" w:eastAsia="Arial" w:hAnsi="Arial"/>
                <w:sz w:val="18"/>
                <w:szCs w:val="18"/>
                <w:color w:val="auto"/>
              </w:rPr>
              <w:t>Reinsurance recoverable</w:t>
            </w: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160" w:type="dxa"/>
            <w:vAlign w:val="bottom"/>
            <w:gridSpan w:val="3"/>
            <w:vMerge w:val="continue"/>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18</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gridSpan w:val="2"/>
          </w:tcPr>
          <w:p>
            <w:pPr>
              <w:jc w:val="right"/>
              <w:ind w:right="320"/>
              <w:spacing w:after="0"/>
              <w:rPr>
                <w:sz w:val="20"/>
                <w:szCs w:val="20"/>
                <w:color w:val="auto"/>
              </w:rPr>
            </w:pPr>
            <w:r>
              <w:rPr>
                <w:rFonts w:ascii="Arial" w:cs="Arial" w:eastAsia="Arial" w:hAnsi="Arial"/>
                <w:sz w:val="18"/>
                <w:szCs w:val="18"/>
                <w:color w:val="auto"/>
              </w:rPr>
              <w:t>(16)</w:t>
            </w:r>
          </w:p>
        </w:tc>
        <w:tc>
          <w:tcPr>
            <w:tcW w:w="220" w:type="dxa"/>
            <w:vAlign w:val="bottom"/>
          </w:tcPr>
          <w:p>
            <w:pPr>
              <w:spacing w:after="0"/>
              <w:rPr>
                <w:sz w:val="19"/>
                <w:szCs w:val="19"/>
                <w:color w:val="auto"/>
              </w:rPr>
            </w:pPr>
          </w:p>
        </w:tc>
        <w:tc>
          <w:tcPr>
            <w:tcW w:w="6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96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6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84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w:t>
            </w: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28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Level 3 assets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3"/>
              </w:rPr>
              <w:t>11,944</w:t>
            </w:r>
          </w:p>
        </w:tc>
        <w:tc>
          <w:tcPr>
            <w:tcW w:w="2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(405)</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340</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(424)</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874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7"/>
              </w:rPr>
              <w:t>(3,477)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8,852</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(336)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46</w:t>
            </w: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The following tables present additional information about assets measured at fair value on a recurring basis and for which we have utilized significant unobservable (Level 3) inputs to determine fair value as of or for the dates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0" w:type="dxa"/>
            <w:vAlign w:val="bottom"/>
            <w:gridSpan w:val="5"/>
            <w:vMerge w:val="restart"/>
          </w:tcPr>
          <w:p>
            <w:pPr>
              <w:jc w:val="center"/>
              <w:ind w:right="52"/>
              <w:spacing w:after="0"/>
              <w:rPr>
                <w:sz w:val="20"/>
                <w:szCs w:val="20"/>
                <w:color w:val="auto"/>
              </w:rPr>
            </w:pPr>
            <w:r>
              <w:rPr>
                <w:rFonts w:ascii="Arial" w:cs="Arial" w:eastAsia="Arial" w:hAnsi="Arial"/>
                <w:sz w:val="14"/>
                <w:szCs w:val="14"/>
                <w:b w:val="1"/>
                <w:bCs w:val="1"/>
                <w:color w:val="auto"/>
                <w:w w:val="86"/>
              </w:rPr>
              <w:t>Total realized and</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Total gains</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9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0" w:type="dxa"/>
            <w:vAlign w:val="bottom"/>
            <w:gridSpan w:val="5"/>
            <w:vMerge w:val="continue"/>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75"/>
              </w:rPr>
              <w:t>(losses)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4"/>
          </w:tcPr>
          <w:p>
            <w:pPr>
              <w:jc w:val="center"/>
              <w:ind w:left="55"/>
              <w:spacing w:after="0" w:line="149" w:lineRule="exact"/>
              <w:rPr>
                <w:sz w:val="20"/>
                <w:szCs w:val="20"/>
                <w:color w:val="auto"/>
              </w:rPr>
            </w:pPr>
            <w:r>
              <w:rPr>
                <w:rFonts w:ascii="Arial" w:cs="Arial" w:eastAsia="Arial" w:hAnsi="Arial"/>
                <w:sz w:val="14"/>
                <w:szCs w:val="14"/>
                <w:b w:val="1"/>
                <w:bCs w:val="1"/>
                <w:color w:val="auto"/>
                <w:w w:val="85"/>
              </w:rPr>
              <w:t>unrealized gains</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0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80"/>
              </w:rPr>
              <w:t>Purchases,</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included in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82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4"/>
              </w:rPr>
              <w:t>Beginning</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tcPr>
          <w:p>
            <w:pPr>
              <w:jc w:val="center"/>
              <w:ind w:left="315"/>
              <w:spacing w:after="0"/>
              <w:rPr>
                <w:sz w:val="20"/>
                <w:szCs w:val="20"/>
                <w:color w:val="auto"/>
              </w:rPr>
            </w:pPr>
            <w:r>
              <w:rPr>
                <w:rFonts w:ascii="Arial" w:cs="Arial" w:eastAsia="Arial" w:hAnsi="Arial"/>
                <w:sz w:val="14"/>
                <w:szCs w:val="14"/>
                <w:b w:val="1"/>
                <w:bCs w:val="1"/>
                <w:color w:val="auto"/>
                <w:w w:val="79"/>
              </w:rPr>
              <w:t>(losses)</w:t>
            </w:r>
          </w:p>
        </w:tc>
        <w:tc>
          <w:tcPr>
            <w:tcW w:w="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2"/>
              </w:rPr>
              <w:t>sales,</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Ending</w:t>
            </w:r>
          </w:p>
        </w:tc>
        <w:tc>
          <w:tcPr>
            <w:tcW w:w="240" w:type="dxa"/>
            <w:vAlign w:val="bottom"/>
          </w:tcPr>
          <w:p>
            <w:pPr>
              <w:spacing w:after="0"/>
              <w:rPr>
                <w:sz w:val="14"/>
                <w:szCs w:val="14"/>
                <w:color w:val="auto"/>
              </w:rPr>
            </w:pPr>
          </w:p>
        </w:tc>
        <w:tc>
          <w:tcPr>
            <w:tcW w:w="8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net income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9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center"/>
              <w:ind w:right="300"/>
              <w:spacing w:after="0" w:line="129" w:lineRule="exact"/>
              <w:rPr>
                <w:sz w:val="20"/>
                <w:szCs w:val="20"/>
                <w:color w:val="auto"/>
              </w:rPr>
            </w:pPr>
            <w:r>
              <w:rPr>
                <w:rFonts w:ascii="Arial" w:cs="Arial" w:eastAsia="Arial" w:hAnsi="Arial"/>
                <w:sz w:val="14"/>
                <w:szCs w:val="14"/>
                <w:b w:val="1"/>
                <w:bCs w:val="1"/>
                <w:color w:val="auto"/>
                <w:w w:val="84"/>
              </w:rPr>
              <w:t>balance</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00" w:type="dxa"/>
            <w:vAlign w:val="bottom"/>
            <w:gridSpan w:val="3"/>
          </w:tcPr>
          <w:p>
            <w:pPr>
              <w:jc w:val="center"/>
              <w:ind w:right="220"/>
              <w:spacing w:after="0" w:line="129" w:lineRule="exact"/>
              <w:rPr>
                <w:sz w:val="20"/>
                <w:szCs w:val="20"/>
                <w:color w:val="auto"/>
              </w:rPr>
            </w:pPr>
            <w:r>
              <w:rPr>
                <w:rFonts w:ascii="Arial" w:cs="Arial" w:eastAsia="Arial" w:hAnsi="Arial"/>
                <w:sz w:val="14"/>
                <w:szCs w:val="14"/>
                <w:b w:val="1"/>
                <w:bCs w:val="1"/>
                <w:color w:val="auto"/>
                <w:w w:val="76"/>
              </w:rPr>
              <w:t>issuances</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4"/>
              </w:rPr>
              <w:t>balance</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0"/>
              </w:rPr>
              <w:t>(loss)</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79"/>
              </w:rPr>
              <w:t>as of</w:t>
            </w:r>
          </w:p>
        </w:tc>
        <w:tc>
          <w:tcPr>
            <w:tcW w:w="160" w:type="dxa"/>
            <w:vAlign w:val="bottom"/>
          </w:tcPr>
          <w:p>
            <w:pPr>
              <w:spacing w:after="0"/>
              <w:rPr>
                <w:sz w:val="14"/>
                <w:szCs w:val="14"/>
                <w:color w:val="auto"/>
              </w:rPr>
            </w:pPr>
          </w:p>
        </w:tc>
        <w:tc>
          <w:tcPr>
            <w:tcW w:w="1000" w:type="dxa"/>
            <w:vAlign w:val="bottom"/>
            <w:gridSpan w:val="3"/>
          </w:tcPr>
          <w:p>
            <w:pPr>
              <w:spacing w:after="0"/>
              <w:rPr>
                <w:sz w:val="20"/>
                <w:szCs w:val="20"/>
                <w:color w:val="auto"/>
              </w:rPr>
            </w:pPr>
            <w:r>
              <w:rPr>
                <w:rFonts w:ascii="Arial" w:cs="Arial" w:eastAsia="Arial" w:hAnsi="Arial"/>
                <w:sz w:val="14"/>
                <w:szCs w:val="14"/>
                <w:b w:val="1"/>
                <w:bCs w:val="1"/>
                <w:color w:val="auto"/>
              </w:rPr>
              <w:t>Included in</w:t>
            </w:r>
          </w:p>
        </w:tc>
        <w:tc>
          <w:tcPr>
            <w:tcW w:w="20" w:type="dxa"/>
            <w:vAlign w:val="bottom"/>
          </w:tcPr>
          <w:p>
            <w:pPr>
              <w:spacing w:after="0"/>
              <w:rPr>
                <w:sz w:val="14"/>
                <w:szCs w:val="14"/>
                <w:color w:val="auto"/>
              </w:rPr>
            </w:pPr>
          </w:p>
        </w:tc>
        <w:tc>
          <w:tcPr>
            <w:tcW w:w="52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86"/>
              </w:rPr>
              <w:t>Included</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8"/>
              </w:rPr>
              <w:t>and</w:t>
            </w:r>
          </w:p>
        </w:tc>
        <w:tc>
          <w:tcPr>
            <w:tcW w:w="160" w:type="dxa"/>
            <w:vAlign w:val="bottom"/>
          </w:tcPr>
          <w:p>
            <w:pPr>
              <w:spacing w:after="0"/>
              <w:rPr>
                <w:sz w:val="14"/>
                <w:szCs w:val="14"/>
                <w:color w:val="auto"/>
              </w:rPr>
            </w:pPr>
          </w:p>
        </w:tc>
        <w:tc>
          <w:tcPr>
            <w:tcW w:w="860" w:type="dxa"/>
            <w:vAlign w:val="bottom"/>
            <w:gridSpan w:val="3"/>
          </w:tcPr>
          <w:p>
            <w:pPr>
              <w:ind w:left="40"/>
              <w:spacing w:after="0"/>
              <w:rPr>
                <w:sz w:val="20"/>
                <w:szCs w:val="20"/>
                <w:color w:val="auto"/>
              </w:rPr>
            </w:pPr>
            <w:r>
              <w:rPr>
                <w:rFonts w:ascii="Arial" w:cs="Arial" w:eastAsia="Arial" w:hAnsi="Arial"/>
                <w:sz w:val="14"/>
                <w:szCs w:val="14"/>
                <w:b w:val="1"/>
                <w:bCs w:val="1"/>
                <w:color w:val="auto"/>
              </w:rPr>
              <w:t>Transfer</w:t>
            </w:r>
          </w:p>
        </w:tc>
        <w:tc>
          <w:tcPr>
            <w:tcW w:w="920" w:type="dxa"/>
            <w:vAlign w:val="bottom"/>
            <w:gridSpan w:val="3"/>
          </w:tcPr>
          <w:p>
            <w:pPr>
              <w:ind w:left="20"/>
              <w:spacing w:after="0"/>
              <w:rPr>
                <w:sz w:val="20"/>
                <w:szCs w:val="20"/>
                <w:color w:val="auto"/>
              </w:rPr>
            </w:pPr>
            <w:r>
              <w:rPr>
                <w:rFonts w:ascii="Arial" w:cs="Arial" w:eastAsia="Arial" w:hAnsi="Arial"/>
                <w:sz w:val="14"/>
                <w:szCs w:val="14"/>
                <w:b w:val="1"/>
                <w:bCs w:val="1"/>
                <w:color w:val="auto"/>
              </w:rPr>
              <w:t>Transfer</w:t>
            </w:r>
          </w:p>
        </w:tc>
        <w:tc>
          <w:tcPr>
            <w:tcW w:w="80" w:type="dxa"/>
            <w:vAlign w:val="bottom"/>
          </w:tcPr>
          <w:p>
            <w:pPr>
              <w:spacing w:after="0"/>
              <w:rPr>
                <w:sz w:val="14"/>
                <w:szCs w:val="14"/>
                <w:color w:val="auto"/>
              </w:rPr>
            </w:pPr>
          </w:p>
        </w:tc>
        <w:tc>
          <w:tcPr>
            <w:tcW w:w="420" w:type="dxa"/>
            <w:vAlign w:val="bottom"/>
          </w:tcPr>
          <w:p>
            <w:pPr>
              <w:jc w:val="center"/>
              <w:spacing w:after="0"/>
              <w:rPr>
                <w:sz w:val="20"/>
                <w:szCs w:val="20"/>
                <w:color w:val="auto"/>
              </w:rPr>
            </w:pPr>
            <w:r>
              <w:rPr>
                <w:rFonts w:ascii="Arial" w:cs="Arial" w:eastAsia="Arial" w:hAnsi="Arial"/>
                <w:sz w:val="14"/>
                <w:szCs w:val="14"/>
                <w:b w:val="1"/>
                <w:bCs w:val="1"/>
                <w:color w:val="auto"/>
                <w:w w:val="79"/>
              </w:rPr>
              <w:t>as of</w:t>
            </w:r>
          </w:p>
        </w:tc>
        <w:tc>
          <w:tcPr>
            <w:tcW w:w="240" w:type="dxa"/>
            <w:vAlign w:val="bottom"/>
          </w:tcPr>
          <w:p>
            <w:pPr>
              <w:spacing w:after="0"/>
              <w:rPr>
                <w:sz w:val="14"/>
                <w:szCs w:val="14"/>
                <w:color w:val="auto"/>
              </w:rPr>
            </w:pPr>
          </w:p>
        </w:tc>
        <w:tc>
          <w:tcPr>
            <w:tcW w:w="8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9"/>
              </w:rPr>
              <w:t>attributable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900" w:type="dxa"/>
            <w:vAlign w:val="bottom"/>
          </w:tcPr>
          <w:p>
            <w:pPr>
              <w:spacing w:after="0"/>
              <w:rPr>
                <w:sz w:val="11"/>
                <w:szCs w:val="11"/>
                <w:color w:val="auto"/>
              </w:rPr>
            </w:pPr>
          </w:p>
        </w:tc>
        <w:tc>
          <w:tcPr>
            <w:tcW w:w="820" w:type="dxa"/>
            <w:vAlign w:val="bottom"/>
            <w:gridSpan w:val="3"/>
          </w:tcPr>
          <w:p>
            <w:pPr>
              <w:jc w:val="center"/>
              <w:ind w:right="200"/>
              <w:spacing w:after="0" w:line="129" w:lineRule="exact"/>
              <w:rPr>
                <w:sz w:val="20"/>
                <w:szCs w:val="20"/>
                <w:color w:val="auto"/>
              </w:rPr>
            </w:pPr>
            <w:r>
              <w:rPr>
                <w:rFonts w:ascii="Arial" w:cs="Arial" w:eastAsia="Arial" w:hAnsi="Arial"/>
                <w:sz w:val="14"/>
                <w:szCs w:val="14"/>
                <w:b w:val="1"/>
                <w:bCs w:val="1"/>
                <w:color w:val="auto"/>
                <w:w w:val="89"/>
              </w:rPr>
              <w:t>January 1,</w:t>
            </w:r>
          </w:p>
        </w:tc>
        <w:tc>
          <w:tcPr>
            <w:tcW w:w="160" w:type="dxa"/>
            <w:vAlign w:val="bottom"/>
          </w:tcPr>
          <w:p>
            <w:pPr>
              <w:spacing w:after="0"/>
              <w:rPr>
                <w:sz w:val="11"/>
                <w:szCs w:val="11"/>
                <w:color w:val="auto"/>
              </w:rPr>
            </w:pPr>
          </w:p>
        </w:tc>
        <w:tc>
          <w:tcPr>
            <w:tcW w:w="1000" w:type="dxa"/>
            <w:vAlign w:val="bottom"/>
            <w:gridSpan w:val="3"/>
          </w:tcPr>
          <w:p>
            <w:pPr>
              <w:ind w:left="20"/>
              <w:spacing w:after="0" w:line="129" w:lineRule="exact"/>
              <w:rPr>
                <w:sz w:val="20"/>
                <w:szCs w:val="20"/>
                <w:color w:val="auto"/>
              </w:rPr>
            </w:pPr>
            <w:r>
              <w:rPr>
                <w:rFonts w:ascii="Arial" w:cs="Arial" w:eastAsia="Arial" w:hAnsi="Arial"/>
                <w:sz w:val="14"/>
                <w:szCs w:val="14"/>
                <w:b w:val="1"/>
                <w:bCs w:val="1"/>
                <w:color w:val="auto"/>
              </w:rPr>
              <w:t>net income</w:t>
            </w:r>
          </w:p>
        </w:tc>
        <w:tc>
          <w:tcPr>
            <w:tcW w:w="20" w:type="dxa"/>
            <w:vAlign w:val="bottom"/>
          </w:tcPr>
          <w:p>
            <w:pPr>
              <w:spacing w:after="0"/>
              <w:rPr>
                <w:sz w:val="11"/>
                <w:szCs w:val="11"/>
                <w:color w:val="auto"/>
              </w:rPr>
            </w:pPr>
          </w:p>
        </w:tc>
        <w:tc>
          <w:tcPr>
            <w:tcW w:w="520" w:type="dxa"/>
            <w:vAlign w:val="bottom"/>
            <w:gridSpan w:val="2"/>
            <w:vMerge w:val="continue"/>
          </w:tcPr>
          <w:p>
            <w:pPr>
              <w:spacing w:after="0"/>
              <w:rPr>
                <w:sz w:val="11"/>
                <w:szCs w:val="11"/>
                <w:color w:val="auto"/>
              </w:rPr>
            </w:pPr>
          </w:p>
        </w:tc>
        <w:tc>
          <w:tcPr>
            <w:tcW w:w="260" w:type="dxa"/>
            <w:vAlign w:val="bottom"/>
          </w:tcPr>
          <w:p>
            <w:pPr>
              <w:spacing w:after="0"/>
              <w:rPr>
                <w:sz w:val="11"/>
                <w:szCs w:val="11"/>
                <w:color w:val="auto"/>
              </w:rPr>
            </w:pPr>
          </w:p>
        </w:tc>
        <w:tc>
          <w:tcPr>
            <w:tcW w:w="900" w:type="dxa"/>
            <w:vAlign w:val="bottom"/>
            <w:gridSpan w:val="3"/>
          </w:tcPr>
          <w:p>
            <w:pPr>
              <w:jc w:val="center"/>
              <w:ind w:right="220"/>
              <w:spacing w:after="0" w:line="129" w:lineRule="exact"/>
              <w:rPr>
                <w:sz w:val="20"/>
                <w:szCs w:val="20"/>
                <w:color w:val="auto"/>
              </w:rPr>
            </w:pPr>
            <w:r>
              <w:rPr>
                <w:rFonts w:ascii="Arial" w:cs="Arial" w:eastAsia="Arial" w:hAnsi="Arial"/>
                <w:sz w:val="14"/>
                <w:szCs w:val="14"/>
                <w:b w:val="1"/>
                <w:bCs w:val="1"/>
                <w:color w:val="auto"/>
                <w:w w:val="83"/>
              </w:rPr>
              <w:t>settlements,</w:t>
            </w:r>
          </w:p>
        </w:tc>
        <w:tc>
          <w:tcPr>
            <w:tcW w:w="160" w:type="dxa"/>
            <w:vAlign w:val="bottom"/>
          </w:tcPr>
          <w:p>
            <w:pPr>
              <w:spacing w:after="0"/>
              <w:rPr>
                <w:sz w:val="11"/>
                <w:szCs w:val="11"/>
                <w:color w:val="auto"/>
              </w:rPr>
            </w:pPr>
          </w:p>
        </w:tc>
        <w:tc>
          <w:tcPr>
            <w:tcW w:w="86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in Level 3</w:t>
            </w:r>
          </w:p>
        </w:tc>
        <w:tc>
          <w:tcPr>
            <w:tcW w:w="80" w:type="dxa"/>
            <w:vAlign w:val="bottom"/>
          </w:tcPr>
          <w:p>
            <w:pPr>
              <w:spacing w:after="0"/>
              <w:rPr>
                <w:sz w:val="11"/>
                <w:szCs w:val="11"/>
                <w:color w:val="auto"/>
              </w:rPr>
            </w:pPr>
          </w:p>
        </w:tc>
        <w:tc>
          <w:tcPr>
            <w:tcW w:w="840" w:type="dxa"/>
            <w:vAlign w:val="bottom"/>
            <w:gridSpan w:val="2"/>
          </w:tcPr>
          <w:p>
            <w:pPr>
              <w:jc w:val="right"/>
              <w:ind w:right="480"/>
              <w:spacing w:after="0" w:line="129" w:lineRule="exact"/>
              <w:rPr>
                <w:sz w:val="20"/>
                <w:szCs w:val="20"/>
                <w:color w:val="auto"/>
              </w:rPr>
            </w:pPr>
            <w:r>
              <w:rPr>
                <w:rFonts w:ascii="Arial" w:cs="Arial" w:eastAsia="Arial" w:hAnsi="Arial"/>
                <w:sz w:val="14"/>
                <w:szCs w:val="14"/>
                <w:b w:val="1"/>
                <w:bCs w:val="1"/>
                <w:color w:val="auto"/>
                <w:w w:val="87"/>
              </w:rPr>
              <w:t>out of</w:t>
            </w:r>
          </w:p>
        </w:tc>
        <w:tc>
          <w:tcPr>
            <w:tcW w:w="5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5"/>
              </w:rPr>
              <w:t>June 30,</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tcPr>
          <w:p>
            <w:pPr>
              <w:jc w:val="center"/>
              <w:ind w:right="200"/>
              <w:spacing w:after="0" w:line="129" w:lineRule="exact"/>
              <w:rPr>
                <w:sz w:val="20"/>
                <w:szCs w:val="20"/>
                <w:color w:val="auto"/>
              </w:rPr>
            </w:pPr>
            <w:r>
              <w:rPr>
                <w:rFonts w:ascii="Arial" w:cs="Arial" w:eastAsia="Arial" w:hAnsi="Arial"/>
                <w:sz w:val="14"/>
                <w:szCs w:val="14"/>
                <w:b w:val="1"/>
                <w:bCs w:val="1"/>
                <w:color w:val="auto"/>
                <w:w w:val="79"/>
              </w:rPr>
              <w:t>to assets</w:t>
            </w:r>
          </w:p>
        </w:tc>
        <w:tc>
          <w:tcPr>
            <w:tcW w:w="0" w:type="dxa"/>
            <w:vAlign w:val="bottom"/>
          </w:tcPr>
          <w:p>
            <w:pPr>
              <w:spacing w:after="0"/>
              <w:rPr>
                <w:sz w:val="1"/>
                <w:szCs w:val="1"/>
                <w:color w:val="auto"/>
              </w:rPr>
            </w:pPr>
          </w:p>
        </w:tc>
      </w:tr>
      <w:tr>
        <w:trPr>
          <w:trHeight w:val="168"/>
        </w:trPr>
        <w:tc>
          <w:tcPr>
            <w:tcW w:w="424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80" w:type="dxa"/>
            <w:vAlign w:val="bottom"/>
          </w:tcPr>
          <w:p>
            <w:pPr>
              <w:spacing w:after="0"/>
              <w:rPr>
                <w:sz w:val="14"/>
                <w:szCs w:val="14"/>
                <w:color w:val="auto"/>
              </w:rPr>
            </w:pPr>
          </w:p>
        </w:tc>
        <w:tc>
          <w:tcPr>
            <w:tcW w:w="540" w:type="dxa"/>
            <w:vAlign w:val="bottom"/>
          </w:tcPr>
          <w:p>
            <w:pPr>
              <w:jc w:val="center"/>
              <w:spacing w:after="0"/>
              <w:rPr>
                <w:sz w:val="20"/>
                <w:szCs w:val="20"/>
                <w:color w:val="auto"/>
              </w:rPr>
            </w:pPr>
            <w:r>
              <w:rPr>
                <w:rFonts w:ascii="Arial" w:cs="Arial" w:eastAsia="Arial" w:hAnsi="Arial"/>
                <w:sz w:val="14"/>
                <w:szCs w:val="14"/>
                <w:b w:val="1"/>
                <w:bCs w:val="1"/>
                <w:color w:val="auto"/>
                <w:w w:val="83"/>
              </w:rPr>
              <w:t>2010</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w w:val="85"/>
              </w:rPr>
              <w:t>(loss)</w:t>
            </w:r>
          </w:p>
        </w:tc>
        <w:tc>
          <w:tcPr>
            <w:tcW w:w="20" w:type="dxa"/>
            <w:vAlign w:val="bottom"/>
          </w:tcPr>
          <w:p>
            <w:pPr>
              <w:spacing w:after="0"/>
              <w:rPr>
                <w:sz w:val="14"/>
                <w:szCs w:val="14"/>
                <w:color w:val="auto"/>
              </w:rPr>
            </w:pPr>
          </w:p>
        </w:tc>
        <w:tc>
          <w:tcPr>
            <w:tcW w:w="520" w:type="dxa"/>
            <w:vAlign w:val="bottom"/>
            <w:gridSpan w:val="2"/>
          </w:tcPr>
          <w:p>
            <w:pPr>
              <w:jc w:val="right"/>
              <w:spacing w:after="0"/>
              <w:rPr>
                <w:sz w:val="20"/>
                <w:szCs w:val="20"/>
                <w:color w:val="auto"/>
              </w:rPr>
            </w:pPr>
            <w:r>
              <w:rPr>
                <w:rFonts w:ascii="Arial" w:cs="Arial" w:eastAsia="Arial" w:hAnsi="Arial"/>
                <w:sz w:val="14"/>
                <w:szCs w:val="14"/>
                <w:b w:val="1"/>
                <w:bCs w:val="1"/>
                <w:color w:val="auto"/>
              </w:rPr>
              <w:t>in OCI</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5"/>
              </w:rPr>
              <w:t>net</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60" w:type="dxa"/>
            <w:vAlign w:val="bottom"/>
          </w:tcPr>
          <w:p>
            <w:pPr>
              <w:ind w:left="80"/>
              <w:spacing w:after="0"/>
              <w:rPr>
                <w:sz w:val="20"/>
                <w:szCs w:val="20"/>
                <w:color w:val="auto"/>
              </w:rPr>
            </w:pPr>
            <w:r>
              <w:rPr>
                <w:rFonts w:ascii="Arial" w:cs="Arial" w:eastAsia="Arial" w:hAnsi="Arial"/>
                <w:sz w:val="11"/>
                <w:szCs w:val="11"/>
                <w:color w:val="auto"/>
              </w:rPr>
              <w:t>(1)</w:t>
            </w:r>
          </w:p>
        </w:tc>
        <w:tc>
          <w:tcPr>
            <w:tcW w:w="260" w:type="dxa"/>
            <w:vAlign w:val="bottom"/>
          </w:tcPr>
          <w:p>
            <w:pPr>
              <w:spacing w:after="0"/>
              <w:rPr>
                <w:sz w:val="14"/>
                <w:szCs w:val="14"/>
                <w:color w:val="auto"/>
              </w:rPr>
            </w:pPr>
          </w:p>
        </w:tc>
        <w:tc>
          <w:tcPr>
            <w:tcW w:w="920" w:type="dxa"/>
            <w:vAlign w:val="bottom"/>
            <w:gridSpan w:val="3"/>
          </w:tcPr>
          <w:p>
            <w:pPr>
              <w:jc w:val="right"/>
              <w:ind w:right="440"/>
              <w:spacing w:after="0"/>
              <w:rPr>
                <w:sz w:val="20"/>
                <w:szCs w:val="20"/>
                <w:color w:val="auto"/>
              </w:rPr>
            </w:pPr>
            <w:r>
              <w:rPr>
                <w:rFonts w:ascii="Arial" w:cs="Arial" w:eastAsia="Arial" w:hAnsi="Arial"/>
                <w:sz w:val="14"/>
                <w:szCs w:val="14"/>
                <w:b w:val="1"/>
                <w:bCs w:val="1"/>
                <w:color w:val="auto"/>
                <w:w w:val="96"/>
              </w:rPr>
              <w:t>Level 3</w:t>
            </w:r>
          </w:p>
        </w:tc>
        <w:tc>
          <w:tcPr>
            <w:tcW w:w="80" w:type="dxa"/>
            <w:vAlign w:val="bottom"/>
          </w:tcPr>
          <w:p>
            <w:pPr>
              <w:spacing w:after="0"/>
              <w:rPr>
                <w:sz w:val="14"/>
                <w:szCs w:val="14"/>
                <w:color w:val="auto"/>
              </w:rPr>
            </w:pPr>
          </w:p>
        </w:tc>
        <w:tc>
          <w:tcPr>
            <w:tcW w:w="420" w:type="dxa"/>
            <w:vAlign w:val="bottom"/>
          </w:tcPr>
          <w:p>
            <w:pPr>
              <w:jc w:val="center"/>
              <w:ind w:right="14"/>
              <w:spacing w:after="0"/>
              <w:rPr>
                <w:sz w:val="20"/>
                <w:szCs w:val="20"/>
                <w:color w:val="auto"/>
              </w:rPr>
            </w:pPr>
            <w:r>
              <w:rPr>
                <w:rFonts w:ascii="Arial" w:cs="Arial" w:eastAsia="Arial" w:hAnsi="Arial"/>
                <w:sz w:val="14"/>
                <w:szCs w:val="14"/>
                <w:b w:val="1"/>
                <w:bCs w:val="1"/>
                <w:color w:val="auto"/>
                <w:w w:val="89"/>
              </w:rPr>
              <w:t>2010</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4"/>
              </w:rPr>
              <w:t>still held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220" w:type="dxa"/>
            <w:vAlign w:val="bottom"/>
            <w:gridSpan w:val="2"/>
          </w:tcPr>
          <w:p>
            <w:pPr>
              <w:ind w:left="420"/>
              <w:spacing w:after="0"/>
              <w:rPr>
                <w:sz w:val="20"/>
                <w:szCs w:val="20"/>
                <w:color w:val="auto"/>
              </w:rPr>
            </w:pPr>
            <w:r>
              <w:rPr>
                <w:rFonts w:ascii="Arial" w:cs="Arial" w:eastAsia="Arial" w:hAnsi="Arial"/>
                <w:sz w:val="18"/>
                <w:szCs w:val="18"/>
                <w:color w:val="auto"/>
              </w:rPr>
              <w:t>U.S. government, agencies and government-</w:t>
            </w: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220" w:type="dxa"/>
            <w:vAlign w:val="bottom"/>
            <w:gridSpan w:val="2"/>
          </w:tcPr>
          <w:p>
            <w:pPr>
              <w:ind w:left="640"/>
              <w:spacing w:after="0"/>
              <w:rPr>
                <w:sz w:val="20"/>
                <w:szCs w:val="20"/>
                <w:color w:val="auto"/>
              </w:rPr>
            </w:pPr>
            <w:r>
              <w:rPr>
                <w:rFonts w:ascii="Arial" w:cs="Arial" w:eastAsia="Arial" w:hAnsi="Arial"/>
                <w:sz w:val="18"/>
                <w:szCs w:val="18"/>
                <w:color w:val="auto"/>
              </w:rPr>
              <w:t>sponsored enterprises</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16</w:t>
            </w:r>
          </w:p>
        </w:tc>
        <w:tc>
          <w:tcPr>
            <w:tcW w:w="200" w:type="dxa"/>
            <w:vAlign w:val="bottom"/>
          </w:tcPr>
          <w:p>
            <w:pPr>
              <w:spacing w:after="0"/>
              <w:rPr>
                <w:sz w:val="19"/>
                <w:szCs w:val="19"/>
                <w:color w:val="auto"/>
              </w:rPr>
            </w:pP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2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(2)</w:t>
            </w: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9</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(14)</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Tax-exempt</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ind w:left="420"/>
              <w:spacing w:after="0"/>
              <w:rPr>
                <w:sz w:val="20"/>
                <w:szCs w:val="20"/>
                <w:color w:val="auto"/>
              </w:rPr>
            </w:pPr>
            <w:r>
              <w:rPr>
                <w:rFonts w:ascii="Arial" w:cs="Arial" w:eastAsia="Arial" w:hAnsi="Arial"/>
                <w:sz w:val="18"/>
                <w:szCs w:val="18"/>
                <w:color w:val="auto"/>
              </w:rPr>
              <w:t>Government—non-U.S.</w:t>
            </w:r>
          </w:p>
        </w:tc>
        <w:tc>
          <w:tcPr>
            <w:tcW w:w="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1</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16</w:t>
            </w:r>
          </w:p>
        </w:tc>
        <w:tc>
          <w:tcPr>
            <w:tcW w:w="8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U.S. corporate</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1,073</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678</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(307)</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1,520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ind w:left="420"/>
              <w:spacing w:after="0"/>
              <w:rPr>
                <w:sz w:val="20"/>
                <w:szCs w:val="20"/>
                <w:color w:val="auto"/>
              </w:rPr>
            </w:pPr>
            <w:r>
              <w:rPr>
                <w:rFonts w:ascii="Arial" w:cs="Arial" w:eastAsia="Arial" w:hAnsi="Arial"/>
                <w:sz w:val="18"/>
                <w:szCs w:val="18"/>
                <w:color w:val="auto"/>
              </w:rPr>
              <w:t>Corporate—non-U.S.</w:t>
            </w:r>
          </w:p>
        </w:tc>
        <w:tc>
          <w:tcPr>
            <w:tcW w:w="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504</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w:t>
            </w: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8</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11</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2"/>
          </w:tcPr>
          <w:p>
            <w:pPr>
              <w:ind w:left="200"/>
              <w:spacing w:after="0"/>
              <w:rPr>
                <w:sz w:val="20"/>
                <w:szCs w:val="20"/>
                <w:color w:val="auto"/>
              </w:rPr>
            </w:pPr>
            <w:r>
              <w:rPr>
                <w:rFonts w:ascii="Arial" w:cs="Arial" w:eastAsia="Arial" w:hAnsi="Arial"/>
                <w:sz w:val="18"/>
                <w:szCs w:val="18"/>
                <w:color w:val="auto"/>
              </w:rPr>
              <w:t>353</w:t>
            </w:r>
          </w:p>
        </w:tc>
        <w:tc>
          <w:tcPr>
            <w:tcW w:w="8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(157)</w:t>
            </w: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720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Residential mortgage- backed</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1,481</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7"/>
              </w:rPr>
              <w:t>(1,503)</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ind w:left="420"/>
              <w:spacing w:after="0"/>
              <w:rPr>
                <w:sz w:val="20"/>
                <w:szCs w:val="20"/>
                <w:color w:val="auto"/>
              </w:rPr>
            </w:pPr>
            <w:r>
              <w:rPr>
                <w:rFonts w:ascii="Arial" w:cs="Arial" w:eastAsia="Arial" w:hAnsi="Arial"/>
                <w:sz w:val="18"/>
                <w:szCs w:val="18"/>
                <w:color w:val="auto"/>
              </w:rPr>
              <w:t>Commercial mortgage- backed</w:t>
            </w:r>
          </w:p>
        </w:tc>
        <w:tc>
          <w:tcPr>
            <w:tcW w:w="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3,558</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w:t>
            </w: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14</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(63)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11</w:t>
            </w:r>
          </w:p>
        </w:tc>
        <w:tc>
          <w:tcPr>
            <w:tcW w:w="8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w w:val="87"/>
              </w:rPr>
              <w:t>(3,462)</w:t>
            </w: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59</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Other asset-backed</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1,419</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(24)</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10</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7"/>
              </w:rPr>
              <w:t>(1,049)</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361</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2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fixed maturity securities</w:t>
            </w: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422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8,060</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(11)</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83</w:t>
            </w: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39</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1,078</w:t>
            </w:r>
          </w:p>
        </w:tc>
        <w:tc>
          <w:tcPr>
            <w:tcW w:w="80" w:type="dxa"/>
            <w:vAlign w:val="bottom"/>
          </w:tcPr>
          <w:p>
            <w:pPr>
              <w:spacing w:after="0"/>
              <w:rPr>
                <w:sz w:val="19"/>
                <w:szCs w:val="19"/>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w w:val="87"/>
              </w:rPr>
              <w:t>(6,500)</w:t>
            </w:r>
          </w:p>
        </w:tc>
        <w:tc>
          <w:tcPr>
            <w:tcW w:w="8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2,749</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29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(60)</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4240" w:type="dxa"/>
            <w:vAlign w:val="bottom"/>
            <w:gridSpan w:val="3"/>
          </w:tcPr>
          <w:p>
            <w:pPr>
              <w:spacing w:after="0"/>
              <w:rPr>
                <w:sz w:val="20"/>
                <w:szCs w:val="20"/>
                <w:color w:val="auto"/>
              </w:rPr>
            </w:pPr>
            <w:r>
              <w:rPr>
                <w:rFonts w:ascii="Arial" w:cs="Arial" w:eastAsia="Arial" w:hAnsi="Arial"/>
                <w:sz w:val="18"/>
                <w:szCs w:val="18"/>
                <w:color w:val="auto"/>
              </w:rPr>
              <w:t>Other invested assets:</w:t>
            </w:r>
          </w:p>
        </w:tc>
        <w:tc>
          <w:tcPr>
            <w:tcW w:w="8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Trading securities</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ind w:left="420"/>
              <w:spacing w:after="0"/>
              <w:rPr>
                <w:sz w:val="20"/>
                <w:szCs w:val="20"/>
                <w:color w:val="auto"/>
              </w:rPr>
            </w:pPr>
            <w:r>
              <w:rPr>
                <w:rFonts w:ascii="Arial" w:cs="Arial" w:eastAsia="Arial" w:hAnsi="Arial"/>
                <w:sz w:val="18"/>
                <w:szCs w:val="18"/>
                <w:color w:val="auto"/>
              </w:rPr>
              <w:t>Derivative assets:</w:t>
            </w: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Interest rate swaps</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ind w:left="860"/>
              <w:spacing w:after="0"/>
              <w:rPr>
                <w:sz w:val="20"/>
                <w:szCs w:val="20"/>
                <w:color w:val="auto"/>
              </w:rPr>
            </w:pPr>
            <w:r>
              <w:rPr>
                <w:rFonts w:ascii="Arial" w:cs="Arial" w:eastAsia="Arial" w:hAnsi="Arial"/>
                <w:sz w:val="18"/>
                <w:szCs w:val="18"/>
                <w:color w:val="auto"/>
              </w:rPr>
              <w:t>Interest rate swaptions</w:t>
            </w:r>
          </w:p>
        </w:tc>
        <w:tc>
          <w:tcPr>
            <w:tcW w:w="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54</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15</w:t>
            </w: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(65)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Credit default swaps</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ind w:left="860"/>
              <w:spacing w:after="0"/>
              <w:rPr>
                <w:sz w:val="20"/>
                <w:szCs w:val="20"/>
                <w:color w:val="auto"/>
              </w:rPr>
            </w:pPr>
            <w:r>
              <w:rPr>
                <w:rFonts w:ascii="Arial" w:cs="Arial" w:eastAsia="Arial" w:hAnsi="Arial"/>
                <w:sz w:val="18"/>
                <w:szCs w:val="18"/>
                <w:color w:val="auto"/>
              </w:rPr>
              <w:t>Equity index options</w:t>
            </w:r>
          </w:p>
        </w:tc>
        <w:tc>
          <w:tcPr>
            <w:tcW w:w="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39</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22</w:t>
            </w: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36</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Other foreign currency contracts</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2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derivative assets</w:t>
            </w: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422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110</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30</w:t>
            </w:r>
          </w:p>
        </w:tc>
        <w:tc>
          <w:tcPr>
            <w:tcW w:w="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(29)</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8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111</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9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other invested assets</w:t>
            </w: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15"/>
        </w:trPr>
        <w:tc>
          <w:tcPr>
            <w:tcW w:w="4240" w:type="dxa"/>
            <w:vAlign w:val="bottom"/>
            <w:gridSpan w:val="3"/>
          </w:tcPr>
          <w:p>
            <w:pPr>
              <w:spacing w:after="0"/>
              <w:rPr>
                <w:sz w:val="20"/>
                <w:szCs w:val="20"/>
                <w:color w:val="auto"/>
              </w:rPr>
            </w:pPr>
            <w:r>
              <w:rPr>
                <w:rFonts w:ascii="Arial" w:cs="Arial" w:eastAsia="Arial" w:hAnsi="Arial"/>
                <w:sz w:val="18"/>
                <w:szCs w:val="18"/>
                <w:color w:val="auto"/>
                <w:w w:val="94"/>
              </w:rPr>
              <w:t>Restricted other invested assets related to securitization</w:t>
            </w:r>
          </w:p>
        </w:tc>
        <w:tc>
          <w:tcPr>
            <w:tcW w:w="8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220" w:type="dxa"/>
            <w:vAlign w:val="bottom"/>
            <w:gridSpan w:val="2"/>
          </w:tcPr>
          <w:p>
            <w:pPr>
              <w:ind w:left="200"/>
              <w:spacing w:after="0"/>
              <w:rPr>
                <w:sz w:val="20"/>
                <w:szCs w:val="20"/>
                <w:color w:val="auto"/>
              </w:rPr>
            </w:pPr>
            <w:r>
              <w:rPr>
                <w:rFonts w:ascii="Arial" w:cs="Arial" w:eastAsia="Arial" w:hAnsi="Arial"/>
                <w:sz w:val="18"/>
                <w:szCs w:val="18"/>
                <w:color w:val="auto"/>
              </w:rPr>
              <w:t xml:space="preserve">entities </w:t>
            </w:r>
            <w:r>
              <w:rPr>
                <w:rFonts w:ascii="Arial" w:cs="Arial" w:eastAsia="Arial" w:hAnsi="Arial"/>
                <w:sz w:val="11"/>
                <w:szCs w:val="11"/>
                <w:color w:val="auto"/>
              </w:rPr>
              <w:t>(2)</w:t>
            </w:r>
          </w:p>
        </w:tc>
        <w:tc>
          <w:tcPr>
            <w:tcW w:w="80" w:type="dxa"/>
            <w:vAlign w:val="bottom"/>
          </w:tcPr>
          <w:p>
            <w:pPr>
              <w:spacing w:after="0"/>
              <w:rPr>
                <w:sz w:val="19"/>
                <w:szCs w:val="19"/>
                <w:color w:val="auto"/>
              </w:rPr>
            </w:pPr>
          </w:p>
        </w:tc>
        <w:tc>
          <w:tcPr>
            <w:tcW w:w="7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(2)</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2</w:t>
            </w: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gridSpan w:val="2"/>
          </w:tcPr>
          <w:p>
            <w:pPr>
              <w:ind w:left="200"/>
              <w:spacing w:after="0"/>
              <w:rPr>
                <w:sz w:val="20"/>
                <w:szCs w:val="20"/>
                <w:color w:val="auto"/>
              </w:rPr>
            </w:pPr>
            <w:r>
              <w:rPr>
                <w:rFonts w:ascii="Arial" w:cs="Arial" w:eastAsia="Arial" w:hAnsi="Arial"/>
                <w:sz w:val="18"/>
                <w:szCs w:val="18"/>
                <w:color w:val="auto"/>
              </w:rPr>
              <w:t>174</w:t>
            </w:r>
          </w:p>
        </w:tc>
        <w:tc>
          <w:tcPr>
            <w:tcW w:w="80" w:type="dxa"/>
            <w:vAlign w:val="bottom"/>
          </w:tcPr>
          <w:p>
            <w:pPr>
              <w:spacing w:after="0"/>
              <w:rPr>
                <w:sz w:val="19"/>
                <w:szCs w:val="19"/>
                <w:color w:val="auto"/>
              </w:rPr>
            </w:pPr>
          </w:p>
        </w:tc>
        <w:tc>
          <w:tcPr>
            <w:tcW w:w="8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174</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Reinsurance recoverable </w:t>
            </w:r>
            <w:r>
              <w:rPr>
                <w:rFonts w:ascii="Arial" w:cs="Arial" w:eastAsia="Arial" w:hAnsi="Arial"/>
                <w:sz w:val="11"/>
                <w:szCs w:val="11"/>
                <w:color w:val="auto"/>
              </w:rPr>
              <w:t>(3)</w:t>
            </w: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0"/>
        </w:trPr>
        <w:tc>
          <w:tcPr>
            <w:tcW w:w="4240" w:type="dxa"/>
            <w:vAlign w:val="bottom"/>
            <w:gridSpan w:val="3"/>
            <w:vMerge w:val="restart"/>
          </w:tcPr>
          <w:p>
            <w:pPr>
              <w:spacing w:after="0"/>
              <w:rPr>
                <w:sz w:val="20"/>
                <w:szCs w:val="20"/>
                <w:color w:val="auto"/>
              </w:rPr>
            </w:pPr>
            <w:r>
              <w:rPr>
                <w:rFonts w:ascii="Arial" w:cs="Arial" w:eastAsia="Arial" w:hAnsi="Arial"/>
                <w:sz w:val="18"/>
                <w:szCs w:val="18"/>
                <w:color w:val="auto"/>
              </w:rPr>
              <w:t>Total Level 3 assets</w:t>
            </w: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240" w:type="dxa"/>
            <w:vAlign w:val="bottom"/>
            <w:gridSpan w:val="3"/>
            <w:vMerge w:val="continue"/>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8,319</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32</w:t>
            </w:r>
          </w:p>
        </w:tc>
        <w:tc>
          <w:tcPr>
            <w:tcW w:w="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rPr>
              <w:t>85</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8</w:t>
            </w:r>
          </w:p>
        </w:tc>
        <w:tc>
          <w:tcPr>
            <w:tcW w:w="220" w:type="dxa"/>
            <w:vAlign w:val="bottom"/>
          </w:tcPr>
          <w:p>
            <w:pPr>
              <w:spacing w:after="0"/>
              <w:rPr>
                <w:sz w:val="19"/>
                <w:szCs w:val="19"/>
                <w:color w:val="auto"/>
              </w:rPr>
            </w:pP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1,304</w:t>
            </w:r>
          </w:p>
        </w:tc>
        <w:tc>
          <w:tcPr>
            <w:tcW w:w="80" w:type="dxa"/>
            <w:vAlign w:val="bottom"/>
          </w:tcPr>
          <w:p>
            <w:pPr>
              <w:spacing w:after="0"/>
              <w:rPr>
                <w:sz w:val="20"/>
                <w:szCs w:val="20"/>
                <w:color w:val="auto"/>
              </w:rPr>
            </w:pPr>
            <w:r>
              <w:rPr>
                <w:rFonts w:ascii="Arial" w:cs="Arial" w:eastAsia="Arial" w:hAnsi="Arial"/>
                <w:sz w:val="15"/>
                <w:szCs w:val="15"/>
                <w:u w:val="single" w:color="auto"/>
                <w:color w:val="auto"/>
                <w:w w:val="71"/>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w w:val="87"/>
              </w:rPr>
              <w:t>(6,560)</w:t>
            </w: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420" w:type="dxa"/>
            <w:vAlign w:val="bottom"/>
          </w:tcPr>
          <w:p>
            <w:pPr>
              <w:jc w:val="right"/>
              <w:spacing w:after="0"/>
              <w:rPr>
                <w:sz w:val="20"/>
                <w:szCs w:val="20"/>
                <w:color w:val="auto"/>
              </w:rPr>
            </w:pPr>
            <w:r>
              <w:rPr>
                <w:rFonts w:ascii="Arial" w:cs="Arial" w:eastAsia="Arial" w:hAnsi="Arial"/>
                <w:sz w:val="18"/>
                <w:szCs w:val="18"/>
                <w:color w:val="auto"/>
                <w:w w:val="88"/>
              </w:rPr>
              <w:t>3,188</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340" w:right="500" w:hanging="332"/>
        <w:spacing w:after="0" w:line="228" w:lineRule="auto"/>
        <w:tabs>
          <w:tab w:leader="none" w:pos="340" w:val="left"/>
        </w:tabs>
        <w:numPr>
          <w:ilvl w:val="0"/>
          <w:numId w:val="28"/>
        </w:numPr>
        <w:rPr>
          <w:rFonts w:ascii="Arial" w:cs="Arial" w:eastAsia="Arial" w:hAnsi="Arial"/>
          <w:sz w:val="22"/>
          <w:szCs w:val="22"/>
          <w:color w:val="auto"/>
          <w:vertAlign w:val="superscript"/>
        </w:rPr>
      </w:pPr>
      <w:r>
        <w:rPr>
          <w:rFonts w:ascii="Arial" w:cs="Arial" w:eastAsia="Arial" w:hAnsi="Arial"/>
          <w:sz w:val="18"/>
          <w:szCs w:val="18"/>
          <w:color w:val="auto"/>
        </w:rPr>
        <w:t>The transfer out of Level 3 was primarily related to residential and commercial mortgage-backed and other asset-backed securities and resulted from a change in the observability of inputs used to determine fair value.</w:t>
      </w:r>
    </w:p>
    <w:p>
      <w:pPr>
        <w:spacing w:after="0" w:line="1" w:lineRule="exact"/>
        <w:rPr>
          <w:rFonts w:ascii="Arial" w:cs="Arial" w:eastAsia="Arial" w:hAnsi="Arial"/>
          <w:sz w:val="22"/>
          <w:szCs w:val="22"/>
          <w:color w:val="auto"/>
          <w:vertAlign w:val="superscript"/>
        </w:rPr>
      </w:pPr>
    </w:p>
    <w:p>
      <w:pPr>
        <w:ind w:left="340" w:right="20" w:hanging="332"/>
        <w:spacing w:after="0" w:line="225" w:lineRule="auto"/>
        <w:tabs>
          <w:tab w:leader="none" w:pos="340" w:val="left"/>
        </w:tabs>
        <w:numPr>
          <w:ilvl w:val="0"/>
          <w:numId w:val="28"/>
        </w:numPr>
        <w:rPr>
          <w:rFonts w:ascii="Arial" w:cs="Arial" w:eastAsia="Arial" w:hAnsi="Arial"/>
          <w:sz w:val="22"/>
          <w:szCs w:val="22"/>
          <w:color w:val="auto"/>
          <w:vertAlign w:val="superscript"/>
        </w:rPr>
      </w:pPr>
      <w:r>
        <w:rPr>
          <w:rFonts w:ascii="Arial" w:cs="Arial" w:eastAsia="Arial" w:hAnsi="Arial"/>
          <w:sz w:val="18"/>
          <w:szCs w:val="18"/>
          <w:color w:val="auto"/>
        </w:rPr>
        <w:t>Relates to the consolidation of certain securitization entities as of January 1, 2010. See note 7 for additional information related to consolidated securitization entities.</w:t>
      </w:r>
    </w:p>
    <w:p>
      <w:pPr>
        <w:ind w:left="340" w:hanging="332"/>
        <w:spacing w:after="0" w:line="205" w:lineRule="auto"/>
        <w:tabs>
          <w:tab w:leader="none" w:pos="340" w:val="left"/>
        </w:tabs>
        <w:numPr>
          <w:ilvl w:val="0"/>
          <w:numId w:val="28"/>
        </w:numPr>
        <w:rPr>
          <w:rFonts w:ascii="Arial" w:cs="Arial" w:eastAsia="Arial" w:hAnsi="Arial"/>
          <w:sz w:val="22"/>
          <w:szCs w:val="22"/>
          <w:color w:val="auto"/>
          <w:vertAlign w:val="superscript"/>
        </w:rPr>
      </w:pPr>
      <w:r>
        <w:rPr>
          <w:rFonts w:ascii="Arial" w:cs="Arial" w:eastAsia="Arial" w:hAnsi="Arial"/>
          <w:sz w:val="18"/>
          <w:szCs w:val="18"/>
          <w:color w:val="auto"/>
        </w:rPr>
        <w:t>Represents embedded derivatives associated with the reinsured portion of our GMWB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-709930</wp:posOffset>
            </wp:positionV>
            <wp:extent cx="72898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45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00" w:firstLine="456"/>
        <w:spacing w:after="0" w:line="294" w:lineRule="auto"/>
        <w:rPr>
          <w:sz w:val="20"/>
          <w:szCs w:val="20"/>
          <w:color w:val="auto"/>
        </w:rPr>
      </w:pPr>
      <w:r>
        <w:rPr>
          <w:rFonts w:ascii="Arial" w:cs="Arial" w:eastAsia="Arial" w:hAnsi="Arial"/>
          <w:sz w:val="16"/>
          <w:szCs w:val="16"/>
          <w:color w:val="auto"/>
        </w:rPr>
        <w:t>Our assessment of whether or not there were significant unobservable inputs was based on our observations of the mortgage-backed and asset-based securities markets obtained through the course of managing our investment portfolio, including interaction with other market participants, observations related to the availability and consistency of pricing, and understanding of general market activity such as new issuance and the level of secondary market trading for a class of securities. Additionally, we considered data obtained from third-party pricing sources to determine whether our estimated values incorporate significant unobservable inputs that would result in the valuation being classified as Level 3.</w:t>
      </w:r>
    </w:p>
    <w:p>
      <w:pPr>
        <w:spacing w:after="0" w:line="116"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While we observed some increased trading activity for certain mortgage-backed and asset-backed securities during 2009, primarily as a result of government programs, we did not observe a broad-based improvement in market conditions to result in the classification of several mortgage-backed and asset-backed securities as Level 2. During the six months ended June 30, 2010, primary market issuance and secondary market activity for commercial and non-agency residential mortgage-backed and other asset-backed securities increased the market observable inputs used to establish fair values for similar securities. These factors, along with more consistent pricing from third-party sources, resulted in our conclusion that there is sufficient trading activity in similar instruments to support classifying certain mortgage-backed and asset-backed securities as Level 2 as of June 30, 2010. Accordingly, our assessment resulted in a transfer out of Level 3 of $1,503 million, $3,462 million and $1,049 million, respectively, during the six months ended June 30, 2010 related to residential mortgage-backed, commercial mortgage-backed and other asset-backed securities.</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20" w:type="dxa"/>
            <w:vAlign w:val="bottom"/>
            <w:gridSpan w:val="6"/>
            <w:vMerge w:val="restart"/>
          </w:tcPr>
          <w:p>
            <w:pPr>
              <w:jc w:val="center"/>
              <w:ind w:right="340"/>
              <w:spacing w:after="0"/>
              <w:rPr>
                <w:sz w:val="20"/>
                <w:szCs w:val="20"/>
                <w:color w:val="auto"/>
              </w:rPr>
            </w:pPr>
            <w:r>
              <w:rPr>
                <w:rFonts w:ascii="Arial" w:cs="Arial" w:eastAsia="Arial" w:hAnsi="Arial"/>
                <w:sz w:val="14"/>
                <w:szCs w:val="14"/>
                <w:b w:val="1"/>
                <w:bCs w:val="1"/>
                <w:color w:val="auto"/>
                <w:w w:val="87"/>
              </w:rPr>
              <w:t>Total realized and</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Total gains</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20" w:type="dxa"/>
            <w:vAlign w:val="bottom"/>
            <w:gridSpan w:val="6"/>
            <w:vMerge w:val="continue"/>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75"/>
              </w:rPr>
              <w:t>(losses)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4"/>
          </w:tcPr>
          <w:p>
            <w:pPr>
              <w:jc w:val="center"/>
              <w:ind w:left="56"/>
              <w:spacing w:after="0" w:line="149" w:lineRule="exact"/>
              <w:rPr>
                <w:sz w:val="20"/>
                <w:szCs w:val="20"/>
                <w:color w:val="auto"/>
              </w:rPr>
            </w:pPr>
            <w:r>
              <w:rPr>
                <w:rFonts w:ascii="Arial" w:cs="Arial" w:eastAsia="Arial" w:hAnsi="Arial"/>
                <w:sz w:val="14"/>
                <w:szCs w:val="14"/>
                <w:b w:val="1"/>
                <w:bCs w:val="1"/>
                <w:color w:val="auto"/>
                <w:w w:val="85"/>
              </w:rPr>
              <w:t>unrealized gains</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included in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620" w:type="dxa"/>
            <w:vAlign w:val="bottom"/>
            <w:gridSpan w:val="2"/>
          </w:tcPr>
          <w:p>
            <w:pPr>
              <w:jc w:val="center"/>
              <w:spacing w:after="0"/>
              <w:rPr>
                <w:sz w:val="20"/>
                <w:szCs w:val="20"/>
                <w:color w:val="auto"/>
              </w:rPr>
            </w:pPr>
            <w:r>
              <w:rPr>
                <w:rFonts w:ascii="Arial" w:cs="Arial" w:eastAsia="Arial" w:hAnsi="Arial"/>
                <w:sz w:val="14"/>
                <w:szCs w:val="14"/>
                <w:b w:val="1"/>
                <w:bCs w:val="1"/>
                <w:color w:val="auto"/>
                <w:w w:val="84"/>
              </w:rPr>
              <w:t>Beginning</w:t>
            </w: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tcPr>
          <w:p>
            <w:pPr>
              <w:jc w:val="center"/>
              <w:ind w:left="316"/>
              <w:spacing w:after="0"/>
              <w:rPr>
                <w:sz w:val="20"/>
                <w:szCs w:val="20"/>
                <w:color w:val="auto"/>
              </w:rPr>
            </w:pPr>
            <w:r>
              <w:rPr>
                <w:rFonts w:ascii="Arial" w:cs="Arial" w:eastAsia="Arial" w:hAnsi="Arial"/>
                <w:sz w:val="14"/>
                <w:szCs w:val="14"/>
                <w:b w:val="1"/>
                <w:bCs w:val="1"/>
                <w:color w:val="auto"/>
                <w:w w:val="79"/>
              </w:rPr>
              <w:t>(losses)</w:t>
            </w:r>
          </w:p>
        </w:tc>
        <w:tc>
          <w:tcPr>
            <w:tcW w:w="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Ending</w:t>
            </w:r>
          </w:p>
        </w:tc>
        <w:tc>
          <w:tcPr>
            <w:tcW w:w="240" w:type="dxa"/>
            <w:vAlign w:val="bottom"/>
          </w:tcPr>
          <w:p>
            <w:pPr>
              <w:spacing w:after="0"/>
              <w:rPr>
                <w:sz w:val="14"/>
                <w:szCs w:val="14"/>
                <w:color w:val="auto"/>
              </w:rPr>
            </w:pPr>
          </w:p>
        </w:tc>
        <w:tc>
          <w:tcPr>
            <w:tcW w:w="8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net income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4"/>
              </w:rPr>
              <w:t>balance</w:t>
            </w: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4"/>
              </w:rPr>
              <w:t>balance</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0"/>
              </w:rPr>
              <w:t>(loss)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center"/>
              <w:ind w:right="16"/>
              <w:spacing w:after="0" w:line="149" w:lineRule="exact"/>
              <w:rPr>
                <w:sz w:val="20"/>
                <w:szCs w:val="20"/>
                <w:color w:val="auto"/>
              </w:rPr>
            </w:pPr>
            <w:r>
              <w:rPr>
                <w:rFonts w:ascii="Arial" w:cs="Arial" w:eastAsia="Arial" w:hAnsi="Arial"/>
                <w:sz w:val="14"/>
                <w:szCs w:val="14"/>
                <w:b w:val="1"/>
                <w:bCs w:val="1"/>
                <w:color w:val="auto"/>
                <w:w w:val="79"/>
              </w:rPr>
              <w:t>as of</w:t>
            </w:r>
          </w:p>
        </w:tc>
        <w:tc>
          <w:tcPr>
            <w:tcW w:w="260" w:type="dxa"/>
            <w:vAlign w:val="bottom"/>
          </w:tcPr>
          <w:p>
            <w:pPr>
              <w:spacing w:after="0"/>
              <w:rPr>
                <w:sz w:val="12"/>
                <w:szCs w:val="12"/>
                <w:color w:val="auto"/>
              </w:rPr>
            </w:pPr>
          </w:p>
        </w:tc>
        <w:tc>
          <w:tcPr>
            <w:tcW w:w="100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Included in</w:t>
            </w: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Purchases, sales,</w:t>
            </w: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2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Transfer</w:t>
            </w:r>
          </w:p>
        </w:tc>
        <w:tc>
          <w:tcPr>
            <w:tcW w:w="80" w:type="dxa"/>
            <w:vAlign w:val="bottom"/>
          </w:tcPr>
          <w:p>
            <w:pPr>
              <w:spacing w:after="0"/>
              <w:rPr>
                <w:sz w:val="12"/>
                <w:szCs w:val="12"/>
                <w:color w:val="auto"/>
              </w:rPr>
            </w:pPr>
          </w:p>
        </w:tc>
        <w:tc>
          <w:tcPr>
            <w:tcW w:w="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79"/>
              </w:rPr>
              <w:t>as of</w:t>
            </w:r>
          </w:p>
        </w:tc>
        <w:tc>
          <w:tcPr>
            <w:tcW w:w="240" w:type="dxa"/>
            <w:vAlign w:val="bottom"/>
          </w:tcPr>
          <w:p>
            <w:pPr>
              <w:spacing w:after="0"/>
              <w:rPr>
                <w:sz w:val="12"/>
                <w:szCs w:val="12"/>
                <w:color w:val="auto"/>
              </w:rPr>
            </w:pPr>
          </w:p>
        </w:tc>
        <w:tc>
          <w:tcPr>
            <w:tcW w:w="8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attributable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January 1,</w:t>
            </w:r>
          </w:p>
        </w:tc>
        <w:tc>
          <w:tcPr>
            <w:tcW w:w="260" w:type="dxa"/>
            <w:vAlign w:val="bottom"/>
          </w:tcPr>
          <w:p>
            <w:pPr>
              <w:spacing w:after="0"/>
              <w:rPr>
                <w:sz w:val="12"/>
                <w:szCs w:val="12"/>
                <w:color w:val="auto"/>
              </w:rPr>
            </w:pPr>
          </w:p>
        </w:tc>
        <w:tc>
          <w:tcPr>
            <w:tcW w:w="10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net income</w:t>
            </w:r>
          </w:p>
        </w:tc>
        <w:tc>
          <w:tcPr>
            <w:tcW w:w="20" w:type="dxa"/>
            <w:vAlign w:val="bottom"/>
          </w:tcPr>
          <w:p>
            <w:pPr>
              <w:spacing w:after="0"/>
              <w:rPr>
                <w:sz w:val="12"/>
                <w:szCs w:val="12"/>
                <w:color w:val="auto"/>
              </w:rPr>
            </w:pPr>
          </w:p>
        </w:tc>
        <w:tc>
          <w:tcPr>
            <w:tcW w:w="7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Included</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2"/>
          </w:tcPr>
          <w:p>
            <w:pPr>
              <w:jc w:val="right"/>
              <w:ind w:right="460"/>
              <w:spacing w:after="0" w:line="149" w:lineRule="exact"/>
              <w:rPr>
                <w:sz w:val="20"/>
                <w:szCs w:val="20"/>
                <w:color w:val="auto"/>
              </w:rPr>
            </w:pPr>
            <w:r>
              <w:rPr>
                <w:rFonts w:ascii="Arial" w:cs="Arial" w:eastAsia="Arial" w:hAnsi="Arial"/>
                <w:sz w:val="14"/>
                <w:szCs w:val="14"/>
                <w:b w:val="1"/>
                <w:bCs w:val="1"/>
                <w:color w:val="auto"/>
                <w:w w:val="78"/>
              </w:rPr>
              <w:t>issuances and</w:t>
            </w:r>
          </w:p>
        </w:tc>
        <w:tc>
          <w:tcPr>
            <w:tcW w:w="82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Transfer</w:t>
            </w:r>
          </w:p>
        </w:tc>
        <w:tc>
          <w:tcPr>
            <w:tcW w:w="80" w:type="dxa"/>
            <w:vAlign w:val="bottom"/>
          </w:tcPr>
          <w:p>
            <w:pPr>
              <w:spacing w:after="0"/>
              <w:rPr>
                <w:sz w:val="12"/>
                <w:szCs w:val="12"/>
                <w:color w:val="auto"/>
              </w:rPr>
            </w:pPr>
          </w:p>
        </w:tc>
        <w:tc>
          <w:tcPr>
            <w:tcW w:w="840" w:type="dxa"/>
            <w:vAlign w:val="bottom"/>
            <w:gridSpan w:val="2"/>
          </w:tcPr>
          <w:p>
            <w:pPr>
              <w:jc w:val="right"/>
              <w:ind w:right="480"/>
              <w:spacing w:after="0" w:line="149" w:lineRule="exact"/>
              <w:rPr>
                <w:sz w:val="20"/>
                <w:szCs w:val="20"/>
                <w:color w:val="auto"/>
              </w:rPr>
            </w:pPr>
            <w:r>
              <w:rPr>
                <w:rFonts w:ascii="Arial" w:cs="Arial" w:eastAsia="Arial" w:hAnsi="Arial"/>
                <w:sz w:val="14"/>
                <w:szCs w:val="14"/>
                <w:b w:val="1"/>
                <w:bCs w:val="1"/>
                <w:color w:val="auto"/>
                <w:w w:val="87"/>
              </w:rPr>
              <w:t>out of</w:t>
            </w:r>
          </w:p>
        </w:tc>
        <w:tc>
          <w:tcPr>
            <w:tcW w:w="5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June 30,</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79"/>
              </w:rPr>
              <w:t>to assets</w:t>
            </w:r>
          </w:p>
        </w:tc>
        <w:tc>
          <w:tcPr>
            <w:tcW w:w="0" w:type="dxa"/>
            <w:vAlign w:val="bottom"/>
          </w:tcPr>
          <w:p>
            <w:pPr>
              <w:spacing w:after="0"/>
              <w:rPr>
                <w:sz w:val="1"/>
                <w:szCs w:val="1"/>
                <w:color w:val="auto"/>
              </w:rPr>
            </w:pPr>
          </w:p>
        </w:tc>
      </w:tr>
      <w:tr>
        <w:trPr>
          <w:trHeight w:val="161"/>
        </w:trPr>
        <w:tc>
          <w:tcPr>
            <w:tcW w:w="400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520" w:type="dxa"/>
            <w:vAlign w:val="bottom"/>
          </w:tcPr>
          <w:p>
            <w:pPr>
              <w:jc w:val="center"/>
              <w:spacing w:after="0"/>
              <w:rPr>
                <w:sz w:val="20"/>
                <w:szCs w:val="20"/>
                <w:color w:val="auto"/>
              </w:rPr>
            </w:pPr>
            <w:r>
              <w:rPr>
                <w:rFonts w:ascii="Arial" w:cs="Arial" w:eastAsia="Arial" w:hAnsi="Arial"/>
                <w:sz w:val="14"/>
                <w:szCs w:val="14"/>
                <w:b w:val="1"/>
                <w:bCs w:val="1"/>
                <w:color w:val="auto"/>
                <w:w w:val="89"/>
              </w:rPr>
              <w:t>2009</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w w:val="85"/>
              </w:rPr>
              <w:t>(loss)</w:t>
            </w:r>
          </w:p>
        </w:tc>
        <w:tc>
          <w:tcPr>
            <w:tcW w:w="20" w:type="dxa"/>
            <w:vAlign w:val="bottom"/>
          </w:tcPr>
          <w:p>
            <w:pPr>
              <w:spacing w:after="0"/>
              <w:rPr>
                <w:sz w:val="14"/>
                <w:szCs w:val="14"/>
                <w:color w:val="auto"/>
              </w:rPr>
            </w:pPr>
          </w:p>
        </w:tc>
        <w:tc>
          <w:tcPr>
            <w:tcW w:w="740" w:type="dxa"/>
            <w:vAlign w:val="bottom"/>
            <w:gridSpan w:val="3"/>
          </w:tcPr>
          <w:p>
            <w:pPr>
              <w:ind w:left="60"/>
              <w:spacing w:after="0"/>
              <w:rPr>
                <w:sz w:val="20"/>
                <w:szCs w:val="20"/>
                <w:color w:val="auto"/>
              </w:rPr>
            </w:pPr>
            <w:r>
              <w:rPr>
                <w:rFonts w:ascii="Arial" w:cs="Arial" w:eastAsia="Arial" w:hAnsi="Arial"/>
                <w:sz w:val="14"/>
                <w:szCs w:val="14"/>
                <w:b w:val="1"/>
                <w:bCs w:val="1"/>
                <w:color w:val="auto"/>
              </w:rPr>
              <w:t>in OCI</w:t>
            </w:r>
          </w:p>
        </w:tc>
        <w:tc>
          <w:tcPr>
            <w:tcW w:w="140" w:type="dxa"/>
            <w:vAlign w:val="bottom"/>
          </w:tcPr>
          <w:p>
            <w:pPr>
              <w:spacing w:after="0"/>
              <w:rPr>
                <w:sz w:val="14"/>
                <w:szCs w:val="14"/>
                <w:color w:val="auto"/>
              </w:rPr>
            </w:pPr>
          </w:p>
        </w:tc>
        <w:tc>
          <w:tcPr>
            <w:tcW w:w="1340" w:type="dxa"/>
            <w:vAlign w:val="bottom"/>
            <w:gridSpan w:val="3"/>
          </w:tcPr>
          <w:p>
            <w:pPr>
              <w:jc w:val="right"/>
              <w:ind w:right="400"/>
              <w:spacing w:after="0"/>
              <w:rPr>
                <w:sz w:val="20"/>
                <w:szCs w:val="20"/>
                <w:color w:val="auto"/>
              </w:rPr>
            </w:pPr>
            <w:r>
              <w:rPr>
                <w:rFonts w:ascii="Arial" w:cs="Arial" w:eastAsia="Arial" w:hAnsi="Arial"/>
                <w:sz w:val="14"/>
                <w:szCs w:val="14"/>
                <w:b w:val="1"/>
                <w:bCs w:val="1"/>
                <w:color w:val="auto"/>
                <w:w w:val="86"/>
              </w:rPr>
              <w:t>settlements, net</w:t>
            </w:r>
          </w:p>
        </w:tc>
        <w:tc>
          <w:tcPr>
            <w:tcW w:w="820" w:type="dxa"/>
            <w:vAlign w:val="bottom"/>
            <w:gridSpan w:val="3"/>
          </w:tcPr>
          <w:p>
            <w:pPr>
              <w:spacing w:after="0"/>
              <w:rPr>
                <w:sz w:val="20"/>
                <w:szCs w:val="20"/>
                <w:color w:val="auto"/>
              </w:rPr>
            </w:pPr>
            <w:r>
              <w:rPr>
                <w:rFonts w:ascii="Arial" w:cs="Arial" w:eastAsia="Arial" w:hAnsi="Arial"/>
                <w:sz w:val="14"/>
                <w:szCs w:val="14"/>
                <w:b w:val="1"/>
                <w:bCs w:val="1"/>
                <w:color w:val="auto"/>
              </w:rPr>
              <w:t>in Level 3</w:t>
            </w:r>
          </w:p>
        </w:tc>
        <w:tc>
          <w:tcPr>
            <w:tcW w:w="920" w:type="dxa"/>
            <w:vAlign w:val="bottom"/>
            <w:gridSpan w:val="3"/>
          </w:tcPr>
          <w:p>
            <w:pPr>
              <w:jc w:val="right"/>
              <w:ind w:right="440"/>
              <w:spacing w:after="0"/>
              <w:rPr>
                <w:sz w:val="20"/>
                <w:szCs w:val="20"/>
                <w:color w:val="auto"/>
              </w:rPr>
            </w:pPr>
            <w:r>
              <w:rPr>
                <w:rFonts w:ascii="Arial" w:cs="Arial" w:eastAsia="Arial" w:hAnsi="Arial"/>
                <w:sz w:val="14"/>
                <w:szCs w:val="14"/>
                <w:b w:val="1"/>
                <w:bCs w:val="1"/>
                <w:color w:val="auto"/>
                <w:w w:val="96"/>
              </w:rPr>
              <w:t>Level 3</w:t>
            </w:r>
          </w:p>
        </w:tc>
        <w:tc>
          <w:tcPr>
            <w:tcW w:w="80" w:type="dxa"/>
            <w:vAlign w:val="bottom"/>
          </w:tcPr>
          <w:p>
            <w:pPr>
              <w:spacing w:after="0"/>
              <w:rPr>
                <w:sz w:val="14"/>
                <w:szCs w:val="14"/>
                <w:color w:val="auto"/>
              </w:rPr>
            </w:pPr>
          </w:p>
        </w:tc>
        <w:tc>
          <w:tcPr>
            <w:tcW w:w="420" w:type="dxa"/>
            <w:vAlign w:val="bottom"/>
          </w:tcPr>
          <w:p>
            <w:pPr>
              <w:jc w:val="center"/>
              <w:ind w:right="15"/>
              <w:spacing w:after="0"/>
              <w:rPr>
                <w:sz w:val="20"/>
                <w:szCs w:val="20"/>
                <w:color w:val="auto"/>
              </w:rPr>
            </w:pPr>
            <w:r>
              <w:rPr>
                <w:rFonts w:ascii="Arial" w:cs="Arial" w:eastAsia="Arial" w:hAnsi="Arial"/>
                <w:sz w:val="14"/>
                <w:szCs w:val="14"/>
                <w:b w:val="1"/>
                <w:bCs w:val="1"/>
                <w:color w:val="auto"/>
                <w:w w:val="89"/>
              </w:rPr>
              <w:t>2009</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4"/>
              </w:rPr>
              <w:t>still held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980" w:type="dxa"/>
            <w:vAlign w:val="bottom"/>
            <w:gridSpan w:val="2"/>
          </w:tcPr>
          <w:p>
            <w:pPr>
              <w:ind w:left="420"/>
              <w:spacing w:after="0"/>
              <w:rPr>
                <w:sz w:val="20"/>
                <w:szCs w:val="20"/>
                <w:color w:val="auto"/>
              </w:rPr>
            </w:pPr>
            <w:r>
              <w:rPr>
                <w:rFonts w:ascii="Arial" w:cs="Arial" w:eastAsia="Arial" w:hAnsi="Arial"/>
                <w:sz w:val="18"/>
                <w:szCs w:val="18"/>
                <w:color w:val="auto"/>
                <w:w w:val="98"/>
              </w:rPr>
              <w:t>U.S. government, agencies and government-</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80" w:type="dxa"/>
            <w:vAlign w:val="bottom"/>
            <w:gridSpan w:val="2"/>
          </w:tcPr>
          <w:p>
            <w:pPr>
              <w:ind w:left="640"/>
              <w:spacing w:after="0"/>
              <w:rPr>
                <w:sz w:val="20"/>
                <w:szCs w:val="20"/>
                <w:color w:val="auto"/>
              </w:rPr>
            </w:pPr>
            <w:r>
              <w:rPr>
                <w:rFonts w:ascii="Arial" w:cs="Arial" w:eastAsia="Arial" w:hAnsi="Arial"/>
                <w:sz w:val="18"/>
                <w:szCs w:val="18"/>
                <w:color w:val="auto"/>
              </w:rPr>
              <w:t>sponsored entities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25</w:t>
            </w:r>
          </w:p>
        </w:tc>
        <w:tc>
          <w:tcPr>
            <w:tcW w:w="40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2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160"/>
              <w:spacing w:after="0"/>
              <w:rPr>
                <w:sz w:val="20"/>
                <w:szCs w:val="20"/>
                <w:color w:val="auto"/>
              </w:rPr>
            </w:pPr>
            <w:r>
              <w:rPr>
                <w:rFonts w:ascii="Arial" w:cs="Arial" w:eastAsia="Arial" w:hAnsi="Arial"/>
                <w:sz w:val="18"/>
                <w:szCs w:val="18"/>
                <w:color w:val="auto"/>
                <w:w w:val="99"/>
              </w:rPr>
              <w:t>(38)</w:t>
            </w:r>
          </w:p>
        </w:tc>
        <w:tc>
          <w:tcPr>
            <w:tcW w:w="240" w:type="dxa"/>
            <w:vAlign w:val="bottom"/>
            <w:gridSpan w:val="2"/>
          </w:tcPr>
          <w:p>
            <w:pPr>
              <w:ind w:left="14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380"/>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700" w:type="dxa"/>
            <w:vAlign w:val="bottom"/>
            <w:gridSpan w:val="2"/>
          </w:tcPr>
          <w:p>
            <w:pPr>
              <w:jc w:val="right"/>
              <w:ind w:right="260"/>
              <w:spacing w:after="0"/>
              <w:rPr>
                <w:sz w:val="20"/>
                <w:szCs w:val="20"/>
                <w:color w:val="auto"/>
              </w:rPr>
            </w:pPr>
            <w:r>
              <w:rPr>
                <w:rFonts w:ascii="Arial" w:cs="Arial" w:eastAsia="Arial" w:hAnsi="Arial"/>
                <w:sz w:val="18"/>
                <w:szCs w:val="18"/>
                <w:color w:val="auto"/>
              </w:rPr>
              <w:t>389</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(32)</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357</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Tax exempt</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gridSpan w:val="2"/>
          </w:tcPr>
          <w:p>
            <w:pPr>
              <w:ind w:left="420"/>
              <w:spacing w:after="0"/>
              <w:rPr>
                <w:sz w:val="20"/>
                <w:szCs w:val="20"/>
                <w:color w:val="auto"/>
              </w:rPr>
            </w:pPr>
            <w:r>
              <w:rPr>
                <w:rFonts w:ascii="Arial" w:cs="Arial" w:eastAsia="Arial" w:hAnsi="Arial"/>
                <w:sz w:val="18"/>
                <w:szCs w:val="18"/>
                <w:color w:val="auto"/>
              </w:rPr>
              <w:t>Government—non-U.S.</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31</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380"/>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18"/>
                <w:szCs w:val="18"/>
                <w:color w:val="auto"/>
              </w:rPr>
            </w:pPr>
          </w:p>
        </w:tc>
        <w:tc>
          <w:tcPr>
            <w:tcW w:w="70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(18)</w:t>
            </w: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22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U.S. corporate</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2,734</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(16)</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111</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(111)</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377</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7"/>
              </w:rPr>
              <w:t>(1,687)</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1,408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gridSpan w:val="2"/>
          </w:tcPr>
          <w:p>
            <w:pPr>
              <w:ind w:left="420"/>
              <w:spacing w:after="0"/>
              <w:rPr>
                <w:sz w:val="20"/>
                <w:szCs w:val="20"/>
                <w:color w:val="auto"/>
              </w:rPr>
            </w:pPr>
            <w:r>
              <w:rPr>
                <w:rFonts w:ascii="Arial" w:cs="Arial" w:eastAsia="Arial" w:hAnsi="Arial"/>
                <w:sz w:val="18"/>
                <w:szCs w:val="18"/>
                <w:color w:val="auto"/>
              </w:rPr>
              <w:t>Corporate—non-U.S.</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1,560</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(33)</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w w:val="79"/>
              </w:rPr>
              <w:t>142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380"/>
              <w:spacing w:after="0"/>
              <w:rPr>
                <w:sz w:val="20"/>
                <w:szCs w:val="20"/>
                <w:color w:val="auto"/>
              </w:rPr>
            </w:pPr>
            <w:r>
              <w:rPr>
                <w:rFonts w:ascii="Arial" w:cs="Arial" w:eastAsia="Arial" w:hAnsi="Arial"/>
                <w:sz w:val="18"/>
                <w:szCs w:val="18"/>
                <w:color w:val="auto"/>
              </w:rPr>
              <w:t>11</w:t>
            </w:r>
          </w:p>
        </w:tc>
        <w:tc>
          <w:tcPr>
            <w:tcW w:w="120" w:type="dxa"/>
            <w:vAlign w:val="bottom"/>
          </w:tcPr>
          <w:p>
            <w:pPr>
              <w:spacing w:after="0"/>
              <w:rPr>
                <w:sz w:val="18"/>
                <w:szCs w:val="18"/>
                <w:color w:val="auto"/>
              </w:rPr>
            </w:pPr>
          </w:p>
        </w:tc>
        <w:tc>
          <w:tcPr>
            <w:tcW w:w="700" w:type="dxa"/>
            <w:vAlign w:val="bottom"/>
            <w:gridSpan w:val="2"/>
          </w:tcPr>
          <w:p>
            <w:pPr>
              <w:jc w:val="right"/>
              <w:ind w:right="260"/>
              <w:spacing w:after="0"/>
              <w:rPr>
                <w:sz w:val="20"/>
                <w:szCs w:val="20"/>
                <w:color w:val="auto"/>
              </w:rPr>
            </w:pPr>
            <w:r>
              <w:rPr>
                <w:rFonts w:ascii="Arial" w:cs="Arial" w:eastAsia="Arial" w:hAnsi="Arial"/>
                <w:sz w:val="18"/>
                <w:szCs w:val="18"/>
                <w:color w:val="auto"/>
              </w:rPr>
              <w:t>404</w:t>
            </w:r>
          </w:p>
        </w:tc>
        <w:tc>
          <w:tcPr>
            <w:tcW w:w="8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w w:val="87"/>
              </w:rPr>
              <w:t>(1,317)</w:t>
            </w: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767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Residential mortgage-backed</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1,957</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(331)</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w w:val="79"/>
              </w:rPr>
              <w:t>164</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(154)</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885</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(898)</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1,623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gridSpan w:val="2"/>
          </w:tcPr>
          <w:p>
            <w:pPr>
              <w:ind w:left="420"/>
              <w:spacing w:after="0"/>
              <w:rPr>
                <w:sz w:val="20"/>
                <w:szCs w:val="20"/>
                <w:color w:val="auto"/>
              </w:rPr>
            </w:pPr>
            <w:r>
              <w:rPr>
                <w:rFonts w:ascii="Arial" w:cs="Arial" w:eastAsia="Arial" w:hAnsi="Arial"/>
                <w:sz w:val="18"/>
                <w:szCs w:val="18"/>
                <w:color w:val="auto"/>
              </w:rPr>
              <w:t>Commercial mortgage-backed</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3,219</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(39)</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43</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320"/>
              <w:spacing w:after="0"/>
              <w:rPr>
                <w:sz w:val="20"/>
                <w:szCs w:val="20"/>
                <w:color w:val="auto"/>
              </w:rPr>
            </w:pPr>
            <w:r>
              <w:rPr>
                <w:rFonts w:ascii="Arial" w:cs="Arial" w:eastAsia="Arial" w:hAnsi="Arial"/>
                <w:sz w:val="18"/>
                <w:szCs w:val="18"/>
                <w:color w:val="auto"/>
              </w:rPr>
              <w:t>(106)</w:t>
            </w:r>
          </w:p>
        </w:tc>
        <w:tc>
          <w:tcPr>
            <w:tcW w:w="120" w:type="dxa"/>
            <w:vAlign w:val="bottom"/>
          </w:tcPr>
          <w:p>
            <w:pPr>
              <w:spacing w:after="0"/>
              <w:rPr>
                <w:sz w:val="18"/>
                <w:szCs w:val="18"/>
                <w:color w:val="auto"/>
              </w:rPr>
            </w:pPr>
          </w:p>
        </w:tc>
        <w:tc>
          <w:tcPr>
            <w:tcW w:w="700" w:type="dxa"/>
            <w:vAlign w:val="bottom"/>
            <w:gridSpan w:val="2"/>
          </w:tcPr>
          <w:p>
            <w:pPr>
              <w:jc w:val="right"/>
              <w:ind w:right="260"/>
              <w:spacing w:after="0"/>
              <w:rPr>
                <w:sz w:val="20"/>
                <w:szCs w:val="20"/>
                <w:color w:val="auto"/>
              </w:rPr>
            </w:pPr>
            <w:r>
              <w:rPr>
                <w:rFonts w:ascii="Arial" w:cs="Arial" w:eastAsia="Arial" w:hAnsi="Arial"/>
                <w:sz w:val="18"/>
                <w:szCs w:val="18"/>
                <w:color w:val="auto"/>
              </w:rPr>
              <w:t>532</w:t>
            </w:r>
          </w:p>
        </w:tc>
        <w:tc>
          <w:tcPr>
            <w:tcW w:w="8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(521)</w:t>
            </w: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3,128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Other asset-backed</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1,034</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(22)</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w w:val="79"/>
              </w:rPr>
              <w:t>180</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(232)</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981</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(878)</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1,063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8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fixed maturity securities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398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w w:val="90"/>
              </w:rPr>
              <w:t>10,560</w:t>
            </w: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(441)</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w w:val="79"/>
              </w:rPr>
              <w:t>602</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right"/>
              <w:ind w:right="320"/>
              <w:spacing w:after="0"/>
              <w:rPr>
                <w:sz w:val="20"/>
                <w:szCs w:val="20"/>
                <w:color w:val="auto"/>
              </w:rPr>
            </w:pPr>
            <w:r>
              <w:rPr>
                <w:rFonts w:ascii="Arial" w:cs="Arial" w:eastAsia="Arial" w:hAnsi="Arial"/>
                <w:sz w:val="18"/>
                <w:szCs w:val="18"/>
                <w:color w:val="auto"/>
              </w:rPr>
              <w:t>(565)</w:t>
            </w:r>
          </w:p>
        </w:tc>
        <w:tc>
          <w:tcPr>
            <w:tcW w:w="120" w:type="dxa"/>
            <w:vAlign w:val="bottom"/>
          </w:tcPr>
          <w:p>
            <w:pPr>
              <w:spacing w:after="0"/>
              <w:rPr>
                <w:sz w:val="19"/>
                <w:szCs w:val="19"/>
                <w:color w:val="auto"/>
              </w:rPr>
            </w:pPr>
          </w:p>
        </w:tc>
        <w:tc>
          <w:tcPr>
            <w:tcW w:w="700" w:type="dxa"/>
            <w:vAlign w:val="bottom"/>
            <w:gridSpan w:val="2"/>
          </w:tcPr>
          <w:p>
            <w:pPr>
              <w:jc w:val="right"/>
              <w:ind w:right="260"/>
              <w:spacing w:after="0"/>
              <w:rPr>
                <w:sz w:val="20"/>
                <w:szCs w:val="20"/>
                <w:color w:val="auto"/>
              </w:rPr>
            </w:pPr>
            <w:r>
              <w:rPr>
                <w:rFonts w:ascii="Arial" w:cs="Arial" w:eastAsia="Arial" w:hAnsi="Arial"/>
                <w:sz w:val="18"/>
                <w:szCs w:val="18"/>
                <w:color w:val="auto"/>
                <w:w w:val="93"/>
              </w:rPr>
              <w:t>3,570</w:t>
            </w:r>
          </w:p>
        </w:tc>
        <w:tc>
          <w:tcPr>
            <w:tcW w:w="80" w:type="dxa"/>
            <w:vAlign w:val="bottom"/>
          </w:tcPr>
          <w:p>
            <w:pPr>
              <w:spacing w:after="0"/>
              <w:rPr>
                <w:sz w:val="19"/>
                <w:szCs w:val="19"/>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w w:val="87"/>
              </w:rPr>
              <w:t>(5,356)</w:t>
            </w:r>
          </w:p>
        </w:tc>
        <w:tc>
          <w:tcPr>
            <w:tcW w:w="8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8,370</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(392)</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2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4000" w:type="dxa"/>
            <w:vAlign w:val="bottom"/>
            <w:gridSpan w:val="3"/>
          </w:tcPr>
          <w:p>
            <w:pPr>
              <w:spacing w:after="0"/>
              <w:rPr>
                <w:sz w:val="20"/>
                <w:szCs w:val="20"/>
                <w:color w:val="auto"/>
              </w:rPr>
            </w:pPr>
            <w:r>
              <w:rPr>
                <w:rFonts w:ascii="Arial" w:cs="Arial" w:eastAsia="Arial" w:hAnsi="Arial"/>
                <w:sz w:val="18"/>
                <w:szCs w:val="18"/>
                <w:color w:val="auto"/>
              </w:rPr>
              <w:t>Other invested assets:</w:t>
            </w:r>
          </w:p>
        </w:tc>
        <w:tc>
          <w:tcPr>
            <w:tcW w:w="100" w:type="dxa"/>
            <w:vAlign w:val="bottom"/>
            <w:tcBorders>
              <w:top w:val="single" w:sz="8" w:color="auto"/>
            </w:tcBorders>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Trading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(15)</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54</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(32)</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gridSpan w:val="2"/>
          </w:tcPr>
          <w:p>
            <w:pPr>
              <w:ind w:left="420"/>
              <w:spacing w:after="0"/>
              <w:rPr>
                <w:sz w:val="20"/>
                <w:szCs w:val="20"/>
                <w:color w:val="auto"/>
              </w:rPr>
            </w:pPr>
            <w:r>
              <w:rPr>
                <w:rFonts w:ascii="Arial" w:cs="Arial" w:eastAsia="Arial" w:hAnsi="Arial"/>
                <w:sz w:val="18"/>
                <w:szCs w:val="18"/>
                <w:color w:val="auto"/>
              </w:rPr>
              <w:t>Derivative assets</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933</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(494)</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320"/>
              <w:spacing w:after="0"/>
              <w:rPr>
                <w:sz w:val="20"/>
                <w:szCs w:val="20"/>
                <w:color w:val="auto"/>
              </w:rPr>
            </w:pPr>
            <w:r>
              <w:rPr>
                <w:rFonts w:ascii="Arial" w:cs="Arial" w:eastAsia="Arial" w:hAnsi="Arial"/>
                <w:sz w:val="18"/>
                <w:szCs w:val="18"/>
                <w:color w:val="auto"/>
              </w:rPr>
              <w:t>(175)</w:t>
            </w:r>
          </w:p>
        </w:tc>
        <w:tc>
          <w:tcPr>
            <w:tcW w:w="120" w:type="dxa"/>
            <w:vAlign w:val="bottom"/>
          </w:tcPr>
          <w:p>
            <w:pPr>
              <w:spacing w:after="0"/>
              <w:rPr>
                <w:sz w:val="18"/>
                <w:szCs w:val="18"/>
                <w:color w:val="auto"/>
              </w:rPr>
            </w:pPr>
          </w:p>
        </w:tc>
        <w:tc>
          <w:tcPr>
            <w:tcW w:w="700" w:type="dxa"/>
            <w:vAlign w:val="bottom"/>
            <w:gridSpan w:val="2"/>
          </w:tcPr>
          <w:p>
            <w:pPr>
              <w:jc w:val="right"/>
              <w:ind w:right="260"/>
              <w:spacing w:after="0"/>
              <w:rPr>
                <w:sz w:val="20"/>
                <w:szCs w:val="20"/>
                <w:color w:val="auto"/>
              </w:rPr>
            </w:pPr>
            <w:r>
              <w:rPr>
                <w:rFonts w:ascii="Arial" w:cs="Arial" w:eastAsia="Arial" w:hAnsi="Arial"/>
                <w:sz w:val="18"/>
                <w:szCs w:val="18"/>
                <w:color w:val="auto"/>
              </w:rPr>
              <w:t>22</w:t>
            </w:r>
          </w:p>
        </w:tc>
        <w:tc>
          <w:tcPr>
            <w:tcW w:w="80" w:type="dxa"/>
            <w:vAlign w:val="bottom"/>
          </w:tcPr>
          <w:p>
            <w:pPr>
              <w:spacing w:after="0"/>
              <w:rPr>
                <w:sz w:val="18"/>
                <w:szCs w:val="18"/>
                <w:color w:val="auto"/>
              </w:rPr>
            </w:pPr>
          </w:p>
        </w:tc>
        <w:tc>
          <w:tcPr>
            <w:tcW w:w="8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286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(474)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other invested assets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1,058</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(493)</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(190)</w:t>
            </w: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76</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(32)</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(474)</w:t>
            </w:r>
          </w:p>
        </w:tc>
        <w:tc>
          <w:tcPr>
            <w:tcW w:w="0" w:type="dxa"/>
            <w:vAlign w:val="bottom"/>
          </w:tcPr>
          <w:p>
            <w:pPr>
              <w:spacing w:after="0"/>
              <w:rPr>
                <w:sz w:val="1"/>
                <w:szCs w:val="1"/>
                <w:color w:val="auto"/>
              </w:rPr>
            </w:pPr>
          </w:p>
        </w:tc>
      </w:tr>
      <w:tr>
        <w:trPr>
          <w:trHeight w:val="20"/>
        </w:trPr>
        <w:tc>
          <w:tcPr>
            <w:tcW w:w="4000" w:type="dxa"/>
            <w:vAlign w:val="bottom"/>
            <w:gridSpan w:val="3"/>
            <w:vMerge w:val="restart"/>
          </w:tcPr>
          <w:p>
            <w:pPr>
              <w:spacing w:after="0"/>
              <w:rPr>
                <w:sz w:val="20"/>
                <w:szCs w:val="20"/>
                <w:color w:val="auto"/>
              </w:rPr>
            </w:pPr>
            <w:r>
              <w:rPr>
                <w:rFonts w:ascii="Arial" w:cs="Arial" w:eastAsia="Arial" w:hAnsi="Arial"/>
                <w:sz w:val="18"/>
                <w:szCs w:val="18"/>
                <w:color w:val="auto"/>
              </w:rPr>
              <w:t>Reinsurance recoverable</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000" w:type="dxa"/>
            <w:vAlign w:val="bottom"/>
            <w:gridSpan w:val="3"/>
            <w:vMerge w:val="continue"/>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18</w:t>
            </w: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(17)</w:t>
            </w: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right"/>
              <w:ind w:right="38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19"/>
                <w:szCs w:val="19"/>
                <w:color w:val="auto"/>
              </w:rPr>
            </w:pPr>
          </w:p>
        </w:tc>
        <w:tc>
          <w:tcPr>
            <w:tcW w:w="70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8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2</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2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Level 3 assets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11,696</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(951)</w:t>
            </w:r>
          </w:p>
        </w:tc>
        <w:tc>
          <w:tcPr>
            <w:tcW w:w="2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w w:val="79"/>
              </w:rPr>
              <w:t>602</w:t>
            </w:r>
          </w:p>
        </w:tc>
        <w:tc>
          <w:tcPr>
            <w:tcW w:w="2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(753)</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3"/>
              </w:rPr>
              <w:t>3,646</w:t>
            </w:r>
          </w:p>
        </w:tc>
        <w:tc>
          <w:tcPr>
            <w:tcW w:w="80" w:type="dxa"/>
            <w:vAlign w:val="bottom"/>
            <w:shd w:val="clear" w:color="auto" w:fill="CCEEFF"/>
          </w:tcPr>
          <w:p>
            <w:pPr>
              <w:spacing w:after="0"/>
              <w:rPr>
                <w:sz w:val="20"/>
                <w:szCs w:val="20"/>
                <w:color w:val="auto"/>
              </w:rPr>
            </w:pPr>
            <w:r>
              <w:rPr>
                <w:rFonts w:ascii="Arial" w:cs="Arial" w:eastAsia="Arial" w:hAnsi="Arial"/>
                <w:sz w:val="15"/>
                <w:szCs w:val="15"/>
                <w:u w:val="single" w:color="auto"/>
                <w:color w:val="auto"/>
                <w:w w:val="71"/>
              </w:rPr>
              <w:t>$</w:t>
            </w: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7"/>
              </w:rPr>
              <w:t>(5,388)</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8,852</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(883)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48</w:t>
            </w: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0" w:firstLine="456"/>
        <w:spacing w:after="0" w:line="259" w:lineRule="auto"/>
        <w:rPr>
          <w:sz w:val="20"/>
          <w:szCs w:val="20"/>
          <w:color w:val="auto"/>
        </w:rPr>
      </w:pPr>
      <w:r>
        <w:rPr>
          <w:rFonts w:ascii="Arial" w:cs="Arial" w:eastAsia="Arial" w:hAnsi="Arial"/>
          <w:sz w:val="18"/>
          <w:szCs w:val="18"/>
          <w:color w:val="auto"/>
        </w:rPr>
        <w:t>We review the fair value hierarchy classifications each reporting period. Changes in the observability of the valuation attributes may result in a reclassification of certain financial assets or liabilities. Such reclassifications are reported as transfers in and out of Level 3, or between other levels, at the beginning fair value for the reporting period in which the changes occur.</w:t>
      </w:r>
    </w:p>
    <w:p>
      <w:pPr>
        <w:spacing w:after="0" w:line="140"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 following tables present additional information about liabilities measured at fair value on a recurring basis and for which we have utilized significant unobservable (Level 3) inputs to determine fair value as of or for the dates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gridSpan w:val="4"/>
            <w:vMerge w:val="restart"/>
          </w:tcPr>
          <w:p>
            <w:pPr>
              <w:jc w:val="center"/>
              <w:ind w:left="19"/>
              <w:spacing w:after="0"/>
              <w:rPr>
                <w:sz w:val="20"/>
                <w:szCs w:val="20"/>
                <w:color w:val="auto"/>
              </w:rPr>
            </w:pPr>
            <w:r>
              <w:rPr>
                <w:rFonts w:ascii="Arial" w:cs="Arial" w:eastAsia="Arial" w:hAnsi="Arial"/>
                <w:sz w:val="14"/>
                <w:szCs w:val="14"/>
                <w:b w:val="1"/>
                <w:bCs w:val="1"/>
                <w:color w:val="auto"/>
                <w:w w:val="87"/>
              </w:rPr>
              <w:t>Total realized and</w:t>
            </w:r>
          </w:p>
        </w:tc>
        <w:tc>
          <w:tcPr>
            <w:tcW w:w="3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6"/>
              </w:rPr>
              <w:t>Total (gains)</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4"/>
            <w:vMerge w:val="continue"/>
          </w:tcPr>
          <w:p>
            <w:pPr>
              <w:spacing w:after="0"/>
              <w:rPr>
                <w:sz w:val="11"/>
                <w:szCs w:val="11"/>
                <w:color w:val="auto"/>
              </w:rPr>
            </w:pPr>
          </w:p>
        </w:tc>
        <w:tc>
          <w:tcPr>
            <w:tcW w:w="3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73"/>
              </w:rPr>
              <w:t>losses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20" w:type="dxa"/>
            <w:vAlign w:val="bottom"/>
            <w:gridSpan w:val="4"/>
          </w:tcPr>
          <w:p>
            <w:pPr>
              <w:jc w:val="center"/>
              <w:ind w:left="39"/>
              <w:spacing w:after="0" w:line="149" w:lineRule="exact"/>
              <w:rPr>
                <w:sz w:val="20"/>
                <w:szCs w:val="20"/>
                <w:color w:val="auto"/>
              </w:rPr>
            </w:pPr>
            <w:r>
              <w:rPr>
                <w:rFonts w:ascii="Arial" w:cs="Arial" w:eastAsia="Arial" w:hAnsi="Arial"/>
                <w:sz w:val="14"/>
                <w:szCs w:val="14"/>
                <w:b w:val="1"/>
                <w:bCs w:val="1"/>
                <w:color w:val="auto"/>
                <w:w w:val="85"/>
              </w:rPr>
              <w:t>unrealized (gains)</w:t>
            </w:r>
          </w:p>
        </w:tc>
        <w:tc>
          <w:tcPr>
            <w:tcW w:w="3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4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2"/>
              </w:rPr>
              <w:t>Purchases,</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included in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920" w:type="dxa"/>
            <w:vAlign w:val="bottom"/>
            <w:gridSpan w:val="3"/>
          </w:tcPr>
          <w:p>
            <w:pPr>
              <w:jc w:val="center"/>
              <w:ind w:right="320"/>
              <w:spacing w:after="0"/>
              <w:rPr>
                <w:sz w:val="20"/>
                <w:szCs w:val="20"/>
                <w:color w:val="auto"/>
              </w:rPr>
            </w:pPr>
            <w:r>
              <w:rPr>
                <w:rFonts w:ascii="Arial" w:cs="Arial" w:eastAsia="Arial" w:hAnsi="Arial"/>
                <w:sz w:val="14"/>
                <w:szCs w:val="14"/>
                <w:b w:val="1"/>
                <w:bCs w:val="1"/>
                <w:color w:val="auto"/>
                <w:w w:val="87"/>
              </w:rPr>
              <w:t>Beginning</w:t>
            </w:r>
          </w:p>
        </w:tc>
        <w:tc>
          <w:tcPr>
            <w:tcW w:w="1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2"/>
          </w:tcPr>
          <w:p>
            <w:pPr>
              <w:jc w:val="center"/>
              <w:ind w:left="319"/>
              <w:spacing w:after="0"/>
              <w:rPr>
                <w:sz w:val="20"/>
                <w:szCs w:val="20"/>
                <w:color w:val="auto"/>
              </w:rPr>
            </w:pPr>
            <w:r>
              <w:rPr>
                <w:rFonts w:ascii="Arial" w:cs="Arial" w:eastAsia="Arial" w:hAnsi="Arial"/>
                <w:sz w:val="14"/>
                <w:szCs w:val="14"/>
                <w:b w:val="1"/>
                <w:bCs w:val="1"/>
                <w:color w:val="auto"/>
                <w:w w:val="73"/>
              </w:rPr>
              <w:t>losses</w:t>
            </w: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76"/>
              </w:rPr>
              <w:t>sales,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Ending</w:t>
            </w:r>
          </w:p>
        </w:tc>
        <w:tc>
          <w:tcPr>
            <w:tcW w:w="340" w:type="dxa"/>
            <w:vAlign w:val="bottom"/>
          </w:tcPr>
          <w:p>
            <w:pPr>
              <w:spacing w:after="0"/>
              <w:rPr>
                <w:sz w:val="14"/>
                <w:szCs w:val="14"/>
                <w:color w:val="auto"/>
              </w:rPr>
            </w:pPr>
          </w:p>
        </w:tc>
        <w:tc>
          <w:tcPr>
            <w:tcW w:w="8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6"/>
              </w:rPr>
              <w:t>net (income)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920" w:type="dxa"/>
            <w:vAlign w:val="bottom"/>
            <w:gridSpan w:val="3"/>
          </w:tcPr>
          <w:p>
            <w:pPr>
              <w:jc w:val="center"/>
              <w:ind w:right="320"/>
              <w:spacing w:after="0" w:line="129" w:lineRule="exact"/>
              <w:rPr>
                <w:sz w:val="20"/>
                <w:szCs w:val="20"/>
                <w:color w:val="auto"/>
              </w:rPr>
            </w:pPr>
            <w:r>
              <w:rPr>
                <w:rFonts w:ascii="Arial" w:cs="Arial" w:eastAsia="Arial" w:hAnsi="Arial"/>
                <w:sz w:val="14"/>
                <w:szCs w:val="14"/>
                <w:b w:val="1"/>
                <w:bCs w:val="1"/>
                <w:color w:val="auto"/>
                <w:w w:val="84"/>
              </w:rPr>
              <w:t>balance</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3"/>
          </w:tcPr>
          <w:p>
            <w:pPr>
              <w:jc w:val="center"/>
              <w:ind w:right="440"/>
              <w:spacing w:after="0" w:line="129" w:lineRule="exact"/>
              <w:rPr>
                <w:sz w:val="20"/>
                <w:szCs w:val="20"/>
                <w:color w:val="auto"/>
              </w:rPr>
            </w:pPr>
            <w:r>
              <w:rPr>
                <w:rFonts w:ascii="Arial" w:cs="Arial" w:eastAsia="Arial" w:hAnsi="Arial"/>
                <w:sz w:val="14"/>
                <w:szCs w:val="14"/>
                <w:b w:val="1"/>
                <w:bCs w:val="1"/>
                <w:color w:val="auto"/>
                <w:w w:val="79"/>
              </w:rPr>
              <w:t>issuances</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4"/>
              </w:rPr>
              <w:t>balance</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tcPr>
          <w:p>
            <w:pPr>
              <w:jc w:val="center"/>
              <w:ind w:right="200"/>
              <w:spacing w:after="0" w:line="129" w:lineRule="exact"/>
              <w:rPr>
                <w:sz w:val="20"/>
                <w:szCs w:val="20"/>
                <w:color w:val="auto"/>
              </w:rPr>
            </w:pPr>
            <w:r>
              <w:rPr>
                <w:rFonts w:ascii="Arial" w:cs="Arial" w:eastAsia="Arial" w:hAnsi="Arial"/>
                <w:sz w:val="14"/>
                <w:szCs w:val="14"/>
                <w:b w:val="1"/>
                <w:bCs w:val="1"/>
                <w:color w:val="auto"/>
                <w:w w:val="78"/>
              </w:rPr>
              <w:t>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as of</w:t>
            </w:r>
          </w:p>
        </w:tc>
        <w:tc>
          <w:tcPr>
            <w:tcW w:w="1100" w:type="dxa"/>
            <w:vAlign w:val="bottom"/>
            <w:gridSpan w:val="3"/>
          </w:tcPr>
          <w:p>
            <w:pPr>
              <w:ind w:left="40"/>
              <w:spacing w:after="0" w:line="149" w:lineRule="exact"/>
              <w:rPr>
                <w:sz w:val="20"/>
                <w:szCs w:val="20"/>
                <w:color w:val="auto"/>
              </w:rPr>
            </w:pPr>
            <w:r>
              <w:rPr>
                <w:rFonts w:ascii="Arial" w:cs="Arial" w:eastAsia="Arial" w:hAnsi="Arial"/>
                <w:sz w:val="14"/>
                <w:szCs w:val="14"/>
                <w:b w:val="1"/>
                <w:bCs w:val="1"/>
                <w:color w:val="auto"/>
              </w:rPr>
              <w:t>Included in</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580"/>
              <w:spacing w:after="0" w:line="149" w:lineRule="exact"/>
              <w:rPr>
                <w:sz w:val="20"/>
                <w:szCs w:val="20"/>
                <w:color w:val="auto"/>
              </w:rPr>
            </w:pPr>
            <w:r>
              <w:rPr>
                <w:rFonts w:ascii="Arial" w:cs="Arial" w:eastAsia="Arial" w:hAnsi="Arial"/>
                <w:sz w:val="14"/>
                <w:szCs w:val="14"/>
                <w:b w:val="1"/>
                <w:bCs w:val="1"/>
                <w:color w:val="auto"/>
                <w:w w:val="88"/>
              </w:rPr>
              <w:t>and</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85"/>
              </w:rPr>
              <w:t>Transfer</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jc w:val="center"/>
              <w:ind w:right="16"/>
              <w:spacing w:after="0" w:line="149" w:lineRule="exact"/>
              <w:rPr>
                <w:sz w:val="20"/>
                <w:szCs w:val="20"/>
                <w:color w:val="auto"/>
              </w:rPr>
            </w:pPr>
            <w:r>
              <w:rPr>
                <w:rFonts w:ascii="Arial" w:cs="Arial" w:eastAsia="Arial" w:hAnsi="Arial"/>
                <w:sz w:val="14"/>
                <w:szCs w:val="14"/>
                <w:b w:val="1"/>
                <w:bCs w:val="1"/>
                <w:color w:val="auto"/>
                <w:w w:val="85"/>
              </w:rPr>
              <w:t>as of</w:t>
            </w:r>
          </w:p>
        </w:tc>
        <w:tc>
          <w:tcPr>
            <w:tcW w:w="340" w:type="dxa"/>
            <w:vAlign w:val="bottom"/>
          </w:tcPr>
          <w:p>
            <w:pPr>
              <w:spacing w:after="0"/>
              <w:rPr>
                <w:sz w:val="12"/>
                <w:szCs w:val="12"/>
                <w:color w:val="auto"/>
              </w:rPr>
            </w:pPr>
          </w:p>
        </w:tc>
        <w:tc>
          <w:tcPr>
            <w:tcW w:w="8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attributable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92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April 1,</w:t>
            </w:r>
          </w:p>
        </w:tc>
        <w:tc>
          <w:tcPr>
            <w:tcW w:w="110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net (income)</w:t>
            </w:r>
          </w:p>
        </w:tc>
        <w:tc>
          <w:tcPr>
            <w:tcW w:w="80" w:type="dxa"/>
            <w:vAlign w:val="bottom"/>
          </w:tcPr>
          <w:p>
            <w:pPr>
              <w:spacing w:after="0"/>
              <w:rPr>
                <w:sz w:val="12"/>
                <w:szCs w:val="12"/>
                <w:color w:val="auto"/>
              </w:rPr>
            </w:pPr>
          </w:p>
        </w:tc>
        <w:tc>
          <w:tcPr>
            <w:tcW w:w="5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6"/>
              </w:rPr>
              <w:t>Included</w:t>
            </w:r>
          </w:p>
        </w:tc>
        <w:tc>
          <w:tcPr>
            <w:tcW w:w="320" w:type="dxa"/>
            <w:vAlign w:val="bottom"/>
          </w:tcPr>
          <w:p>
            <w:pPr>
              <w:spacing w:after="0"/>
              <w:rPr>
                <w:sz w:val="12"/>
                <w:szCs w:val="12"/>
                <w:color w:val="auto"/>
              </w:rPr>
            </w:pPr>
          </w:p>
        </w:tc>
        <w:tc>
          <w:tcPr>
            <w:tcW w:w="114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83"/>
              </w:rPr>
              <w:t>settlements,</w:t>
            </w:r>
          </w:p>
        </w:tc>
        <w:tc>
          <w:tcPr>
            <w:tcW w:w="58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2"/>
              </w:rPr>
              <w:t>Transfer</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2"/>
              </w:rPr>
              <w:t>out of</w:t>
            </w:r>
          </w:p>
        </w:tc>
        <w:tc>
          <w:tcPr>
            <w:tcW w:w="340" w:type="dxa"/>
            <w:vAlign w:val="bottom"/>
          </w:tcPr>
          <w:p>
            <w:pPr>
              <w:spacing w:after="0"/>
              <w:rPr>
                <w:sz w:val="12"/>
                <w:szCs w:val="12"/>
                <w:color w:val="auto"/>
              </w:rPr>
            </w:pPr>
          </w:p>
        </w:tc>
        <w:tc>
          <w:tcPr>
            <w:tcW w:w="4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June 30,</w:t>
            </w:r>
          </w:p>
        </w:tc>
        <w:tc>
          <w:tcPr>
            <w:tcW w:w="340" w:type="dxa"/>
            <w:vAlign w:val="bottom"/>
          </w:tcPr>
          <w:p>
            <w:pPr>
              <w:spacing w:after="0"/>
              <w:rPr>
                <w:sz w:val="12"/>
                <w:szCs w:val="12"/>
                <w:color w:val="auto"/>
              </w:rPr>
            </w:pPr>
          </w:p>
        </w:tc>
        <w:tc>
          <w:tcPr>
            <w:tcW w:w="8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to liabilities</w:t>
            </w:r>
          </w:p>
        </w:tc>
        <w:tc>
          <w:tcPr>
            <w:tcW w:w="0" w:type="dxa"/>
            <w:vAlign w:val="bottom"/>
          </w:tcPr>
          <w:p>
            <w:pPr>
              <w:spacing w:after="0"/>
              <w:rPr>
                <w:sz w:val="1"/>
                <w:szCs w:val="1"/>
                <w:color w:val="auto"/>
              </w:rPr>
            </w:pPr>
          </w:p>
        </w:tc>
      </w:tr>
      <w:tr>
        <w:trPr>
          <w:trHeight w:val="161"/>
        </w:trPr>
        <w:tc>
          <w:tcPr>
            <w:tcW w:w="3920" w:type="dxa"/>
            <w:vAlign w:val="bottom"/>
            <w:gridSpan w:val="4"/>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Pr>
          <w:p>
            <w:pPr>
              <w:spacing w:after="0"/>
              <w:rPr>
                <w:sz w:val="14"/>
                <w:szCs w:val="14"/>
                <w:color w:val="auto"/>
              </w:rPr>
            </w:pPr>
          </w:p>
        </w:tc>
        <w:tc>
          <w:tcPr>
            <w:tcW w:w="480" w:type="dxa"/>
            <w:vAlign w:val="bottom"/>
          </w:tcPr>
          <w:p>
            <w:pPr>
              <w:jc w:val="center"/>
              <w:ind w:right="36"/>
              <w:spacing w:after="0"/>
              <w:rPr>
                <w:sz w:val="20"/>
                <w:szCs w:val="20"/>
                <w:color w:val="auto"/>
              </w:rPr>
            </w:pPr>
            <w:r>
              <w:rPr>
                <w:rFonts w:ascii="Arial" w:cs="Arial" w:eastAsia="Arial" w:hAnsi="Arial"/>
                <w:sz w:val="14"/>
                <w:szCs w:val="14"/>
                <w:b w:val="1"/>
                <w:bCs w:val="1"/>
                <w:color w:val="auto"/>
                <w:w w:val="89"/>
              </w:rPr>
              <w:t>2010</w:t>
            </w: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w w:val="99"/>
              </w:rPr>
              <w:t>loss</w:t>
            </w:r>
          </w:p>
        </w:tc>
        <w:tc>
          <w:tcPr>
            <w:tcW w:w="80" w:type="dxa"/>
            <w:vAlign w:val="bottom"/>
          </w:tcPr>
          <w:p>
            <w:pPr>
              <w:spacing w:after="0"/>
              <w:rPr>
                <w:sz w:val="14"/>
                <w:szCs w:val="14"/>
                <w:color w:val="auto"/>
              </w:rPr>
            </w:pPr>
          </w:p>
        </w:tc>
        <w:tc>
          <w:tcPr>
            <w:tcW w:w="520" w:type="dxa"/>
            <w:vAlign w:val="bottom"/>
            <w:gridSpan w:val="2"/>
          </w:tcPr>
          <w:p>
            <w:pPr>
              <w:ind w:left="60"/>
              <w:spacing w:after="0"/>
              <w:rPr>
                <w:sz w:val="20"/>
                <w:szCs w:val="20"/>
                <w:color w:val="auto"/>
              </w:rPr>
            </w:pPr>
            <w:r>
              <w:rPr>
                <w:rFonts w:ascii="Arial" w:cs="Arial" w:eastAsia="Arial" w:hAnsi="Arial"/>
                <w:sz w:val="14"/>
                <w:szCs w:val="14"/>
                <w:b w:val="1"/>
                <w:bCs w:val="1"/>
                <w:color w:val="auto"/>
              </w:rPr>
              <w:t>in OCI</w:t>
            </w: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85"/>
              </w:rPr>
              <w:t>net</w:t>
            </w:r>
          </w:p>
        </w:tc>
        <w:tc>
          <w:tcPr>
            <w:tcW w:w="580" w:type="dxa"/>
            <w:vAlign w:val="bottom"/>
            <w:gridSpan w:val="2"/>
          </w:tcPr>
          <w:p>
            <w:pPr>
              <w:spacing w:after="0"/>
              <w:rPr>
                <w:sz w:val="20"/>
                <w:szCs w:val="20"/>
                <w:color w:val="auto"/>
              </w:rPr>
            </w:pPr>
            <w:r>
              <w:rPr>
                <w:rFonts w:ascii="Arial" w:cs="Arial" w:eastAsia="Arial" w:hAnsi="Arial"/>
                <w:sz w:val="14"/>
                <w:szCs w:val="14"/>
                <w:b w:val="1"/>
                <w:bCs w:val="1"/>
                <w:color w:val="auto"/>
                <w:w w:val="87"/>
              </w:rPr>
              <w:t>in Level 3</w:t>
            </w:r>
          </w:p>
        </w:tc>
        <w:tc>
          <w:tcPr>
            <w:tcW w:w="320" w:type="dxa"/>
            <w:vAlign w:val="bottom"/>
          </w:tcPr>
          <w:p>
            <w:pPr>
              <w:spacing w:after="0"/>
              <w:rPr>
                <w:sz w:val="14"/>
                <w:szCs w:val="14"/>
                <w:color w:val="auto"/>
              </w:rPr>
            </w:pPr>
          </w:p>
        </w:tc>
        <w:tc>
          <w:tcPr>
            <w:tcW w:w="520" w:type="dxa"/>
            <w:vAlign w:val="bottom"/>
            <w:gridSpan w:val="2"/>
          </w:tcPr>
          <w:p>
            <w:pPr>
              <w:jc w:val="right"/>
              <w:spacing w:after="0"/>
              <w:rPr>
                <w:sz w:val="20"/>
                <w:szCs w:val="20"/>
                <w:color w:val="auto"/>
              </w:rPr>
            </w:pPr>
            <w:r>
              <w:rPr>
                <w:rFonts w:ascii="Arial" w:cs="Arial" w:eastAsia="Arial" w:hAnsi="Arial"/>
                <w:sz w:val="14"/>
                <w:szCs w:val="14"/>
                <w:b w:val="1"/>
                <w:bCs w:val="1"/>
                <w:color w:val="auto"/>
                <w:w w:val="96"/>
              </w:rPr>
              <w:t>Level 3</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Pr>
          <w:p>
            <w:pPr>
              <w:jc w:val="center"/>
              <w:ind w:right="16"/>
              <w:spacing w:after="0"/>
              <w:rPr>
                <w:sz w:val="20"/>
                <w:szCs w:val="20"/>
                <w:color w:val="auto"/>
              </w:rPr>
            </w:pPr>
            <w:r>
              <w:rPr>
                <w:rFonts w:ascii="Arial" w:cs="Arial" w:eastAsia="Arial" w:hAnsi="Arial"/>
                <w:sz w:val="14"/>
                <w:szCs w:val="14"/>
                <w:b w:val="1"/>
                <w:bCs w:val="1"/>
                <w:color w:val="auto"/>
                <w:w w:val="89"/>
              </w:rPr>
              <w:t>2010</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7"/>
              </w:rPr>
              <w:t>still held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90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color w:val="auto"/>
              </w:rPr>
              <w:t>Policyholder account</w:t>
            </w:r>
          </w:p>
        </w:tc>
        <w:tc>
          <w:tcPr>
            <w:tcW w:w="1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900" w:type="dxa"/>
            <w:vAlign w:val="bottom"/>
            <w:gridSpan w:val="3"/>
            <w:shd w:val="clear" w:color="auto" w:fill="CCEEFF"/>
          </w:tcPr>
          <w:p>
            <w:pPr>
              <w:ind w:left="200"/>
              <w:spacing w:after="0"/>
              <w:rPr>
                <w:sz w:val="20"/>
                <w:szCs w:val="20"/>
                <w:color w:val="auto"/>
              </w:rPr>
            </w:pPr>
            <w:r>
              <w:rPr>
                <w:rFonts w:ascii="Arial" w:cs="Arial" w:eastAsia="Arial" w:hAnsi="Arial"/>
                <w:sz w:val="18"/>
                <w:szCs w:val="18"/>
                <w:color w:val="auto"/>
              </w:rPr>
              <w:t xml:space="preserve">balances </w:t>
            </w:r>
            <w:r>
              <w:rPr>
                <w:rFonts w:ascii="Arial" w:cs="Arial" w:eastAsia="Arial" w:hAnsi="Arial"/>
                <w:sz w:val="11"/>
                <w:szCs w:val="11"/>
                <w:color w:val="auto"/>
              </w:rPr>
              <w:t>(1)</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145</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294</w:t>
            </w:r>
          </w:p>
        </w:tc>
        <w:tc>
          <w:tcPr>
            <w:tcW w:w="3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4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79"/>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447</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3"/>
          </w:tcPr>
          <w:p>
            <w:pPr>
              <w:spacing w:after="0"/>
              <w:rPr>
                <w:sz w:val="20"/>
                <w:szCs w:val="20"/>
                <w:color w:val="auto"/>
              </w:rPr>
            </w:pPr>
            <w:r>
              <w:rPr>
                <w:rFonts w:ascii="Arial" w:cs="Arial" w:eastAsia="Arial" w:hAnsi="Arial"/>
                <w:sz w:val="18"/>
                <w:szCs w:val="18"/>
                <w:color w:val="auto"/>
              </w:rPr>
              <w:t>Derivative liabilities:</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Interest rate swaptions</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18</w:t>
            </w: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w:t>
            </w: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3"/>
          </w:tcPr>
          <w:p>
            <w:pPr>
              <w:ind w:left="420"/>
              <w:spacing w:after="0"/>
              <w:rPr>
                <w:sz w:val="20"/>
                <w:szCs w:val="20"/>
                <w:color w:val="auto"/>
              </w:rPr>
            </w:pPr>
            <w:r>
              <w:rPr>
                <w:rFonts w:ascii="Arial" w:cs="Arial" w:eastAsia="Arial" w:hAnsi="Arial"/>
                <w:sz w:val="18"/>
                <w:szCs w:val="18"/>
                <w:color w:val="auto"/>
              </w:rPr>
              <w:t>Credit default swaps</w:t>
            </w:r>
          </w:p>
        </w:tc>
        <w:tc>
          <w:tcPr>
            <w:tcW w:w="120" w:type="dxa"/>
            <w:vAlign w:val="bottom"/>
          </w:tcPr>
          <w:p>
            <w:pPr>
              <w:spacing w:after="0"/>
              <w:rPr>
                <w:sz w:val="18"/>
                <w:szCs w:val="18"/>
                <w:color w:val="auto"/>
              </w:rPr>
            </w:pPr>
          </w:p>
        </w:tc>
        <w:tc>
          <w:tcPr>
            <w:tcW w:w="800" w:type="dxa"/>
            <w:vAlign w:val="bottom"/>
            <w:gridSpan w:val="2"/>
          </w:tcPr>
          <w:p>
            <w:pPr>
              <w:jc w:val="right"/>
              <w:ind w:right="320"/>
              <w:spacing w:after="0"/>
              <w:rPr>
                <w:sz w:val="20"/>
                <w:szCs w:val="20"/>
                <w:color w:val="auto"/>
              </w:rPr>
            </w:pPr>
            <w:r>
              <w:rPr>
                <w:rFonts w:ascii="Arial" w:cs="Arial" w:eastAsia="Arial" w:hAnsi="Arial"/>
                <w:sz w:val="18"/>
                <w:szCs w:val="18"/>
                <w:color w:val="auto"/>
              </w:rPr>
              <w:t>1</w:t>
            </w:r>
          </w:p>
        </w:tc>
        <w:tc>
          <w:tcPr>
            <w:tcW w:w="18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25</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ind w:left="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380" w:type="dxa"/>
            <w:vAlign w:val="bottom"/>
          </w:tcPr>
          <w:p>
            <w:pPr>
              <w:ind w:left="10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26</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90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w w:val="97"/>
              </w:rPr>
              <w:t>Credit default swaps related to securitization</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900" w:type="dxa"/>
            <w:vAlign w:val="bottom"/>
            <w:gridSpan w:val="3"/>
            <w:shd w:val="clear" w:color="auto" w:fill="CCEEFF"/>
          </w:tcPr>
          <w:p>
            <w:pPr>
              <w:ind w:left="640"/>
              <w:spacing w:after="0"/>
              <w:rPr>
                <w:sz w:val="20"/>
                <w:szCs w:val="20"/>
                <w:color w:val="auto"/>
              </w:rPr>
            </w:pPr>
            <w:r>
              <w:rPr>
                <w:rFonts w:ascii="Arial" w:cs="Arial" w:eastAsia="Arial" w:hAnsi="Arial"/>
                <w:sz w:val="18"/>
                <w:szCs w:val="18"/>
                <w:color w:val="auto"/>
              </w:rPr>
              <w:t xml:space="preserve">entities </w:t>
            </w:r>
            <w:r>
              <w:rPr>
                <w:rFonts w:ascii="Arial" w:cs="Arial" w:eastAsia="Arial" w:hAnsi="Arial"/>
                <w:sz w:val="11"/>
                <w:szCs w:val="11"/>
                <w:color w:val="auto"/>
              </w:rPr>
              <w:t>(2)</w:t>
            </w:r>
          </w:p>
        </w:tc>
        <w:tc>
          <w:tcPr>
            <w:tcW w:w="12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118</w:t>
            </w:r>
          </w:p>
        </w:tc>
        <w:tc>
          <w:tcPr>
            <w:tcW w:w="18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46</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w:t>
            </w:r>
          </w:p>
        </w:tc>
        <w:tc>
          <w:tcPr>
            <w:tcW w:w="200" w:type="dxa"/>
            <w:vAlign w:val="bottom"/>
            <w:shd w:val="clear" w:color="auto" w:fill="CCEEFF"/>
          </w:tcPr>
          <w:p>
            <w:pPr>
              <w:spacing w:after="0"/>
              <w:rPr>
                <w:sz w:val="19"/>
                <w:szCs w:val="19"/>
                <w:color w:val="auto"/>
              </w:rPr>
            </w:pPr>
          </w:p>
        </w:tc>
        <w:tc>
          <w:tcPr>
            <w:tcW w:w="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w:t>
            </w:r>
          </w:p>
        </w:tc>
        <w:tc>
          <w:tcPr>
            <w:tcW w:w="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3"/>
          </w:tcPr>
          <w:p>
            <w:pPr>
              <w:ind w:left="420"/>
              <w:spacing w:after="0"/>
              <w:rPr>
                <w:sz w:val="20"/>
                <w:szCs w:val="20"/>
                <w:color w:val="auto"/>
              </w:rPr>
            </w:pPr>
            <w:r>
              <w:rPr>
                <w:rFonts w:ascii="Arial" w:cs="Arial" w:eastAsia="Arial" w:hAnsi="Arial"/>
                <w:sz w:val="18"/>
                <w:szCs w:val="18"/>
                <w:color w:val="auto"/>
              </w:rPr>
              <w:t>Equity index options</w:t>
            </w: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4</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ind w:left="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8"/>
                <w:szCs w:val="18"/>
                <w:color w:val="auto"/>
              </w:rPr>
            </w:pPr>
          </w:p>
        </w:tc>
        <w:tc>
          <w:tcPr>
            <w:tcW w:w="380" w:type="dxa"/>
            <w:vAlign w:val="bottom"/>
          </w:tcPr>
          <w:p>
            <w:pPr>
              <w:ind w:left="10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5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Total derivative liabilities</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(14)</w:t>
            </w: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3"/>
          </w:tcPr>
          <w:p>
            <w:pPr>
              <w:spacing w:after="0"/>
              <w:rPr>
                <w:sz w:val="20"/>
                <w:szCs w:val="20"/>
                <w:color w:val="auto"/>
              </w:rPr>
            </w:pPr>
            <w:r>
              <w:rPr>
                <w:rFonts w:ascii="Arial" w:cs="Arial" w:eastAsia="Arial" w:hAnsi="Arial"/>
                <w:sz w:val="18"/>
                <w:szCs w:val="18"/>
                <w:color w:val="auto"/>
              </w:rPr>
              <w:t xml:space="preserve">Borrowings related to securitization entities </w:t>
            </w:r>
            <w:r>
              <w:rPr>
                <w:rFonts w:ascii="Arial" w:cs="Arial" w:eastAsia="Arial" w:hAnsi="Arial"/>
                <w:sz w:val="11"/>
                <w:szCs w:val="11"/>
                <w:color w:val="auto"/>
              </w:rPr>
              <w:t>(2)</w:t>
            </w: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58</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(7)</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ind w:left="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380" w:type="dxa"/>
            <w:vAlign w:val="bottom"/>
          </w:tcPr>
          <w:p>
            <w:pPr>
              <w:ind w:left="10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51</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5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Level 3 liabilities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344</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w:t>
            </w:r>
          </w:p>
        </w:tc>
        <w:tc>
          <w:tcPr>
            <w:tcW w:w="3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(6)</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79"/>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683</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180" w:type="dxa"/>
            <w:vAlign w:val="bottom"/>
          </w:tcPr>
          <w:p>
            <w:pPr>
              <w:spacing w:after="0"/>
              <w:rPr>
                <w:sz w:val="8"/>
                <w:szCs w:val="8"/>
                <w:color w:val="auto"/>
              </w:rPr>
            </w:pPr>
          </w:p>
        </w:tc>
        <w:tc>
          <w:tcPr>
            <w:tcW w:w="2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3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56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spacing w:after="0"/>
        <w:tabs>
          <w:tab w:leader="none" w:pos="440" w:val="left"/>
        </w:tabs>
        <w:rPr>
          <w:sz w:val="20"/>
          <w:szCs w:val="20"/>
          <w:color w:val="auto"/>
        </w:rPr>
      </w:pPr>
      <w:r>
        <w:rPr>
          <w:rFonts w:ascii="Arial" w:cs="Arial" w:eastAsia="Arial" w:hAnsi="Arial"/>
          <w:sz w:val="11"/>
          <w:szCs w:val="11"/>
          <w:color w:val="auto"/>
        </w:rPr>
        <w:t>( 1 )</w:t>
      </w:r>
      <w:r>
        <w:rPr>
          <w:sz w:val="20"/>
          <w:szCs w:val="20"/>
          <w:color w:val="auto"/>
        </w:rPr>
        <w:tab/>
      </w:r>
      <w:r>
        <w:rPr>
          <w:rFonts w:ascii="Arial" w:cs="Arial" w:eastAsia="Arial" w:hAnsi="Arial"/>
          <w:sz w:val="15"/>
          <w:szCs w:val="15"/>
          <w:color w:val="auto"/>
        </w:rPr>
        <w:t>Represents embedded derivatives associated with our GMWB liabilities, excluding the impact of reinsurance.</w:t>
      </w:r>
    </w:p>
    <w:p>
      <w:pPr>
        <w:spacing w:after="0" w:line="44" w:lineRule="exact"/>
        <w:rPr>
          <w:sz w:val="20"/>
          <w:szCs w:val="20"/>
          <w:color w:val="auto"/>
        </w:rPr>
      </w:pPr>
    </w:p>
    <w:p>
      <w:pPr>
        <w:ind w:left="460" w:right="900" w:hanging="452"/>
        <w:spacing w:after="0" w:line="228" w:lineRule="auto"/>
        <w:tabs>
          <w:tab w:leader="none" w:pos="460" w:val="left"/>
        </w:tabs>
        <w:numPr>
          <w:ilvl w:val="0"/>
          <w:numId w:val="29"/>
        </w:numPr>
        <w:rPr>
          <w:rFonts w:ascii="Arial" w:cs="Arial" w:eastAsia="Arial" w:hAnsi="Arial"/>
          <w:sz w:val="22"/>
          <w:szCs w:val="22"/>
          <w:color w:val="auto"/>
          <w:vertAlign w:val="superscript"/>
        </w:rPr>
      </w:pPr>
      <w:r>
        <w:rPr>
          <w:rFonts w:ascii="Arial" w:cs="Arial" w:eastAsia="Arial" w:hAnsi="Arial"/>
          <w:sz w:val="18"/>
          <w:szCs w:val="18"/>
          <w:color w:val="auto"/>
        </w:rPr>
        <w:t>Relates to the consolidation of certain securitization entities as of January 1, 2010. See note 7 for additional information related to consolidated securitization entities.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gridSpan w:val="4"/>
            <w:vMerge w:val="restart"/>
          </w:tcPr>
          <w:p>
            <w:pPr>
              <w:jc w:val="center"/>
              <w:ind w:left="22"/>
              <w:spacing w:after="0"/>
              <w:rPr>
                <w:sz w:val="20"/>
                <w:szCs w:val="20"/>
                <w:color w:val="auto"/>
              </w:rPr>
            </w:pPr>
            <w:r>
              <w:rPr>
                <w:rFonts w:ascii="Arial" w:cs="Arial" w:eastAsia="Arial" w:hAnsi="Arial"/>
                <w:sz w:val="14"/>
                <w:szCs w:val="14"/>
                <w:b w:val="1"/>
                <w:bCs w:val="1"/>
                <w:color w:val="auto"/>
                <w:w w:val="87"/>
              </w:rPr>
              <w:t>Total realized and</w:t>
            </w: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6"/>
              </w:rPr>
              <w:t>Total (gains)</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80" w:type="dxa"/>
            <w:vAlign w:val="bottom"/>
            <w:gridSpan w:val="4"/>
            <w:vMerge w:val="continue"/>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73"/>
              </w:rPr>
              <w:t>losses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gridSpan w:val="4"/>
          </w:tcPr>
          <w:p>
            <w:pPr>
              <w:jc w:val="center"/>
              <w:ind w:left="22"/>
              <w:spacing w:after="0" w:line="149" w:lineRule="exact"/>
              <w:rPr>
                <w:sz w:val="20"/>
                <w:szCs w:val="20"/>
                <w:color w:val="auto"/>
              </w:rPr>
            </w:pPr>
            <w:r>
              <w:rPr>
                <w:rFonts w:ascii="Arial" w:cs="Arial" w:eastAsia="Arial" w:hAnsi="Arial"/>
                <w:sz w:val="14"/>
                <w:szCs w:val="14"/>
                <w:b w:val="1"/>
                <w:bCs w:val="1"/>
                <w:color w:val="auto"/>
                <w:w w:val="87"/>
              </w:rPr>
              <w:t>unrealized (gains)</w:t>
            </w:r>
          </w:p>
        </w:tc>
        <w:tc>
          <w:tcPr>
            <w:tcW w:w="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82"/>
              </w:rPr>
              <w:t>Purchases,</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included in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74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87"/>
              </w:rPr>
              <w:t>Beginning</w:t>
            </w:r>
          </w:p>
        </w:tc>
        <w:tc>
          <w:tcPr>
            <w:tcW w:w="1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tcPr>
          <w:p>
            <w:pPr>
              <w:jc w:val="center"/>
              <w:ind w:left="342"/>
              <w:spacing w:after="0"/>
              <w:rPr>
                <w:sz w:val="20"/>
                <w:szCs w:val="20"/>
                <w:color w:val="auto"/>
              </w:rPr>
            </w:pPr>
            <w:r>
              <w:rPr>
                <w:rFonts w:ascii="Arial" w:cs="Arial" w:eastAsia="Arial" w:hAnsi="Arial"/>
                <w:sz w:val="14"/>
                <w:szCs w:val="14"/>
                <w:b w:val="1"/>
                <w:bCs w:val="1"/>
                <w:color w:val="auto"/>
                <w:w w:val="73"/>
              </w:rPr>
              <w:t>losses</w:t>
            </w: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76"/>
              </w:rPr>
              <w:t>sales,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8"/>
              </w:rPr>
              <w:t>Ending</w:t>
            </w:r>
          </w:p>
        </w:tc>
        <w:tc>
          <w:tcPr>
            <w:tcW w:w="140" w:type="dxa"/>
            <w:vAlign w:val="bottom"/>
          </w:tcPr>
          <w:p>
            <w:pPr>
              <w:spacing w:after="0"/>
              <w:rPr>
                <w:sz w:val="14"/>
                <w:szCs w:val="14"/>
                <w:color w:val="auto"/>
              </w:rPr>
            </w:pPr>
          </w:p>
        </w:tc>
        <w:tc>
          <w:tcPr>
            <w:tcW w:w="8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6"/>
              </w:rPr>
              <w:t>net (income)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040" w:type="dxa"/>
            <w:vAlign w:val="bottom"/>
          </w:tcPr>
          <w:p>
            <w:pPr>
              <w:spacing w:after="0"/>
              <w:rPr>
                <w:sz w:val="11"/>
                <w:szCs w:val="11"/>
                <w:color w:val="auto"/>
              </w:rPr>
            </w:pPr>
          </w:p>
        </w:tc>
        <w:tc>
          <w:tcPr>
            <w:tcW w:w="740" w:type="dxa"/>
            <w:vAlign w:val="bottom"/>
            <w:gridSpan w:val="3"/>
          </w:tcPr>
          <w:p>
            <w:pPr>
              <w:jc w:val="center"/>
              <w:ind w:right="140"/>
              <w:spacing w:after="0" w:line="129" w:lineRule="exact"/>
              <w:rPr>
                <w:sz w:val="20"/>
                <w:szCs w:val="20"/>
                <w:color w:val="auto"/>
              </w:rPr>
            </w:pPr>
            <w:r>
              <w:rPr>
                <w:rFonts w:ascii="Arial" w:cs="Arial" w:eastAsia="Arial" w:hAnsi="Arial"/>
                <w:sz w:val="14"/>
                <w:szCs w:val="14"/>
                <w:b w:val="1"/>
                <w:bCs w:val="1"/>
                <w:color w:val="auto"/>
                <w:w w:val="84"/>
              </w:rPr>
              <w:t>balance</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60" w:type="dxa"/>
            <w:vAlign w:val="bottom"/>
            <w:gridSpan w:val="3"/>
          </w:tcPr>
          <w:p>
            <w:pPr>
              <w:jc w:val="center"/>
              <w:ind w:right="380"/>
              <w:spacing w:after="0" w:line="129" w:lineRule="exact"/>
              <w:rPr>
                <w:sz w:val="20"/>
                <w:szCs w:val="20"/>
                <w:color w:val="auto"/>
              </w:rPr>
            </w:pPr>
            <w:r>
              <w:rPr>
                <w:rFonts w:ascii="Arial" w:cs="Arial" w:eastAsia="Arial" w:hAnsi="Arial"/>
                <w:sz w:val="14"/>
                <w:szCs w:val="14"/>
                <w:b w:val="1"/>
                <w:bCs w:val="1"/>
                <w:color w:val="auto"/>
                <w:w w:val="76"/>
              </w:rPr>
              <w:t>issuances</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gridSpan w:val="3"/>
          </w:tcPr>
          <w:p>
            <w:pPr>
              <w:jc w:val="center"/>
              <w:ind w:right="120"/>
              <w:spacing w:after="0" w:line="129" w:lineRule="exact"/>
              <w:rPr>
                <w:sz w:val="20"/>
                <w:szCs w:val="20"/>
                <w:color w:val="auto"/>
              </w:rPr>
            </w:pPr>
            <w:r>
              <w:rPr>
                <w:rFonts w:ascii="Arial" w:cs="Arial" w:eastAsia="Arial" w:hAnsi="Arial"/>
                <w:sz w:val="14"/>
                <w:szCs w:val="14"/>
                <w:b w:val="1"/>
                <w:bCs w:val="1"/>
                <w:color w:val="auto"/>
                <w:w w:val="88"/>
              </w:rPr>
              <w:t>balance</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tcPr>
          <w:p>
            <w:pPr>
              <w:jc w:val="center"/>
              <w:ind w:right="200"/>
              <w:spacing w:after="0" w:line="129" w:lineRule="exact"/>
              <w:rPr>
                <w:sz w:val="20"/>
                <w:szCs w:val="20"/>
                <w:color w:val="auto"/>
              </w:rPr>
            </w:pPr>
            <w:r>
              <w:rPr>
                <w:rFonts w:ascii="Arial" w:cs="Arial" w:eastAsia="Arial" w:hAnsi="Arial"/>
                <w:sz w:val="14"/>
                <w:szCs w:val="14"/>
                <w:b w:val="1"/>
                <w:bCs w:val="1"/>
                <w:color w:val="auto"/>
                <w:w w:val="78"/>
              </w:rPr>
              <w:t>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as of</w:t>
            </w:r>
          </w:p>
        </w:tc>
        <w:tc>
          <w:tcPr>
            <w:tcW w:w="120" w:type="dxa"/>
            <w:vAlign w:val="bottom"/>
          </w:tcPr>
          <w:p>
            <w:pPr>
              <w:spacing w:after="0"/>
              <w:rPr>
                <w:sz w:val="12"/>
                <w:szCs w:val="12"/>
                <w:color w:val="auto"/>
              </w:rPr>
            </w:pPr>
          </w:p>
        </w:tc>
        <w:tc>
          <w:tcPr>
            <w:tcW w:w="1040" w:type="dxa"/>
            <w:vAlign w:val="bottom"/>
            <w:gridSpan w:val="3"/>
          </w:tcPr>
          <w:p>
            <w:pPr>
              <w:ind w:left="40"/>
              <w:spacing w:after="0" w:line="149" w:lineRule="exact"/>
              <w:rPr>
                <w:sz w:val="20"/>
                <w:szCs w:val="20"/>
                <w:color w:val="auto"/>
              </w:rPr>
            </w:pPr>
            <w:r>
              <w:rPr>
                <w:rFonts w:ascii="Arial" w:cs="Arial" w:eastAsia="Arial" w:hAnsi="Arial"/>
                <w:sz w:val="14"/>
                <w:szCs w:val="14"/>
                <w:b w:val="1"/>
                <w:bCs w:val="1"/>
                <w:color w:val="auto"/>
              </w:rPr>
              <w:t>Included in</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88"/>
              </w:rPr>
              <w:t>and</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9"/>
              </w:rPr>
              <w:t>Transfer</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79"/>
              </w:rPr>
              <w:t>as of</w:t>
            </w:r>
          </w:p>
        </w:tc>
        <w:tc>
          <w:tcPr>
            <w:tcW w:w="140" w:type="dxa"/>
            <w:vAlign w:val="bottom"/>
          </w:tcPr>
          <w:p>
            <w:pPr>
              <w:spacing w:after="0"/>
              <w:rPr>
                <w:sz w:val="12"/>
                <w:szCs w:val="12"/>
                <w:color w:val="auto"/>
              </w:rPr>
            </w:pPr>
          </w:p>
        </w:tc>
        <w:tc>
          <w:tcPr>
            <w:tcW w:w="8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attributable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74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April 1,</w:t>
            </w:r>
          </w:p>
        </w:tc>
        <w:tc>
          <w:tcPr>
            <w:tcW w:w="120" w:type="dxa"/>
            <w:vAlign w:val="bottom"/>
          </w:tcPr>
          <w:p>
            <w:pPr>
              <w:spacing w:after="0"/>
              <w:rPr>
                <w:sz w:val="12"/>
                <w:szCs w:val="12"/>
                <w:color w:val="auto"/>
              </w:rPr>
            </w:pPr>
          </w:p>
        </w:tc>
        <w:tc>
          <w:tcPr>
            <w:tcW w:w="10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net (income)</w:t>
            </w:r>
          </w:p>
        </w:tc>
        <w:tc>
          <w:tcPr>
            <w:tcW w:w="80" w:type="dxa"/>
            <w:vAlign w:val="bottom"/>
          </w:tcPr>
          <w:p>
            <w:pPr>
              <w:spacing w:after="0"/>
              <w:rPr>
                <w:sz w:val="12"/>
                <w:szCs w:val="12"/>
                <w:color w:val="auto"/>
              </w:rPr>
            </w:pPr>
          </w:p>
        </w:tc>
        <w:tc>
          <w:tcPr>
            <w:tcW w:w="50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3"/>
              </w:rPr>
              <w:t>Included</w:t>
            </w:r>
          </w:p>
        </w:tc>
        <w:tc>
          <w:tcPr>
            <w:tcW w:w="280" w:type="dxa"/>
            <w:vAlign w:val="bottom"/>
          </w:tcPr>
          <w:p>
            <w:pPr>
              <w:spacing w:after="0"/>
              <w:rPr>
                <w:sz w:val="12"/>
                <w:szCs w:val="12"/>
                <w:color w:val="auto"/>
              </w:rPr>
            </w:pPr>
          </w:p>
        </w:tc>
        <w:tc>
          <w:tcPr>
            <w:tcW w:w="1060" w:type="dxa"/>
            <w:vAlign w:val="bottom"/>
            <w:gridSpan w:val="3"/>
          </w:tcPr>
          <w:p>
            <w:pPr>
              <w:jc w:val="center"/>
              <w:ind w:right="380"/>
              <w:spacing w:after="0" w:line="149" w:lineRule="exact"/>
              <w:rPr>
                <w:sz w:val="20"/>
                <w:szCs w:val="20"/>
                <w:color w:val="auto"/>
              </w:rPr>
            </w:pPr>
            <w:r>
              <w:rPr>
                <w:rFonts w:ascii="Arial" w:cs="Arial" w:eastAsia="Arial" w:hAnsi="Arial"/>
                <w:sz w:val="14"/>
                <w:szCs w:val="14"/>
                <w:b w:val="1"/>
                <w:bCs w:val="1"/>
                <w:color w:val="auto"/>
                <w:w w:val="83"/>
              </w:rPr>
              <w:t>settlements,</w:t>
            </w:r>
          </w:p>
        </w:tc>
        <w:tc>
          <w:tcPr>
            <w:tcW w:w="58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2"/>
              </w:rPr>
              <w:t>Transfer</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ind w:right="17"/>
              <w:spacing w:after="0" w:line="149" w:lineRule="exact"/>
              <w:rPr>
                <w:sz w:val="20"/>
                <w:szCs w:val="20"/>
                <w:color w:val="auto"/>
              </w:rPr>
            </w:pPr>
            <w:r>
              <w:rPr>
                <w:rFonts w:ascii="Arial" w:cs="Arial" w:eastAsia="Arial" w:hAnsi="Arial"/>
                <w:sz w:val="14"/>
                <w:szCs w:val="14"/>
                <w:b w:val="1"/>
                <w:bCs w:val="1"/>
                <w:color w:val="auto"/>
                <w:w w:val="77"/>
              </w:rPr>
              <w:t>out of</w:t>
            </w:r>
          </w:p>
        </w:tc>
        <w:tc>
          <w:tcPr>
            <w:tcW w:w="260" w:type="dxa"/>
            <w:vAlign w:val="bottom"/>
          </w:tcPr>
          <w:p>
            <w:pPr>
              <w:spacing w:after="0"/>
              <w:rPr>
                <w:sz w:val="12"/>
                <w:szCs w:val="12"/>
                <w:color w:val="auto"/>
              </w:rPr>
            </w:pPr>
          </w:p>
        </w:tc>
        <w:tc>
          <w:tcPr>
            <w:tcW w:w="62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June 30,</w:t>
            </w:r>
          </w:p>
        </w:tc>
        <w:tc>
          <w:tcPr>
            <w:tcW w:w="140" w:type="dxa"/>
            <w:vAlign w:val="bottom"/>
          </w:tcPr>
          <w:p>
            <w:pPr>
              <w:spacing w:after="0"/>
              <w:rPr>
                <w:sz w:val="12"/>
                <w:szCs w:val="12"/>
                <w:color w:val="auto"/>
              </w:rPr>
            </w:pPr>
          </w:p>
        </w:tc>
        <w:tc>
          <w:tcPr>
            <w:tcW w:w="8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to liabilities</w:t>
            </w:r>
          </w:p>
        </w:tc>
        <w:tc>
          <w:tcPr>
            <w:tcW w:w="0" w:type="dxa"/>
            <w:vAlign w:val="bottom"/>
          </w:tcPr>
          <w:p>
            <w:pPr>
              <w:spacing w:after="0"/>
              <w:rPr>
                <w:sz w:val="1"/>
                <w:szCs w:val="1"/>
                <w:color w:val="auto"/>
              </w:rPr>
            </w:pPr>
          </w:p>
        </w:tc>
      </w:tr>
      <w:tr>
        <w:trPr>
          <w:trHeight w:val="161"/>
        </w:trPr>
        <w:tc>
          <w:tcPr>
            <w:tcW w:w="4380" w:type="dxa"/>
            <w:vAlign w:val="bottom"/>
            <w:gridSpan w:val="5"/>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Pr>
          <w:p>
            <w:pPr>
              <w:spacing w:after="0"/>
              <w:rPr>
                <w:sz w:val="14"/>
                <w:szCs w:val="14"/>
                <w:color w:val="auto"/>
              </w:rPr>
            </w:pPr>
          </w:p>
        </w:tc>
        <w:tc>
          <w:tcPr>
            <w:tcW w:w="480" w:type="dxa"/>
            <w:vAlign w:val="bottom"/>
          </w:tcPr>
          <w:p>
            <w:pPr>
              <w:jc w:val="center"/>
              <w:ind w:right="40"/>
              <w:spacing w:after="0"/>
              <w:rPr>
                <w:sz w:val="20"/>
                <w:szCs w:val="20"/>
                <w:color w:val="auto"/>
              </w:rPr>
            </w:pPr>
            <w:r>
              <w:rPr>
                <w:rFonts w:ascii="Arial" w:cs="Arial" w:eastAsia="Arial" w:hAnsi="Arial"/>
                <w:sz w:val="14"/>
                <w:szCs w:val="14"/>
                <w:b w:val="1"/>
                <w:bCs w:val="1"/>
                <w:color w:val="auto"/>
                <w:w w:val="89"/>
              </w:rPr>
              <w:t>2009</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w w:val="99"/>
              </w:rPr>
              <w:t>loss</w:t>
            </w:r>
          </w:p>
        </w:tc>
        <w:tc>
          <w:tcPr>
            <w:tcW w:w="80" w:type="dxa"/>
            <w:vAlign w:val="bottom"/>
          </w:tcPr>
          <w:p>
            <w:pPr>
              <w:spacing w:after="0"/>
              <w:rPr>
                <w:sz w:val="14"/>
                <w:szCs w:val="14"/>
                <w:color w:val="auto"/>
              </w:rPr>
            </w:pPr>
          </w:p>
        </w:tc>
        <w:tc>
          <w:tcPr>
            <w:tcW w:w="500" w:type="dxa"/>
            <w:vAlign w:val="bottom"/>
            <w:gridSpan w:val="2"/>
          </w:tcPr>
          <w:p>
            <w:pPr>
              <w:ind w:left="60"/>
              <w:spacing w:after="0"/>
              <w:rPr>
                <w:sz w:val="20"/>
                <w:szCs w:val="20"/>
                <w:color w:val="auto"/>
              </w:rPr>
            </w:pPr>
            <w:r>
              <w:rPr>
                <w:rFonts w:ascii="Arial" w:cs="Arial" w:eastAsia="Arial" w:hAnsi="Arial"/>
                <w:sz w:val="14"/>
                <w:szCs w:val="14"/>
                <w:b w:val="1"/>
                <w:bCs w:val="1"/>
                <w:color w:val="auto"/>
              </w:rPr>
              <w:t>in OCI</w:t>
            </w: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5"/>
              </w:rPr>
              <w:t>net</w:t>
            </w:r>
          </w:p>
        </w:tc>
        <w:tc>
          <w:tcPr>
            <w:tcW w:w="580" w:type="dxa"/>
            <w:vAlign w:val="bottom"/>
            <w:gridSpan w:val="2"/>
          </w:tcPr>
          <w:p>
            <w:pPr>
              <w:spacing w:after="0"/>
              <w:rPr>
                <w:sz w:val="20"/>
                <w:szCs w:val="20"/>
                <w:color w:val="auto"/>
              </w:rPr>
            </w:pPr>
            <w:r>
              <w:rPr>
                <w:rFonts w:ascii="Arial" w:cs="Arial" w:eastAsia="Arial" w:hAnsi="Arial"/>
                <w:sz w:val="14"/>
                <w:szCs w:val="14"/>
                <w:b w:val="1"/>
                <w:bCs w:val="1"/>
                <w:color w:val="auto"/>
                <w:w w:val="87"/>
              </w:rPr>
              <w:t>in Level 3</w:t>
            </w:r>
          </w:p>
        </w:tc>
        <w:tc>
          <w:tcPr>
            <w:tcW w:w="260" w:type="dxa"/>
            <w:vAlign w:val="bottom"/>
          </w:tcPr>
          <w:p>
            <w:pPr>
              <w:spacing w:after="0"/>
              <w:rPr>
                <w:sz w:val="14"/>
                <w:szCs w:val="14"/>
                <w:color w:val="auto"/>
              </w:rPr>
            </w:pPr>
          </w:p>
        </w:tc>
        <w:tc>
          <w:tcPr>
            <w:tcW w:w="520" w:type="dxa"/>
            <w:vAlign w:val="bottom"/>
            <w:gridSpan w:val="2"/>
          </w:tcPr>
          <w:p>
            <w:pPr>
              <w:jc w:val="right"/>
              <w:spacing w:after="0"/>
              <w:rPr>
                <w:sz w:val="20"/>
                <w:szCs w:val="20"/>
                <w:color w:val="auto"/>
              </w:rPr>
            </w:pPr>
            <w:r>
              <w:rPr>
                <w:rFonts w:ascii="Arial" w:cs="Arial" w:eastAsia="Arial" w:hAnsi="Arial"/>
                <w:sz w:val="14"/>
                <w:szCs w:val="14"/>
                <w:b w:val="1"/>
                <w:bCs w:val="1"/>
                <w:color w:val="auto"/>
                <w:w w:val="92"/>
              </w:rPr>
              <w:t>Level 3</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jc w:val="center"/>
              <w:ind w:right="20"/>
              <w:spacing w:after="0"/>
              <w:rPr>
                <w:sz w:val="20"/>
                <w:szCs w:val="20"/>
                <w:color w:val="auto"/>
              </w:rPr>
            </w:pPr>
            <w:r>
              <w:rPr>
                <w:rFonts w:ascii="Arial" w:cs="Arial" w:eastAsia="Arial" w:hAnsi="Arial"/>
                <w:sz w:val="14"/>
                <w:szCs w:val="14"/>
                <w:b w:val="1"/>
                <w:bCs w:val="1"/>
                <w:color w:val="auto"/>
                <w:w w:val="83"/>
              </w:rPr>
              <w:t>2009</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7"/>
              </w:rPr>
              <w:t>still held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3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Policyholder account balances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923</w:t>
            </w:r>
          </w:p>
        </w:tc>
        <w:tc>
          <w:tcPr>
            <w:tcW w:w="3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(495)</w:t>
            </w:r>
          </w:p>
        </w:tc>
        <w:tc>
          <w:tcPr>
            <w:tcW w:w="3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7</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79"/>
              </w:rPr>
              <w:t>$</w:t>
            </w:r>
          </w:p>
        </w:tc>
        <w:tc>
          <w:tcPr>
            <w:tcW w:w="42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435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4"/>
          </w:tcPr>
          <w:p>
            <w:pPr>
              <w:spacing w:after="0"/>
              <w:rPr>
                <w:sz w:val="20"/>
                <w:szCs w:val="20"/>
                <w:color w:val="auto"/>
              </w:rPr>
            </w:pPr>
            <w:r>
              <w:rPr>
                <w:rFonts w:ascii="Arial" w:cs="Arial" w:eastAsia="Arial" w:hAnsi="Arial"/>
                <w:sz w:val="18"/>
                <w:szCs w:val="18"/>
                <w:color w:val="auto"/>
              </w:rPr>
              <w:t xml:space="preserve">Other liabilities </w:t>
            </w:r>
            <w:r>
              <w:rPr>
                <w:rFonts w:ascii="Arial" w:cs="Arial" w:eastAsia="Arial" w:hAnsi="Arial"/>
                <w:sz w:val="11"/>
                <w:szCs w:val="11"/>
                <w:color w:val="auto"/>
              </w:rPr>
              <w:t>( 1)</w:t>
            </w: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73</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137</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(49)</w:t>
            </w:r>
          </w:p>
        </w:tc>
        <w:tc>
          <w:tcPr>
            <w:tcW w:w="200" w:type="dxa"/>
            <w:vAlign w:val="bottom"/>
          </w:tcPr>
          <w:p>
            <w:pPr>
              <w:spacing w:after="0"/>
              <w:rPr>
                <w:sz w:val="18"/>
                <w:szCs w:val="18"/>
                <w:color w:val="auto"/>
              </w:rPr>
            </w:pPr>
          </w:p>
        </w:tc>
        <w:tc>
          <w:tcPr>
            <w:tcW w:w="380" w:type="dxa"/>
            <w:vAlign w:val="bottom"/>
          </w:tcPr>
          <w:p>
            <w:pPr>
              <w:ind w:left="1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120"/>
              <w:spacing w:after="0"/>
              <w:rPr>
                <w:sz w:val="20"/>
                <w:szCs w:val="20"/>
                <w:color w:val="auto"/>
              </w:rPr>
            </w:pPr>
            <w:r>
              <w:rPr>
                <w:rFonts w:ascii="Arial" w:cs="Arial" w:eastAsia="Arial" w:hAnsi="Arial"/>
                <w:sz w:val="18"/>
                <w:szCs w:val="18"/>
                <w:color w:val="auto"/>
              </w:rPr>
              <w:t>161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105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80" w:type="dxa"/>
            <w:vAlign w:val="bottom"/>
          </w:tcPr>
          <w:p>
            <w:pPr>
              <w:spacing w:after="0"/>
              <w:rPr>
                <w:sz w:val="2"/>
                <w:szCs w:val="2"/>
                <w:color w:val="auto"/>
              </w:rPr>
            </w:pPr>
          </w:p>
        </w:tc>
        <w:tc>
          <w:tcPr>
            <w:tcW w:w="30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Total Level 3 liabilities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996</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(358)</w:t>
            </w:r>
          </w:p>
        </w:tc>
        <w:tc>
          <w:tcPr>
            <w:tcW w:w="3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(42)</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79"/>
              </w:rPr>
              <w:t>$</w:t>
            </w:r>
          </w:p>
        </w:tc>
        <w:tc>
          <w:tcPr>
            <w:tcW w:w="42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596</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(385)</w:t>
            </w:r>
          </w:p>
        </w:tc>
        <w:tc>
          <w:tcPr>
            <w:tcW w:w="0" w:type="dxa"/>
            <w:vAlign w:val="bottom"/>
          </w:tcPr>
          <w:p>
            <w:pPr>
              <w:spacing w:after="0"/>
              <w:rPr>
                <w:sz w:val="1"/>
                <w:szCs w:val="1"/>
                <w:color w:val="auto"/>
              </w:rPr>
            </w:pPr>
          </w:p>
        </w:tc>
      </w:tr>
      <w:tr>
        <w:trPr>
          <w:trHeight w:val="20"/>
        </w:trPr>
        <w:tc>
          <w:tcPr>
            <w:tcW w:w="320" w:type="dxa"/>
            <w:vAlign w:val="bottom"/>
            <w:gridSpan w:val="2"/>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220" w:type="dxa"/>
            <w:vAlign w:val="bottom"/>
            <w:gridSpan w:val="2"/>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3220" w:type="dxa"/>
            <w:vAlign w:val="bottom"/>
            <w:gridSpan w:val="2"/>
          </w:tcPr>
          <w:p>
            <w:pPr>
              <w:spacing w:after="0"/>
              <w:rPr>
                <w:sz w:val="8"/>
                <w:szCs w:val="8"/>
                <w:color w:val="auto"/>
              </w:rPr>
            </w:pPr>
          </w:p>
        </w:tc>
        <w:tc>
          <w:tcPr>
            <w:tcW w:w="120" w:type="dxa"/>
            <w:vAlign w:val="bottom"/>
          </w:tcPr>
          <w:p>
            <w:pPr>
              <w:spacing w:after="0"/>
              <w:rPr>
                <w:sz w:val="8"/>
                <w:szCs w:val="8"/>
                <w:color w:val="auto"/>
              </w:rPr>
            </w:pPr>
          </w:p>
        </w:tc>
        <w:tc>
          <w:tcPr>
            <w:tcW w:w="4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26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0" w:type="dxa"/>
            <w:vAlign w:val="bottom"/>
          </w:tcPr>
          <w:p>
            <w:pPr>
              <w:spacing w:after="0"/>
              <w:rPr>
                <w:sz w:val="8"/>
                <w:szCs w:val="8"/>
                <w:color w:val="auto"/>
              </w:rPr>
            </w:pPr>
          </w:p>
        </w:tc>
        <w:tc>
          <w:tcPr>
            <w:tcW w:w="3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320" w:type="dxa"/>
            <w:vAlign w:val="bottom"/>
            <w:gridSpan w:val="2"/>
          </w:tcPr>
          <w:p>
            <w:pPr>
              <w:spacing w:after="0"/>
              <w:rPr>
                <w:sz w:val="20"/>
                <w:szCs w:val="20"/>
                <w:color w:val="auto"/>
              </w:rPr>
            </w:pPr>
            <w:r>
              <w:rPr>
                <w:rFonts w:ascii="Arial" w:cs="Arial" w:eastAsia="Arial" w:hAnsi="Arial"/>
                <w:sz w:val="11"/>
                <w:szCs w:val="11"/>
                <w:color w:val="auto"/>
              </w:rPr>
              <w:t>(1 )</w:t>
            </w:r>
          </w:p>
        </w:tc>
        <w:tc>
          <w:tcPr>
            <w:tcW w:w="4060" w:type="dxa"/>
            <w:vAlign w:val="bottom"/>
            <w:gridSpan w:val="3"/>
          </w:tcPr>
          <w:p>
            <w:pPr>
              <w:ind w:left="140"/>
              <w:spacing w:after="0"/>
              <w:rPr>
                <w:sz w:val="20"/>
                <w:szCs w:val="20"/>
                <w:color w:val="auto"/>
              </w:rPr>
            </w:pPr>
            <w:r>
              <w:rPr>
                <w:rFonts w:ascii="Arial" w:cs="Arial" w:eastAsia="Arial" w:hAnsi="Arial"/>
                <w:sz w:val="18"/>
                <w:szCs w:val="18"/>
                <w:color w:val="auto"/>
              </w:rPr>
              <w:t>Represents derivative liabilities.</w:t>
            </w:r>
          </w:p>
        </w:tc>
        <w:tc>
          <w:tcPr>
            <w:tcW w:w="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jc w:val="right"/>
              <w:ind w:right="102"/>
              <w:spacing w:after="0"/>
              <w:rPr>
                <w:sz w:val="20"/>
                <w:szCs w:val="20"/>
                <w:color w:val="auto"/>
              </w:rPr>
            </w:pPr>
            <w:r>
              <w:rPr>
                <w:rFonts w:ascii="Arial" w:cs="Arial" w:eastAsia="Arial" w:hAnsi="Arial"/>
                <w:sz w:val="18"/>
                <w:szCs w:val="18"/>
                <w:color w:val="auto"/>
              </w:rPr>
              <w:t>49</w:t>
            </w: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 following tables present additional information about liabilities measured at fair value on a recurring basis and for which we have utilized significant unobservable (Level 3) inputs to determine fair value as of or for the dates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gridSpan w:val="3"/>
            <w:vMerge w:val="restart"/>
          </w:tcPr>
          <w:p>
            <w:pPr>
              <w:jc w:val="center"/>
              <w:ind w:left="18"/>
              <w:spacing w:after="0"/>
              <w:rPr>
                <w:sz w:val="20"/>
                <w:szCs w:val="20"/>
                <w:color w:val="auto"/>
              </w:rPr>
            </w:pPr>
            <w:r>
              <w:rPr>
                <w:rFonts w:ascii="Arial" w:cs="Arial" w:eastAsia="Arial" w:hAnsi="Arial"/>
                <w:sz w:val="14"/>
                <w:szCs w:val="14"/>
                <w:b w:val="1"/>
                <w:bCs w:val="1"/>
                <w:color w:val="auto"/>
                <w:w w:val="87"/>
              </w:rPr>
              <w:t>Total realized and</w:t>
            </w:r>
          </w:p>
        </w:tc>
        <w:tc>
          <w:tcPr>
            <w:tcW w:w="2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6"/>
              </w:rPr>
              <w:t>Total (gains)</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3"/>
            <w:vMerge w:val="continue"/>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73"/>
              </w:rPr>
              <w:t>losses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20" w:type="dxa"/>
            <w:vAlign w:val="bottom"/>
            <w:gridSpan w:val="3"/>
          </w:tcPr>
          <w:p>
            <w:pPr>
              <w:jc w:val="center"/>
              <w:ind w:left="38"/>
              <w:spacing w:after="0" w:line="149" w:lineRule="exact"/>
              <w:rPr>
                <w:sz w:val="20"/>
                <w:szCs w:val="20"/>
                <w:color w:val="auto"/>
              </w:rPr>
            </w:pPr>
            <w:r>
              <w:rPr>
                <w:rFonts w:ascii="Arial" w:cs="Arial" w:eastAsia="Arial" w:hAnsi="Arial"/>
                <w:sz w:val="14"/>
                <w:szCs w:val="14"/>
                <w:b w:val="1"/>
                <w:bCs w:val="1"/>
                <w:color w:val="auto"/>
                <w:w w:val="85"/>
              </w:rPr>
              <w:t>unrealized (gains)</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4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2"/>
              </w:rPr>
              <w:t>Purchases,</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included in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940" w:type="dxa"/>
            <w:vAlign w:val="bottom"/>
            <w:gridSpan w:val="3"/>
          </w:tcPr>
          <w:p>
            <w:pPr>
              <w:jc w:val="center"/>
              <w:ind w:right="320"/>
              <w:spacing w:after="0"/>
              <w:rPr>
                <w:sz w:val="20"/>
                <w:szCs w:val="20"/>
                <w:color w:val="auto"/>
              </w:rPr>
            </w:pPr>
            <w:r>
              <w:rPr>
                <w:rFonts w:ascii="Arial" w:cs="Arial" w:eastAsia="Arial" w:hAnsi="Arial"/>
                <w:sz w:val="14"/>
                <w:szCs w:val="14"/>
                <w:b w:val="1"/>
                <w:bCs w:val="1"/>
                <w:color w:val="auto"/>
                <w:w w:val="84"/>
              </w:rPr>
              <w:t>Beginning</w:t>
            </w: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2"/>
          </w:tcPr>
          <w:p>
            <w:pPr>
              <w:jc w:val="center"/>
              <w:ind w:left="238"/>
              <w:spacing w:after="0"/>
              <w:rPr>
                <w:sz w:val="20"/>
                <w:szCs w:val="20"/>
                <w:color w:val="auto"/>
              </w:rPr>
            </w:pPr>
            <w:r>
              <w:rPr>
                <w:rFonts w:ascii="Arial" w:cs="Arial" w:eastAsia="Arial" w:hAnsi="Arial"/>
                <w:sz w:val="14"/>
                <w:szCs w:val="14"/>
                <w:b w:val="1"/>
                <w:bCs w:val="1"/>
                <w:color w:val="auto"/>
                <w:w w:val="73"/>
              </w:rPr>
              <w:t>losses</w:t>
            </w:r>
          </w:p>
        </w:tc>
        <w:tc>
          <w:tcPr>
            <w:tcW w:w="2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76"/>
              </w:rPr>
              <w:t>sales,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Ending</w:t>
            </w:r>
          </w:p>
        </w:tc>
        <w:tc>
          <w:tcPr>
            <w:tcW w:w="340" w:type="dxa"/>
            <w:vAlign w:val="bottom"/>
          </w:tcPr>
          <w:p>
            <w:pPr>
              <w:spacing w:after="0"/>
              <w:rPr>
                <w:sz w:val="14"/>
                <w:szCs w:val="14"/>
                <w:color w:val="auto"/>
              </w:rPr>
            </w:pPr>
          </w:p>
        </w:tc>
        <w:tc>
          <w:tcPr>
            <w:tcW w:w="8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6"/>
              </w:rPr>
              <w:t>net (income)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gridSpan w:val="2"/>
          </w:tcPr>
          <w:p>
            <w:pPr>
              <w:jc w:val="center"/>
              <w:ind w:right="400"/>
              <w:spacing w:after="0" w:line="129" w:lineRule="exact"/>
              <w:rPr>
                <w:sz w:val="20"/>
                <w:szCs w:val="20"/>
                <w:color w:val="auto"/>
              </w:rPr>
            </w:pPr>
            <w:r>
              <w:rPr>
                <w:rFonts w:ascii="Arial" w:cs="Arial" w:eastAsia="Arial" w:hAnsi="Arial"/>
                <w:sz w:val="14"/>
                <w:szCs w:val="14"/>
                <w:b w:val="1"/>
                <w:bCs w:val="1"/>
                <w:color w:val="auto"/>
                <w:w w:val="84"/>
              </w:rPr>
              <w:t>balance</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3"/>
          </w:tcPr>
          <w:p>
            <w:pPr>
              <w:jc w:val="center"/>
              <w:ind w:right="440"/>
              <w:spacing w:after="0" w:line="129" w:lineRule="exact"/>
              <w:rPr>
                <w:sz w:val="20"/>
                <w:szCs w:val="20"/>
                <w:color w:val="auto"/>
              </w:rPr>
            </w:pPr>
            <w:r>
              <w:rPr>
                <w:rFonts w:ascii="Arial" w:cs="Arial" w:eastAsia="Arial" w:hAnsi="Arial"/>
                <w:sz w:val="14"/>
                <w:szCs w:val="14"/>
                <w:b w:val="1"/>
                <w:bCs w:val="1"/>
                <w:color w:val="auto"/>
                <w:w w:val="79"/>
              </w:rPr>
              <w:t>issuances</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4"/>
              </w:rPr>
              <w:t>balance</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tcPr>
          <w:p>
            <w:pPr>
              <w:jc w:val="center"/>
              <w:ind w:right="200"/>
              <w:spacing w:after="0" w:line="129" w:lineRule="exact"/>
              <w:rPr>
                <w:sz w:val="20"/>
                <w:szCs w:val="20"/>
                <w:color w:val="auto"/>
              </w:rPr>
            </w:pPr>
            <w:r>
              <w:rPr>
                <w:rFonts w:ascii="Arial" w:cs="Arial" w:eastAsia="Arial" w:hAnsi="Arial"/>
                <w:sz w:val="14"/>
                <w:szCs w:val="14"/>
                <w:b w:val="1"/>
                <w:bCs w:val="1"/>
                <w:color w:val="auto"/>
                <w:w w:val="78"/>
              </w:rPr>
              <w:t>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79"/>
              </w:rPr>
              <w:t>as of</w:t>
            </w:r>
          </w:p>
        </w:tc>
        <w:tc>
          <w:tcPr>
            <w:tcW w:w="1180" w:type="dxa"/>
            <w:vAlign w:val="bottom"/>
            <w:gridSpan w:val="3"/>
          </w:tcPr>
          <w:p>
            <w:pPr>
              <w:jc w:val="right"/>
              <w:ind w:right="480"/>
              <w:spacing w:after="0" w:line="149" w:lineRule="exact"/>
              <w:rPr>
                <w:sz w:val="20"/>
                <w:szCs w:val="20"/>
                <w:color w:val="auto"/>
              </w:rPr>
            </w:pPr>
            <w:r>
              <w:rPr>
                <w:rFonts w:ascii="Arial" w:cs="Arial" w:eastAsia="Arial" w:hAnsi="Arial"/>
                <w:sz w:val="14"/>
                <w:szCs w:val="14"/>
                <w:b w:val="1"/>
                <w:bCs w:val="1"/>
                <w:color w:val="auto"/>
                <w:w w:val="91"/>
              </w:rPr>
              <w:t>Included in</w:t>
            </w: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580"/>
              <w:spacing w:after="0" w:line="149" w:lineRule="exact"/>
              <w:rPr>
                <w:sz w:val="20"/>
                <w:szCs w:val="20"/>
                <w:color w:val="auto"/>
              </w:rPr>
            </w:pPr>
            <w:r>
              <w:rPr>
                <w:rFonts w:ascii="Arial" w:cs="Arial" w:eastAsia="Arial" w:hAnsi="Arial"/>
                <w:sz w:val="14"/>
                <w:szCs w:val="14"/>
                <w:b w:val="1"/>
                <w:bCs w:val="1"/>
                <w:color w:val="auto"/>
                <w:w w:val="88"/>
              </w:rPr>
              <w:t>and</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85"/>
              </w:rPr>
              <w:t>Transfer</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jc w:val="center"/>
              <w:ind w:right="16"/>
              <w:spacing w:after="0" w:line="149" w:lineRule="exact"/>
              <w:rPr>
                <w:sz w:val="20"/>
                <w:szCs w:val="20"/>
                <w:color w:val="auto"/>
              </w:rPr>
            </w:pPr>
            <w:r>
              <w:rPr>
                <w:rFonts w:ascii="Arial" w:cs="Arial" w:eastAsia="Arial" w:hAnsi="Arial"/>
                <w:sz w:val="14"/>
                <w:szCs w:val="14"/>
                <w:b w:val="1"/>
                <w:bCs w:val="1"/>
                <w:color w:val="auto"/>
                <w:w w:val="85"/>
              </w:rPr>
              <w:t>as of</w:t>
            </w:r>
          </w:p>
        </w:tc>
        <w:tc>
          <w:tcPr>
            <w:tcW w:w="340" w:type="dxa"/>
            <w:vAlign w:val="bottom"/>
          </w:tcPr>
          <w:p>
            <w:pPr>
              <w:spacing w:after="0"/>
              <w:rPr>
                <w:sz w:val="12"/>
                <w:szCs w:val="12"/>
                <w:color w:val="auto"/>
              </w:rPr>
            </w:pPr>
          </w:p>
        </w:tc>
        <w:tc>
          <w:tcPr>
            <w:tcW w:w="8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attributable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94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January 1,</w:t>
            </w:r>
          </w:p>
        </w:tc>
        <w:tc>
          <w:tcPr>
            <w:tcW w:w="11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net (income)</w:t>
            </w:r>
          </w:p>
        </w:tc>
        <w:tc>
          <w:tcPr>
            <w:tcW w:w="50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3"/>
              </w:rPr>
              <w:t>Included</w:t>
            </w:r>
          </w:p>
        </w:tc>
        <w:tc>
          <w:tcPr>
            <w:tcW w:w="320" w:type="dxa"/>
            <w:vAlign w:val="bottom"/>
          </w:tcPr>
          <w:p>
            <w:pPr>
              <w:spacing w:after="0"/>
              <w:rPr>
                <w:sz w:val="12"/>
                <w:szCs w:val="12"/>
                <w:color w:val="auto"/>
              </w:rPr>
            </w:pPr>
          </w:p>
        </w:tc>
        <w:tc>
          <w:tcPr>
            <w:tcW w:w="114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83"/>
              </w:rPr>
              <w:t>settlements,</w:t>
            </w:r>
          </w:p>
        </w:tc>
        <w:tc>
          <w:tcPr>
            <w:tcW w:w="900" w:type="dxa"/>
            <w:vAlign w:val="bottom"/>
            <w:gridSpan w:val="3"/>
          </w:tcPr>
          <w:p>
            <w:pPr>
              <w:ind w:left="40"/>
              <w:spacing w:after="0" w:line="149" w:lineRule="exact"/>
              <w:rPr>
                <w:sz w:val="20"/>
                <w:szCs w:val="20"/>
                <w:color w:val="auto"/>
              </w:rPr>
            </w:pPr>
            <w:r>
              <w:rPr>
                <w:rFonts w:ascii="Arial" w:cs="Arial" w:eastAsia="Arial" w:hAnsi="Arial"/>
                <w:sz w:val="14"/>
                <w:szCs w:val="14"/>
                <w:b w:val="1"/>
                <w:bCs w:val="1"/>
                <w:color w:val="auto"/>
              </w:rPr>
              <w:t>Transfer</w:t>
            </w: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2"/>
              </w:rPr>
              <w:t>out of</w:t>
            </w:r>
          </w:p>
        </w:tc>
        <w:tc>
          <w:tcPr>
            <w:tcW w:w="340" w:type="dxa"/>
            <w:vAlign w:val="bottom"/>
          </w:tcPr>
          <w:p>
            <w:pPr>
              <w:spacing w:after="0"/>
              <w:rPr>
                <w:sz w:val="12"/>
                <w:szCs w:val="12"/>
                <w:color w:val="auto"/>
              </w:rPr>
            </w:pPr>
          </w:p>
        </w:tc>
        <w:tc>
          <w:tcPr>
            <w:tcW w:w="4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June 30,</w:t>
            </w:r>
          </w:p>
        </w:tc>
        <w:tc>
          <w:tcPr>
            <w:tcW w:w="340" w:type="dxa"/>
            <w:vAlign w:val="bottom"/>
          </w:tcPr>
          <w:p>
            <w:pPr>
              <w:spacing w:after="0"/>
              <w:rPr>
                <w:sz w:val="12"/>
                <w:szCs w:val="12"/>
                <w:color w:val="auto"/>
              </w:rPr>
            </w:pPr>
          </w:p>
        </w:tc>
        <w:tc>
          <w:tcPr>
            <w:tcW w:w="8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to liabilities</w:t>
            </w:r>
          </w:p>
        </w:tc>
        <w:tc>
          <w:tcPr>
            <w:tcW w:w="0" w:type="dxa"/>
            <w:vAlign w:val="bottom"/>
          </w:tcPr>
          <w:p>
            <w:pPr>
              <w:spacing w:after="0"/>
              <w:rPr>
                <w:sz w:val="1"/>
                <w:szCs w:val="1"/>
                <w:color w:val="auto"/>
              </w:rPr>
            </w:pPr>
          </w:p>
        </w:tc>
      </w:tr>
      <w:tr>
        <w:trPr>
          <w:trHeight w:val="161"/>
        </w:trPr>
        <w:tc>
          <w:tcPr>
            <w:tcW w:w="3920" w:type="dxa"/>
            <w:vAlign w:val="bottom"/>
            <w:gridSpan w:val="4"/>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520" w:type="dxa"/>
            <w:vAlign w:val="bottom"/>
          </w:tcPr>
          <w:p>
            <w:pPr>
              <w:jc w:val="center"/>
              <w:spacing w:after="0"/>
              <w:rPr>
                <w:sz w:val="20"/>
                <w:szCs w:val="20"/>
                <w:color w:val="auto"/>
              </w:rPr>
            </w:pPr>
            <w:r>
              <w:rPr>
                <w:rFonts w:ascii="Arial" w:cs="Arial" w:eastAsia="Arial" w:hAnsi="Arial"/>
                <w:sz w:val="14"/>
                <w:szCs w:val="14"/>
                <w:b w:val="1"/>
                <w:bCs w:val="1"/>
                <w:color w:val="auto"/>
                <w:w w:val="89"/>
              </w:rPr>
              <w:t>2010</w:t>
            </w: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0" w:type="dxa"/>
            <w:vAlign w:val="bottom"/>
            <w:gridSpan w:val="2"/>
          </w:tcPr>
          <w:p>
            <w:pPr>
              <w:jc w:val="right"/>
              <w:ind w:right="700"/>
              <w:spacing w:after="0"/>
              <w:rPr>
                <w:sz w:val="20"/>
                <w:szCs w:val="20"/>
                <w:color w:val="auto"/>
              </w:rPr>
            </w:pPr>
            <w:r>
              <w:rPr>
                <w:rFonts w:ascii="Arial" w:cs="Arial" w:eastAsia="Arial" w:hAnsi="Arial"/>
                <w:sz w:val="14"/>
                <w:szCs w:val="14"/>
                <w:b w:val="1"/>
                <w:bCs w:val="1"/>
                <w:color w:val="auto"/>
                <w:w w:val="99"/>
              </w:rPr>
              <w:t>loss</w:t>
            </w:r>
          </w:p>
        </w:tc>
        <w:tc>
          <w:tcPr>
            <w:tcW w:w="500" w:type="dxa"/>
            <w:vAlign w:val="bottom"/>
            <w:gridSpan w:val="2"/>
          </w:tcPr>
          <w:p>
            <w:pPr>
              <w:ind w:left="40"/>
              <w:spacing w:after="0"/>
              <w:rPr>
                <w:sz w:val="20"/>
                <w:szCs w:val="20"/>
                <w:color w:val="auto"/>
              </w:rPr>
            </w:pPr>
            <w:r>
              <w:rPr>
                <w:rFonts w:ascii="Arial" w:cs="Arial" w:eastAsia="Arial" w:hAnsi="Arial"/>
                <w:sz w:val="14"/>
                <w:szCs w:val="14"/>
                <w:b w:val="1"/>
                <w:bCs w:val="1"/>
                <w:color w:val="auto"/>
              </w:rPr>
              <w:t>in OCI</w:t>
            </w: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85"/>
              </w:rPr>
              <w:t>net</w:t>
            </w:r>
          </w:p>
        </w:tc>
        <w:tc>
          <w:tcPr>
            <w:tcW w:w="900" w:type="dxa"/>
            <w:vAlign w:val="bottom"/>
            <w:gridSpan w:val="3"/>
          </w:tcPr>
          <w:p>
            <w:pPr>
              <w:spacing w:after="0"/>
              <w:rPr>
                <w:sz w:val="20"/>
                <w:szCs w:val="20"/>
                <w:color w:val="auto"/>
              </w:rPr>
            </w:pPr>
            <w:r>
              <w:rPr>
                <w:rFonts w:ascii="Arial" w:cs="Arial" w:eastAsia="Arial" w:hAnsi="Arial"/>
                <w:sz w:val="14"/>
                <w:szCs w:val="14"/>
                <w:b w:val="1"/>
                <w:bCs w:val="1"/>
                <w:color w:val="auto"/>
              </w:rPr>
              <w:t>in Level 3</w:t>
            </w:r>
          </w:p>
        </w:tc>
        <w:tc>
          <w:tcPr>
            <w:tcW w:w="520" w:type="dxa"/>
            <w:vAlign w:val="bottom"/>
            <w:gridSpan w:val="2"/>
          </w:tcPr>
          <w:p>
            <w:pPr>
              <w:jc w:val="right"/>
              <w:spacing w:after="0"/>
              <w:rPr>
                <w:sz w:val="20"/>
                <w:szCs w:val="20"/>
                <w:color w:val="auto"/>
              </w:rPr>
            </w:pPr>
            <w:r>
              <w:rPr>
                <w:rFonts w:ascii="Arial" w:cs="Arial" w:eastAsia="Arial" w:hAnsi="Arial"/>
                <w:sz w:val="14"/>
                <w:szCs w:val="14"/>
                <w:b w:val="1"/>
                <w:bCs w:val="1"/>
                <w:color w:val="auto"/>
                <w:w w:val="96"/>
              </w:rPr>
              <w:t>Level 3</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Pr>
          <w:p>
            <w:pPr>
              <w:jc w:val="center"/>
              <w:ind w:right="16"/>
              <w:spacing w:after="0"/>
              <w:rPr>
                <w:sz w:val="20"/>
                <w:szCs w:val="20"/>
                <w:color w:val="auto"/>
              </w:rPr>
            </w:pPr>
            <w:r>
              <w:rPr>
                <w:rFonts w:ascii="Arial" w:cs="Arial" w:eastAsia="Arial" w:hAnsi="Arial"/>
                <w:sz w:val="14"/>
                <w:szCs w:val="14"/>
                <w:b w:val="1"/>
                <w:bCs w:val="1"/>
                <w:color w:val="auto"/>
                <w:w w:val="89"/>
              </w:rPr>
              <w:t>2010</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7"/>
              </w:rPr>
              <w:t>still held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90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color w:val="auto"/>
              </w:rPr>
              <w:t>Policyholder account</w:t>
            </w:r>
          </w:p>
        </w:tc>
        <w:tc>
          <w:tcPr>
            <w:tcW w:w="1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900" w:type="dxa"/>
            <w:vAlign w:val="bottom"/>
            <w:gridSpan w:val="3"/>
            <w:shd w:val="clear" w:color="auto" w:fill="CCEEFF"/>
          </w:tcPr>
          <w:p>
            <w:pPr>
              <w:ind w:left="200"/>
              <w:spacing w:after="0"/>
              <w:rPr>
                <w:sz w:val="20"/>
                <w:szCs w:val="20"/>
                <w:color w:val="auto"/>
              </w:rPr>
            </w:pPr>
            <w:r>
              <w:rPr>
                <w:rFonts w:ascii="Arial" w:cs="Arial" w:eastAsia="Arial" w:hAnsi="Arial"/>
                <w:sz w:val="18"/>
                <w:szCs w:val="18"/>
                <w:color w:val="auto"/>
              </w:rPr>
              <w:t xml:space="preserve">balances </w:t>
            </w:r>
            <w:r>
              <w:rPr>
                <w:rFonts w:ascii="Arial" w:cs="Arial" w:eastAsia="Arial" w:hAnsi="Arial"/>
                <w:sz w:val="11"/>
                <w:szCs w:val="11"/>
                <w:color w:val="auto"/>
              </w:rPr>
              <w:t>(1)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w:t>
            </w:r>
          </w:p>
        </w:tc>
        <w:tc>
          <w:tcPr>
            <w:tcW w:w="320" w:type="dxa"/>
            <w:vAlign w:val="bottom"/>
            <w:shd w:val="clear" w:color="auto" w:fill="CCEEFF"/>
          </w:tcPr>
          <w:p>
            <w:pPr>
              <w:spacing w:after="0"/>
              <w:rPr>
                <w:sz w:val="19"/>
                <w:szCs w:val="19"/>
                <w:color w:val="auto"/>
              </w:rPr>
            </w:pPr>
          </w:p>
        </w:tc>
        <w:tc>
          <w:tcPr>
            <w:tcW w:w="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w:t>
            </w:r>
          </w:p>
        </w:tc>
        <w:tc>
          <w:tcPr>
            <w:tcW w:w="4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4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w w:val="79"/>
              </w:rPr>
              <w:t>447</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3"/>
          </w:tcPr>
          <w:p>
            <w:pPr>
              <w:spacing w:after="0"/>
              <w:rPr>
                <w:sz w:val="20"/>
                <w:szCs w:val="20"/>
                <w:color w:val="auto"/>
              </w:rPr>
            </w:pPr>
            <w:r>
              <w:rPr>
                <w:rFonts w:ascii="Arial" w:cs="Arial" w:eastAsia="Arial" w:hAnsi="Arial"/>
                <w:sz w:val="18"/>
                <w:szCs w:val="18"/>
                <w:color w:val="auto"/>
              </w:rPr>
              <w:t>Derivative liabilities:</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Interest rate swaps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3"/>
          </w:tcPr>
          <w:p>
            <w:pPr>
              <w:ind w:left="420"/>
              <w:spacing w:after="0"/>
              <w:rPr>
                <w:sz w:val="20"/>
                <w:szCs w:val="20"/>
                <w:color w:val="auto"/>
              </w:rPr>
            </w:pPr>
            <w:r>
              <w:rPr>
                <w:rFonts w:ascii="Arial" w:cs="Arial" w:eastAsia="Arial" w:hAnsi="Arial"/>
                <w:sz w:val="18"/>
                <w:szCs w:val="18"/>
                <w:color w:val="auto"/>
              </w:rPr>
              <w:t>Interest rate swaptions</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67</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(42)</w:t>
            </w:r>
          </w:p>
        </w:tc>
        <w:tc>
          <w:tcPr>
            <w:tcW w:w="220" w:type="dxa"/>
            <w:vAlign w:val="bottom"/>
          </w:tcPr>
          <w:p>
            <w:pPr>
              <w:spacing w:after="0"/>
              <w:rPr>
                <w:sz w:val="18"/>
                <w:szCs w:val="18"/>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(25)</w:t>
            </w:r>
          </w:p>
        </w:tc>
        <w:tc>
          <w:tcPr>
            <w:tcW w:w="200" w:type="dxa"/>
            <w:vAlign w:val="bottom"/>
          </w:tcPr>
          <w:p>
            <w:pPr>
              <w:spacing w:after="0"/>
              <w:rPr>
                <w:sz w:val="18"/>
                <w:szCs w:val="18"/>
                <w:color w:val="auto"/>
              </w:rPr>
            </w:pPr>
          </w:p>
        </w:tc>
        <w:tc>
          <w:tcPr>
            <w:tcW w:w="70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ind w:left="1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Credit default swaps</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4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ind w:left="200"/>
              <w:spacing w:after="0"/>
              <w:rPr>
                <w:sz w:val="20"/>
                <w:szCs w:val="20"/>
                <w:color w:val="auto"/>
              </w:rPr>
            </w:pPr>
            <w:r>
              <w:rPr>
                <w:rFonts w:ascii="Arial" w:cs="Arial" w:eastAsia="Arial" w:hAnsi="Arial"/>
                <w:sz w:val="18"/>
                <w:szCs w:val="18"/>
                <w:color w:val="auto"/>
                <w:w w:val="79"/>
              </w:rPr>
              <w:t>26</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900" w:type="dxa"/>
            <w:vAlign w:val="bottom"/>
            <w:gridSpan w:val="3"/>
          </w:tcPr>
          <w:p>
            <w:pPr>
              <w:ind w:left="420"/>
              <w:spacing w:after="0"/>
              <w:rPr>
                <w:sz w:val="20"/>
                <w:szCs w:val="20"/>
                <w:color w:val="auto"/>
              </w:rPr>
            </w:pPr>
            <w:r>
              <w:rPr>
                <w:rFonts w:ascii="Arial" w:cs="Arial" w:eastAsia="Arial" w:hAnsi="Arial"/>
                <w:sz w:val="18"/>
                <w:szCs w:val="18"/>
                <w:color w:val="auto"/>
                <w:w w:val="97"/>
              </w:rPr>
              <w:t>Credit default swaps related to securitization</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00" w:type="dxa"/>
            <w:vAlign w:val="bottom"/>
            <w:gridSpan w:val="3"/>
          </w:tcPr>
          <w:p>
            <w:pPr>
              <w:ind w:left="640"/>
              <w:spacing w:after="0"/>
              <w:rPr>
                <w:sz w:val="20"/>
                <w:szCs w:val="20"/>
                <w:color w:val="auto"/>
              </w:rPr>
            </w:pPr>
            <w:r>
              <w:rPr>
                <w:rFonts w:ascii="Arial" w:cs="Arial" w:eastAsia="Arial" w:hAnsi="Arial"/>
                <w:sz w:val="18"/>
                <w:szCs w:val="18"/>
                <w:color w:val="auto"/>
              </w:rPr>
              <w:t xml:space="preserve">entities </w:t>
            </w:r>
            <w:r>
              <w:rPr>
                <w:rFonts w:ascii="Arial" w:cs="Arial" w:eastAsia="Arial" w:hAnsi="Arial"/>
                <w:sz w:val="11"/>
                <w:szCs w:val="11"/>
                <w:color w:val="auto"/>
              </w:rPr>
              <w:t>(2)</w:t>
            </w:r>
          </w:p>
        </w:tc>
        <w:tc>
          <w:tcPr>
            <w:tcW w:w="100" w:type="dxa"/>
            <w:vAlign w:val="bottom"/>
          </w:tcPr>
          <w:p>
            <w:pPr>
              <w:spacing w:after="0"/>
              <w:rPr>
                <w:sz w:val="19"/>
                <w:szCs w:val="19"/>
                <w:color w:val="auto"/>
              </w:rPr>
            </w:pPr>
          </w:p>
        </w:tc>
        <w:tc>
          <w:tcPr>
            <w:tcW w:w="84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41</w:t>
            </w:r>
          </w:p>
        </w:tc>
        <w:tc>
          <w:tcPr>
            <w:tcW w:w="4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9"/>
                <w:szCs w:val="19"/>
                <w:color w:val="auto"/>
              </w:rPr>
            </w:pPr>
          </w:p>
        </w:tc>
        <w:tc>
          <w:tcPr>
            <w:tcW w:w="700" w:type="dxa"/>
            <w:vAlign w:val="bottom"/>
            <w:gridSpan w:val="2"/>
          </w:tcPr>
          <w:p>
            <w:pPr>
              <w:ind w:left="100"/>
              <w:spacing w:after="0"/>
              <w:rPr>
                <w:sz w:val="20"/>
                <w:szCs w:val="20"/>
                <w:color w:val="auto"/>
              </w:rPr>
            </w:pPr>
            <w:r>
              <w:rPr>
                <w:rFonts w:ascii="Arial" w:cs="Arial" w:eastAsia="Arial" w:hAnsi="Arial"/>
                <w:sz w:val="18"/>
                <w:szCs w:val="18"/>
                <w:color w:val="auto"/>
              </w:rPr>
              <w:t>121</w:t>
            </w:r>
          </w:p>
        </w:tc>
        <w:tc>
          <w:tcPr>
            <w:tcW w:w="10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ind w:left="120"/>
              <w:spacing w:after="0"/>
              <w:rPr>
                <w:sz w:val="20"/>
                <w:szCs w:val="20"/>
                <w:color w:val="auto"/>
              </w:rPr>
            </w:pPr>
            <w:r>
              <w:rPr>
                <w:rFonts w:ascii="Arial" w:cs="Arial" w:eastAsia="Arial" w:hAnsi="Arial"/>
                <w:sz w:val="18"/>
                <w:szCs w:val="18"/>
                <w:color w:val="auto"/>
                <w:w w:val="79"/>
              </w:rPr>
              <w:t>159</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90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Equity index options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gridSpan w:val="3"/>
            <w:vMerge w:val="restart"/>
          </w:tcPr>
          <w:p>
            <w:pPr>
              <w:ind w:left="420"/>
              <w:spacing w:after="0"/>
              <w:rPr>
                <w:sz w:val="20"/>
                <w:szCs w:val="20"/>
                <w:color w:val="auto"/>
              </w:rPr>
            </w:pPr>
            <w:r>
              <w:rPr>
                <w:rFonts w:ascii="Arial" w:cs="Arial" w:eastAsia="Arial" w:hAnsi="Arial"/>
                <w:sz w:val="18"/>
                <w:szCs w:val="18"/>
                <w:color w:val="auto"/>
              </w:rPr>
              <w:t>Total derivative liabilities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3900" w:type="dxa"/>
            <w:vAlign w:val="bottom"/>
            <w:gridSpan w:val="3"/>
            <w:vMerge w:val="continue"/>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71</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22</w:t>
            </w:r>
          </w:p>
        </w:tc>
        <w:tc>
          <w:tcPr>
            <w:tcW w:w="4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(29)</w:t>
            </w:r>
          </w:p>
        </w:tc>
        <w:tc>
          <w:tcPr>
            <w:tcW w:w="200" w:type="dxa"/>
            <w:vAlign w:val="bottom"/>
          </w:tcPr>
          <w:p>
            <w:pPr>
              <w:spacing w:after="0"/>
              <w:rPr>
                <w:sz w:val="19"/>
                <w:szCs w:val="19"/>
                <w:color w:val="auto"/>
              </w:rPr>
            </w:pPr>
          </w:p>
        </w:tc>
        <w:tc>
          <w:tcPr>
            <w:tcW w:w="700" w:type="dxa"/>
            <w:vAlign w:val="bottom"/>
            <w:gridSpan w:val="2"/>
          </w:tcPr>
          <w:p>
            <w:pPr>
              <w:ind w:left="100"/>
              <w:spacing w:after="0"/>
              <w:rPr>
                <w:sz w:val="20"/>
                <w:szCs w:val="20"/>
                <w:color w:val="auto"/>
              </w:rPr>
            </w:pPr>
            <w:r>
              <w:rPr>
                <w:rFonts w:ascii="Arial" w:cs="Arial" w:eastAsia="Arial" w:hAnsi="Arial"/>
                <w:sz w:val="18"/>
                <w:szCs w:val="18"/>
                <w:color w:val="auto"/>
              </w:rPr>
              <w:t>121</w:t>
            </w:r>
          </w:p>
        </w:tc>
        <w:tc>
          <w:tcPr>
            <w:tcW w:w="10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ind w:left="120"/>
              <w:spacing w:after="0"/>
              <w:rPr>
                <w:sz w:val="20"/>
                <w:szCs w:val="20"/>
                <w:color w:val="auto"/>
              </w:rPr>
            </w:pPr>
            <w:r>
              <w:rPr>
                <w:rFonts w:ascii="Arial" w:cs="Arial" w:eastAsia="Arial" w:hAnsi="Arial"/>
                <w:sz w:val="18"/>
                <w:szCs w:val="18"/>
                <w:color w:val="auto"/>
                <w:w w:val="79"/>
              </w:rPr>
              <w:t>185</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 xml:space="preserve">Borrowings related to securitization entities </w:t>
            </w:r>
            <w:r>
              <w:rPr>
                <w:rFonts w:ascii="Arial" w:cs="Arial" w:eastAsia="Arial" w:hAnsi="Arial"/>
                <w:sz w:val="11"/>
                <w:szCs w:val="11"/>
                <w:color w:val="auto"/>
              </w:rPr>
              <w:t>(2)</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59</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ind w:left="200"/>
              <w:spacing w:after="0"/>
              <w:rPr>
                <w:sz w:val="20"/>
                <w:szCs w:val="20"/>
                <w:color w:val="auto"/>
              </w:rPr>
            </w:pPr>
            <w:r>
              <w:rPr>
                <w:rFonts w:ascii="Arial" w:cs="Arial" w:eastAsia="Arial" w:hAnsi="Arial"/>
                <w:sz w:val="18"/>
                <w:szCs w:val="18"/>
                <w:color w:val="auto"/>
                <w:w w:val="79"/>
              </w:rPr>
              <w:t>51</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3920" w:type="dxa"/>
            <w:vAlign w:val="bottom"/>
            <w:gridSpan w:val="4"/>
            <w:vMerge w:val="restart"/>
          </w:tcPr>
          <w:p>
            <w:pPr>
              <w:spacing w:after="0"/>
              <w:rPr>
                <w:sz w:val="20"/>
                <w:szCs w:val="20"/>
                <w:color w:val="auto"/>
              </w:rPr>
            </w:pPr>
            <w:r>
              <w:rPr>
                <w:rFonts w:ascii="Arial" w:cs="Arial" w:eastAsia="Arial" w:hAnsi="Arial"/>
                <w:sz w:val="18"/>
                <w:szCs w:val="18"/>
                <w:color w:val="auto"/>
              </w:rPr>
              <w:t>Total Level 3 liabilities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3920" w:type="dxa"/>
            <w:vAlign w:val="bottom"/>
            <w:gridSpan w:val="4"/>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246</w:t>
            </w:r>
          </w:p>
        </w:tc>
        <w:tc>
          <w:tcPr>
            <w:tcW w:w="320" w:type="dxa"/>
            <w:vAlign w:val="bottom"/>
          </w:tcPr>
          <w:p>
            <w:pPr>
              <w:spacing w:after="0"/>
              <w:rPr>
                <w:sz w:val="19"/>
                <w:szCs w:val="19"/>
                <w:color w:val="auto"/>
              </w:rPr>
            </w:pPr>
          </w:p>
        </w:tc>
        <w:tc>
          <w:tcPr>
            <w:tcW w:w="180" w:type="dxa"/>
            <w:vAlign w:val="bottom"/>
          </w:tcPr>
          <w:p>
            <w:pPr>
              <w:ind w:left="20"/>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269</w:t>
            </w:r>
          </w:p>
        </w:tc>
        <w:tc>
          <w:tcPr>
            <w:tcW w:w="440" w:type="dxa"/>
            <w:vAlign w:val="bottom"/>
          </w:tcPr>
          <w:p>
            <w:pPr>
              <w:spacing w:after="0"/>
              <w:rPr>
                <w:sz w:val="19"/>
                <w:szCs w:val="19"/>
                <w:color w:val="auto"/>
              </w:rPr>
            </w:pP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280" w:type="dxa"/>
            <w:vAlign w:val="bottom"/>
          </w:tcPr>
          <w:p>
            <w:pPr>
              <w:ind w:left="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(12)</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00" w:type="dxa"/>
            <w:vAlign w:val="bottom"/>
            <w:gridSpan w:val="2"/>
          </w:tcPr>
          <w:p>
            <w:pPr>
              <w:ind w:left="100"/>
              <w:spacing w:after="0"/>
              <w:rPr>
                <w:sz w:val="20"/>
                <w:szCs w:val="20"/>
                <w:color w:val="auto"/>
              </w:rPr>
            </w:pPr>
            <w:r>
              <w:rPr>
                <w:rFonts w:ascii="Arial" w:cs="Arial" w:eastAsia="Arial" w:hAnsi="Arial"/>
                <w:sz w:val="18"/>
                <w:szCs w:val="18"/>
                <w:color w:val="auto"/>
              </w:rPr>
              <w:t>180</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ind w:left="120"/>
              <w:spacing w:after="0"/>
              <w:rPr>
                <w:sz w:val="20"/>
                <w:szCs w:val="20"/>
                <w:color w:val="auto"/>
              </w:rPr>
            </w:pPr>
            <w:r>
              <w:rPr>
                <w:rFonts w:ascii="Arial" w:cs="Arial" w:eastAsia="Arial" w:hAnsi="Arial"/>
                <w:sz w:val="18"/>
                <w:szCs w:val="18"/>
                <w:color w:val="auto"/>
                <w:w w:val="79"/>
              </w:rPr>
              <w:t>683</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269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180" w:type="dxa"/>
            <w:vAlign w:val="bottom"/>
          </w:tcPr>
          <w:p>
            <w:pPr>
              <w:spacing w:after="0"/>
              <w:rPr>
                <w:sz w:val="8"/>
                <w:szCs w:val="8"/>
                <w:color w:val="auto"/>
              </w:rPr>
            </w:pPr>
          </w:p>
        </w:tc>
        <w:tc>
          <w:tcPr>
            <w:tcW w:w="2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440" w:type="dxa"/>
            <w:vAlign w:val="bottom"/>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56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spacing w:after="0"/>
        <w:tabs>
          <w:tab w:leader="none" w:pos="440" w:val="left"/>
        </w:tabs>
        <w:rPr>
          <w:sz w:val="20"/>
          <w:szCs w:val="20"/>
          <w:color w:val="auto"/>
        </w:rPr>
      </w:pPr>
      <w:r>
        <w:rPr>
          <w:rFonts w:ascii="Arial" w:cs="Arial" w:eastAsia="Arial" w:hAnsi="Arial"/>
          <w:sz w:val="11"/>
          <w:szCs w:val="11"/>
          <w:color w:val="auto"/>
        </w:rPr>
        <w:t>( 1 )</w:t>
      </w:r>
      <w:r>
        <w:rPr>
          <w:sz w:val="20"/>
          <w:szCs w:val="20"/>
          <w:color w:val="auto"/>
        </w:rPr>
        <w:tab/>
      </w:r>
      <w:r>
        <w:rPr>
          <w:rFonts w:ascii="Arial" w:cs="Arial" w:eastAsia="Arial" w:hAnsi="Arial"/>
          <w:sz w:val="15"/>
          <w:szCs w:val="15"/>
          <w:color w:val="auto"/>
        </w:rPr>
        <w:t>Represents embedded derivatives associated with our GMWB liabilities, excluding the impact of reinsurance.</w:t>
      </w:r>
    </w:p>
    <w:p>
      <w:pPr>
        <w:spacing w:after="0" w:line="44" w:lineRule="exact"/>
        <w:rPr>
          <w:sz w:val="20"/>
          <w:szCs w:val="20"/>
          <w:color w:val="auto"/>
        </w:rPr>
      </w:pPr>
    </w:p>
    <w:p>
      <w:pPr>
        <w:ind w:left="460" w:right="900" w:hanging="452"/>
        <w:spacing w:after="0" w:line="228" w:lineRule="auto"/>
        <w:tabs>
          <w:tab w:leader="none" w:pos="460" w:val="left"/>
        </w:tabs>
        <w:numPr>
          <w:ilvl w:val="0"/>
          <w:numId w:val="30"/>
        </w:numPr>
        <w:rPr>
          <w:rFonts w:ascii="Arial" w:cs="Arial" w:eastAsia="Arial" w:hAnsi="Arial"/>
          <w:sz w:val="22"/>
          <w:szCs w:val="22"/>
          <w:color w:val="auto"/>
          <w:vertAlign w:val="superscript"/>
        </w:rPr>
      </w:pPr>
      <w:r>
        <w:rPr>
          <w:rFonts w:ascii="Arial" w:cs="Arial" w:eastAsia="Arial" w:hAnsi="Arial"/>
          <w:sz w:val="18"/>
          <w:szCs w:val="18"/>
          <w:color w:val="auto"/>
        </w:rPr>
        <w:t>Relates to the consolidation of certain securitization entities as of January 1, 2010. See note 7 for additional information related to consolidated securitization entities.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3"/>
            <w:vMerge w:val="restart"/>
          </w:tcPr>
          <w:p>
            <w:pPr>
              <w:jc w:val="center"/>
              <w:ind w:left="62"/>
              <w:spacing w:after="0"/>
              <w:rPr>
                <w:sz w:val="20"/>
                <w:szCs w:val="20"/>
                <w:color w:val="auto"/>
              </w:rPr>
            </w:pPr>
            <w:r>
              <w:rPr>
                <w:rFonts w:ascii="Arial" w:cs="Arial" w:eastAsia="Arial" w:hAnsi="Arial"/>
                <w:sz w:val="14"/>
                <w:szCs w:val="14"/>
                <w:b w:val="1"/>
                <w:bCs w:val="1"/>
                <w:color w:val="auto"/>
                <w:w w:val="87"/>
              </w:rPr>
              <w:t>Total realized and</w:t>
            </w: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6"/>
              </w:rPr>
              <w:t>Total (gains)</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300" w:type="dxa"/>
            <w:vAlign w:val="bottom"/>
            <w:gridSpan w:val="3"/>
            <w:vMerge w:val="continue"/>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73"/>
              </w:rPr>
              <w:t>losses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00" w:type="dxa"/>
            <w:vAlign w:val="bottom"/>
            <w:gridSpan w:val="3"/>
          </w:tcPr>
          <w:p>
            <w:pPr>
              <w:jc w:val="center"/>
              <w:ind w:left="62"/>
              <w:spacing w:after="0" w:line="149" w:lineRule="exact"/>
              <w:rPr>
                <w:sz w:val="20"/>
                <w:szCs w:val="20"/>
                <w:color w:val="auto"/>
              </w:rPr>
            </w:pPr>
            <w:r>
              <w:rPr>
                <w:rFonts w:ascii="Arial" w:cs="Arial" w:eastAsia="Arial" w:hAnsi="Arial"/>
                <w:sz w:val="14"/>
                <w:szCs w:val="14"/>
                <w:b w:val="1"/>
                <w:bCs w:val="1"/>
                <w:color w:val="auto"/>
                <w:w w:val="87"/>
              </w:rPr>
              <w:t>unrealized (gains)</w:t>
            </w:r>
          </w:p>
        </w:tc>
        <w:tc>
          <w:tcPr>
            <w:tcW w:w="3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40" w:type="dxa"/>
            <w:vAlign w:val="bottom"/>
            <w:gridSpan w:val="3"/>
          </w:tcPr>
          <w:p>
            <w:pPr>
              <w:jc w:val="center"/>
              <w:ind w:right="540"/>
              <w:spacing w:after="0" w:line="149" w:lineRule="exact"/>
              <w:rPr>
                <w:sz w:val="20"/>
                <w:szCs w:val="20"/>
                <w:color w:val="auto"/>
              </w:rPr>
            </w:pPr>
            <w:r>
              <w:rPr>
                <w:rFonts w:ascii="Arial" w:cs="Arial" w:eastAsia="Arial" w:hAnsi="Arial"/>
                <w:sz w:val="14"/>
                <w:szCs w:val="14"/>
                <w:b w:val="1"/>
                <w:bCs w:val="1"/>
                <w:color w:val="auto"/>
                <w:w w:val="82"/>
              </w:rPr>
              <w:t>Purchases,</w:t>
            </w:r>
          </w:p>
        </w:tc>
        <w:tc>
          <w:tcPr>
            <w:tcW w:w="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included in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84"/>
              </w:rPr>
              <w:t>Beginning</w:t>
            </w:r>
          </w:p>
        </w:tc>
        <w:tc>
          <w:tcPr>
            <w:tcW w:w="2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152"/>
              <w:spacing w:after="0"/>
              <w:rPr>
                <w:sz w:val="20"/>
                <w:szCs w:val="20"/>
                <w:color w:val="auto"/>
              </w:rPr>
            </w:pPr>
            <w:r>
              <w:rPr>
                <w:rFonts w:ascii="Arial" w:cs="Arial" w:eastAsia="Arial" w:hAnsi="Arial"/>
                <w:sz w:val="14"/>
                <w:szCs w:val="14"/>
                <w:b w:val="1"/>
                <w:bCs w:val="1"/>
                <w:color w:val="auto"/>
                <w:w w:val="73"/>
              </w:rPr>
              <w:t>losses</w:t>
            </w:r>
          </w:p>
        </w:tc>
        <w:tc>
          <w:tcPr>
            <w:tcW w:w="2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tcPr>
          <w:p>
            <w:pPr>
              <w:jc w:val="center"/>
              <w:ind w:right="680"/>
              <w:spacing w:after="0"/>
              <w:rPr>
                <w:sz w:val="20"/>
                <w:szCs w:val="20"/>
                <w:color w:val="auto"/>
              </w:rPr>
            </w:pPr>
            <w:r>
              <w:rPr>
                <w:rFonts w:ascii="Arial" w:cs="Arial" w:eastAsia="Arial" w:hAnsi="Arial"/>
                <w:sz w:val="14"/>
                <w:szCs w:val="14"/>
                <w:b w:val="1"/>
                <w:bCs w:val="1"/>
                <w:color w:val="auto"/>
                <w:w w:val="76"/>
              </w:rPr>
              <w:t>sales,</w:t>
            </w:r>
          </w:p>
        </w:tc>
        <w:tc>
          <w:tcPr>
            <w:tcW w:w="1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0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88"/>
              </w:rPr>
              <w:t>Ending</w:t>
            </w:r>
          </w:p>
        </w:tc>
        <w:tc>
          <w:tcPr>
            <w:tcW w:w="220" w:type="dxa"/>
            <w:vAlign w:val="bottom"/>
          </w:tcPr>
          <w:p>
            <w:pPr>
              <w:spacing w:after="0"/>
              <w:rPr>
                <w:sz w:val="14"/>
                <w:szCs w:val="14"/>
                <w:color w:val="auto"/>
              </w:rPr>
            </w:pPr>
          </w:p>
        </w:tc>
        <w:tc>
          <w:tcPr>
            <w:tcW w:w="8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6"/>
              </w:rPr>
              <w:t>net (income)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gridSpan w:val="2"/>
          </w:tcPr>
          <w:p>
            <w:pPr>
              <w:jc w:val="center"/>
              <w:ind w:right="320"/>
              <w:spacing w:after="0" w:line="129" w:lineRule="exact"/>
              <w:rPr>
                <w:sz w:val="20"/>
                <w:szCs w:val="20"/>
                <w:color w:val="auto"/>
              </w:rPr>
            </w:pPr>
            <w:r>
              <w:rPr>
                <w:rFonts w:ascii="Arial" w:cs="Arial" w:eastAsia="Arial" w:hAnsi="Arial"/>
                <w:sz w:val="14"/>
                <w:szCs w:val="14"/>
                <w:b w:val="1"/>
                <w:bCs w:val="1"/>
                <w:color w:val="auto"/>
                <w:w w:val="84"/>
              </w:rPr>
              <w:t>balance</w:t>
            </w: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40" w:type="dxa"/>
            <w:vAlign w:val="bottom"/>
            <w:gridSpan w:val="3"/>
          </w:tcPr>
          <w:p>
            <w:pPr>
              <w:jc w:val="center"/>
              <w:ind w:right="540"/>
              <w:spacing w:after="0" w:line="129" w:lineRule="exact"/>
              <w:rPr>
                <w:sz w:val="20"/>
                <w:szCs w:val="20"/>
                <w:color w:val="auto"/>
              </w:rPr>
            </w:pPr>
            <w:r>
              <w:rPr>
                <w:rFonts w:ascii="Arial" w:cs="Arial" w:eastAsia="Arial" w:hAnsi="Arial"/>
                <w:sz w:val="14"/>
                <w:szCs w:val="14"/>
                <w:b w:val="1"/>
                <w:bCs w:val="1"/>
                <w:color w:val="auto"/>
                <w:w w:val="79"/>
              </w:rPr>
              <w:t>issuances</w:t>
            </w: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gridSpan w:val="3"/>
          </w:tcPr>
          <w:p>
            <w:pPr>
              <w:jc w:val="center"/>
              <w:ind w:right="220"/>
              <w:spacing w:after="0" w:line="129" w:lineRule="exact"/>
              <w:rPr>
                <w:sz w:val="20"/>
                <w:szCs w:val="20"/>
                <w:color w:val="auto"/>
              </w:rPr>
            </w:pPr>
            <w:r>
              <w:rPr>
                <w:rFonts w:ascii="Arial" w:cs="Arial" w:eastAsia="Arial" w:hAnsi="Arial"/>
                <w:sz w:val="14"/>
                <w:szCs w:val="14"/>
                <w:b w:val="1"/>
                <w:bCs w:val="1"/>
                <w:color w:val="auto"/>
                <w:w w:val="84"/>
              </w:rPr>
              <w:t>balance</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tcPr>
          <w:p>
            <w:pPr>
              <w:jc w:val="center"/>
              <w:ind w:right="200"/>
              <w:spacing w:after="0" w:line="129" w:lineRule="exact"/>
              <w:rPr>
                <w:sz w:val="20"/>
                <w:szCs w:val="20"/>
                <w:color w:val="auto"/>
              </w:rPr>
            </w:pPr>
            <w:r>
              <w:rPr>
                <w:rFonts w:ascii="Arial" w:cs="Arial" w:eastAsia="Arial" w:hAnsi="Arial"/>
                <w:sz w:val="14"/>
                <w:szCs w:val="14"/>
                <w:b w:val="1"/>
                <w:bCs w:val="1"/>
                <w:color w:val="auto"/>
                <w:w w:val="78"/>
              </w:rPr>
              <w:t>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79"/>
              </w:rPr>
              <w:t>as of</w:t>
            </w:r>
          </w:p>
        </w:tc>
        <w:tc>
          <w:tcPr>
            <w:tcW w:w="200" w:type="dxa"/>
            <w:vAlign w:val="bottom"/>
          </w:tcPr>
          <w:p>
            <w:pPr>
              <w:spacing w:after="0"/>
              <w:rPr>
                <w:sz w:val="12"/>
                <w:szCs w:val="12"/>
                <w:color w:val="auto"/>
              </w:rPr>
            </w:pPr>
          </w:p>
        </w:tc>
        <w:tc>
          <w:tcPr>
            <w:tcW w:w="1280" w:type="dxa"/>
            <w:vAlign w:val="bottom"/>
            <w:gridSpan w:val="3"/>
          </w:tcPr>
          <w:p>
            <w:pPr>
              <w:jc w:val="right"/>
              <w:ind w:right="512"/>
              <w:spacing w:after="0" w:line="149" w:lineRule="exact"/>
              <w:rPr>
                <w:sz w:val="20"/>
                <w:szCs w:val="20"/>
                <w:color w:val="auto"/>
              </w:rPr>
            </w:pPr>
            <w:r>
              <w:rPr>
                <w:rFonts w:ascii="Arial" w:cs="Arial" w:eastAsia="Arial" w:hAnsi="Arial"/>
                <w:sz w:val="14"/>
                <w:szCs w:val="14"/>
                <w:b w:val="1"/>
                <w:bCs w:val="1"/>
                <w:color w:val="auto"/>
                <w:w w:val="91"/>
              </w:rPr>
              <w:t>Included in</w:t>
            </w:r>
          </w:p>
        </w:tc>
        <w:tc>
          <w:tcPr>
            <w:tcW w:w="2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680"/>
              <w:spacing w:after="0" w:line="149" w:lineRule="exact"/>
              <w:rPr>
                <w:sz w:val="20"/>
                <w:szCs w:val="20"/>
                <w:color w:val="auto"/>
              </w:rPr>
            </w:pPr>
            <w:r>
              <w:rPr>
                <w:rFonts w:ascii="Arial" w:cs="Arial" w:eastAsia="Arial" w:hAnsi="Arial"/>
                <w:sz w:val="14"/>
                <w:szCs w:val="14"/>
                <w:b w:val="1"/>
                <w:bCs w:val="1"/>
                <w:color w:val="auto"/>
                <w:w w:val="88"/>
              </w:rPr>
              <w:t>and</w:t>
            </w:r>
          </w:p>
        </w:tc>
        <w:tc>
          <w:tcPr>
            <w:tcW w:w="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0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5"/>
              </w:rPr>
              <w:t>Transfer</w:t>
            </w: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79"/>
              </w:rPr>
              <w:t>as of</w:t>
            </w:r>
          </w:p>
        </w:tc>
        <w:tc>
          <w:tcPr>
            <w:tcW w:w="220" w:type="dxa"/>
            <w:vAlign w:val="bottom"/>
          </w:tcPr>
          <w:p>
            <w:pPr>
              <w:spacing w:after="0"/>
              <w:rPr>
                <w:sz w:val="12"/>
                <w:szCs w:val="12"/>
                <w:color w:val="auto"/>
              </w:rPr>
            </w:pPr>
          </w:p>
        </w:tc>
        <w:tc>
          <w:tcPr>
            <w:tcW w:w="8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attributable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4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January 1,</w:t>
            </w:r>
          </w:p>
        </w:tc>
        <w:tc>
          <w:tcPr>
            <w:tcW w:w="200" w:type="dxa"/>
            <w:vAlign w:val="bottom"/>
          </w:tcPr>
          <w:p>
            <w:pPr>
              <w:spacing w:after="0"/>
              <w:rPr>
                <w:sz w:val="12"/>
                <w:szCs w:val="12"/>
                <w:color w:val="auto"/>
              </w:rPr>
            </w:pPr>
          </w:p>
        </w:tc>
        <w:tc>
          <w:tcPr>
            <w:tcW w:w="12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net (income)</w:t>
            </w:r>
          </w:p>
        </w:tc>
        <w:tc>
          <w:tcPr>
            <w:tcW w:w="5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6"/>
              </w:rPr>
              <w:t>Included</w:t>
            </w:r>
          </w:p>
        </w:tc>
        <w:tc>
          <w:tcPr>
            <w:tcW w:w="420" w:type="dxa"/>
            <w:vAlign w:val="bottom"/>
          </w:tcPr>
          <w:p>
            <w:pPr>
              <w:spacing w:after="0"/>
              <w:rPr>
                <w:sz w:val="12"/>
                <w:szCs w:val="12"/>
                <w:color w:val="auto"/>
              </w:rPr>
            </w:pPr>
          </w:p>
        </w:tc>
        <w:tc>
          <w:tcPr>
            <w:tcW w:w="1240" w:type="dxa"/>
            <w:vAlign w:val="bottom"/>
            <w:gridSpan w:val="3"/>
          </w:tcPr>
          <w:p>
            <w:pPr>
              <w:jc w:val="center"/>
              <w:ind w:right="560"/>
              <w:spacing w:after="0" w:line="149" w:lineRule="exact"/>
              <w:rPr>
                <w:sz w:val="20"/>
                <w:szCs w:val="20"/>
                <w:color w:val="auto"/>
              </w:rPr>
            </w:pPr>
            <w:r>
              <w:rPr>
                <w:rFonts w:ascii="Arial" w:cs="Arial" w:eastAsia="Arial" w:hAnsi="Arial"/>
                <w:sz w:val="14"/>
                <w:szCs w:val="14"/>
                <w:b w:val="1"/>
                <w:bCs w:val="1"/>
                <w:color w:val="auto"/>
                <w:w w:val="83"/>
              </w:rPr>
              <w:t>settlements,</w:t>
            </w:r>
          </w:p>
        </w:tc>
        <w:tc>
          <w:tcPr>
            <w:tcW w:w="56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92"/>
              </w:rPr>
              <w:t>Transfer</w:t>
            </w: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2"/>
              </w:rPr>
              <w:t>out of</w:t>
            </w:r>
          </w:p>
        </w:tc>
        <w:tc>
          <w:tcPr>
            <w:tcW w:w="460" w:type="dxa"/>
            <w:vAlign w:val="bottom"/>
          </w:tcPr>
          <w:p>
            <w:pPr>
              <w:spacing w:after="0"/>
              <w:rPr>
                <w:sz w:val="12"/>
                <w:szCs w:val="12"/>
                <w:color w:val="auto"/>
              </w:rPr>
            </w:pPr>
          </w:p>
        </w:tc>
        <w:tc>
          <w:tcPr>
            <w:tcW w:w="70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June 30,</w:t>
            </w:r>
          </w:p>
        </w:tc>
        <w:tc>
          <w:tcPr>
            <w:tcW w:w="220" w:type="dxa"/>
            <w:vAlign w:val="bottom"/>
          </w:tcPr>
          <w:p>
            <w:pPr>
              <w:spacing w:after="0"/>
              <w:rPr>
                <w:sz w:val="12"/>
                <w:szCs w:val="12"/>
                <w:color w:val="auto"/>
              </w:rPr>
            </w:pPr>
          </w:p>
        </w:tc>
        <w:tc>
          <w:tcPr>
            <w:tcW w:w="8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to liabilities</w:t>
            </w:r>
          </w:p>
        </w:tc>
        <w:tc>
          <w:tcPr>
            <w:tcW w:w="0" w:type="dxa"/>
            <w:vAlign w:val="bottom"/>
          </w:tcPr>
          <w:p>
            <w:pPr>
              <w:spacing w:after="0"/>
              <w:rPr>
                <w:sz w:val="1"/>
                <w:szCs w:val="1"/>
                <w:color w:val="auto"/>
              </w:rPr>
            </w:pPr>
          </w:p>
        </w:tc>
      </w:tr>
      <w:tr>
        <w:trPr>
          <w:trHeight w:val="161"/>
        </w:trPr>
        <w:tc>
          <w:tcPr>
            <w:tcW w:w="2960" w:type="dxa"/>
            <w:vAlign w:val="bottom"/>
            <w:gridSpan w:val="5"/>
          </w:tcPr>
          <w:p>
            <w:pPr>
              <w:spacing w:after="0"/>
              <w:rPr>
                <w:sz w:val="20"/>
                <w:szCs w:val="20"/>
                <w:color w:val="auto"/>
              </w:rPr>
            </w:pPr>
            <w:r>
              <w:rPr>
                <w:rFonts w:ascii="Arial" w:cs="Arial" w:eastAsia="Arial" w:hAnsi="Arial"/>
                <w:sz w:val="14"/>
                <w:szCs w:val="14"/>
                <w:b w:val="1"/>
                <w:bCs w:val="1"/>
                <w:color w:val="auto"/>
              </w:rPr>
              <w:t>(Amounts in millions)</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jc w:val="center"/>
              <w:ind w:right="2"/>
              <w:spacing w:after="0"/>
              <w:rPr>
                <w:sz w:val="20"/>
                <w:szCs w:val="20"/>
                <w:color w:val="auto"/>
              </w:rPr>
            </w:pPr>
            <w:r>
              <w:rPr>
                <w:rFonts w:ascii="Arial" w:cs="Arial" w:eastAsia="Arial" w:hAnsi="Arial"/>
                <w:sz w:val="14"/>
                <w:szCs w:val="14"/>
                <w:b w:val="1"/>
                <w:bCs w:val="1"/>
                <w:color w:val="auto"/>
                <w:w w:val="83"/>
              </w:rPr>
              <w:t>2009</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00" w:type="dxa"/>
            <w:vAlign w:val="bottom"/>
            <w:gridSpan w:val="2"/>
          </w:tcPr>
          <w:p>
            <w:pPr>
              <w:jc w:val="right"/>
              <w:ind w:right="732"/>
              <w:spacing w:after="0"/>
              <w:rPr>
                <w:sz w:val="20"/>
                <w:szCs w:val="20"/>
                <w:color w:val="auto"/>
              </w:rPr>
            </w:pPr>
            <w:r>
              <w:rPr>
                <w:rFonts w:ascii="Arial" w:cs="Arial" w:eastAsia="Arial" w:hAnsi="Arial"/>
                <w:sz w:val="14"/>
                <w:szCs w:val="14"/>
                <w:b w:val="1"/>
                <w:bCs w:val="1"/>
                <w:color w:val="auto"/>
                <w:w w:val="99"/>
              </w:rPr>
              <w:t>loss</w:t>
            </w:r>
          </w:p>
        </w:tc>
        <w:tc>
          <w:tcPr>
            <w:tcW w:w="520" w:type="dxa"/>
            <w:vAlign w:val="bottom"/>
            <w:gridSpan w:val="2"/>
          </w:tcPr>
          <w:p>
            <w:pPr>
              <w:ind w:left="60"/>
              <w:spacing w:after="0"/>
              <w:rPr>
                <w:sz w:val="20"/>
                <w:szCs w:val="20"/>
                <w:color w:val="auto"/>
              </w:rPr>
            </w:pPr>
            <w:r>
              <w:rPr>
                <w:rFonts w:ascii="Arial" w:cs="Arial" w:eastAsia="Arial" w:hAnsi="Arial"/>
                <w:sz w:val="14"/>
                <w:szCs w:val="14"/>
                <w:b w:val="1"/>
                <w:bCs w:val="1"/>
                <w:color w:val="auto"/>
              </w:rPr>
              <w:t>in OCI</w:t>
            </w: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tcPr>
          <w:p>
            <w:pPr>
              <w:jc w:val="center"/>
              <w:ind w:right="680"/>
              <w:spacing w:after="0"/>
              <w:rPr>
                <w:sz w:val="20"/>
                <w:szCs w:val="20"/>
                <w:color w:val="auto"/>
              </w:rPr>
            </w:pPr>
            <w:r>
              <w:rPr>
                <w:rFonts w:ascii="Arial" w:cs="Arial" w:eastAsia="Arial" w:hAnsi="Arial"/>
                <w:sz w:val="14"/>
                <w:szCs w:val="14"/>
                <w:b w:val="1"/>
                <w:bCs w:val="1"/>
                <w:color w:val="auto"/>
                <w:w w:val="85"/>
              </w:rPr>
              <w:t>net</w:t>
            </w:r>
          </w:p>
        </w:tc>
        <w:tc>
          <w:tcPr>
            <w:tcW w:w="560" w:type="dxa"/>
            <w:vAlign w:val="bottom"/>
            <w:gridSpan w:val="2"/>
          </w:tcPr>
          <w:p>
            <w:pPr>
              <w:spacing w:after="0"/>
              <w:rPr>
                <w:sz w:val="20"/>
                <w:szCs w:val="20"/>
                <w:color w:val="auto"/>
              </w:rPr>
            </w:pPr>
            <w:r>
              <w:rPr>
                <w:rFonts w:ascii="Arial" w:cs="Arial" w:eastAsia="Arial" w:hAnsi="Arial"/>
                <w:sz w:val="14"/>
                <w:szCs w:val="14"/>
                <w:b w:val="1"/>
                <w:bCs w:val="1"/>
                <w:color w:val="auto"/>
                <w:w w:val="84"/>
              </w:rPr>
              <w:t>in Level 3</w:t>
            </w:r>
          </w:p>
        </w:tc>
        <w:tc>
          <w:tcPr>
            <w:tcW w:w="440" w:type="dxa"/>
            <w:vAlign w:val="bottom"/>
          </w:tcPr>
          <w:p>
            <w:pPr>
              <w:spacing w:after="0"/>
              <w:rPr>
                <w:sz w:val="14"/>
                <w:szCs w:val="14"/>
                <w:color w:val="auto"/>
              </w:rPr>
            </w:pPr>
          </w:p>
        </w:tc>
        <w:tc>
          <w:tcPr>
            <w:tcW w:w="500" w:type="dxa"/>
            <w:vAlign w:val="bottom"/>
            <w:gridSpan w:val="2"/>
          </w:tcPr>
          <w:p>
            <w:pPr>
              <w:jc w:val="right"/>
              <w:spacing w:after="0"/>
              <w:rPr>
                <w:sz w:val="20"/>
                <w:szCs w:val="20"/>
                <w:color w:val="auto"/>
              </w:rPr>
            </w:pPr>
            <w:r>
              <w:rPr>
                <w:rFonts w:ascii="Arial" w:cs="Arial" w:eastAsia="Arial" w:hAnsi="Arial"/>
                <w:sz w:val="14"/>
                <w:szCs w:val="14"/>
                <w:b w:val="1"/>
                <w:bCs w:val="1"/>
                <w:color w:val="auto"/>
                <w:w w:val="92"/>
              </w:rPr>
              <w:t>Level 3</w:t>
            </w:r>
          </w:p>
        </w:tc>
        <w:tc>
          <w:tcPr>
            <w:tcW w:w="4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jc w:val="center"/>
              <w:ind w:right="20"/>
              <w:spacing w:after="0"/>
              <w:rPr>
                <w:sz w:val="20"/>
                <w:szCs w:val="20"/>
                <w:color w:val="auto"/>
              </w:rPr>
            </w:pPr>
            <w:r>
              <w:rPr>
                <w:rFonts w:ascii="Arial" w:cs="Arial" w:eastAsia="Arial" w:hAnsi="Arial"/>
                <w:sz w:val="14"/>
                <w:szCs w:val="14"/>
                <w:b w:val="1"/>
                <w:bCs w:val="1"/>
                <w:color w:val="auto"/>
                <w:w w:val="83"/>
              </w:rPr>
              <w:t>2009</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7"/>
              </w:rPr>
              <w:t>still held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9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Policyholder account balances</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878</w:t>
            </w: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412"/>
              <w:spacing w:after="0"/>
              <w:rPr>
                <w:sz w:val="20"/>
                <w:szCs w:val="20"/>
                <w:color w:val="auto"/>
              </w:rPr>
            </w:pPr>
            <w:r>
              <w:rPr>
                <w:rFonts w:ascii="Arial" w:cs="Arial" w:eastAsia="Arial" w:hAnsi="Arial"/>
                <w:sz w:val="18"/>
                <w:szCs w:val="18"/>
                <w:color w:val="auto"/>
              </w:rPr>
              <w:t>(456)</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ind w:left="4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13</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ind w:left="440"/>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435</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40" w:type="dxa"/>
            <w:vAlign w:val="bottom"/>
            <w:gridSpan w:val="4"/>
          </w:tcPr>
          <w:p>
            <w:pPr>
              <w:spacing w:after="0"/>
              <w:rPr>
                <w:sz w:val="20"/>
                <w:szCs w:val="20"/>
                <w:color w:val="auto"/>
              </w:rPr>
            </w:pPr>
            <w:r>
              <w:rPr>
                <w:rFonts w:ascii="Arial" w:cs="Arial" w:eastAsia="Arial" w:hAnsi="Arial"/>
                <w:sz w:val="18"/>
                <w:szCs w:val="18"/>
                <w:color w:val="auto"/>
              </w:rPr>
              <w:t xml:space="preserve">Other liabilities </w:t>
            </w:r>
            <w:r>
              <w:rPr>
                <w:rFonts w:ascii="Arial" w:cs="Arial" w:eastAsia="Arial" w:hAnsi="Arial"/>
                <w:sz w:val="11"/>
                <w:szCs w:val="11"/>
                <w:color w:val="auto"/>
              </w:rPr>
              <w:t>( 1)</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68</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142</w:t>
            </w: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ind w:left="4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480"/>
              <w:spacing w:after="0"/>
              <w:rPr>
                <w:sz w:val="20"/>
                <w:szCs w:val="20"/>
                <w:color w:val="auto"/>
              </w:rPr>
            </w:pPr>
            <w:r>
              <w:rPr>
                <w:rFonts w:ascii="Arial" w:cs="Arial" w:eastAsia="Arial" w:hAnsi="Arial"/>
                <w:sz w:val="18"/>
                <w:szCs w:val="18"/>
                <w:color w:val="auto"/>
              </w:rPr>
              <w:t>(49)</w:t>
            </w:r>
          </w:p>
        </w:tc>
        <w:tc>
          <w:tcPr>
            <w:tcW w:w="180" w:type="dxa"/>
            <w:vAlign w:val="bottom"/>
          </w:tcPr>
          <w:p>
            <w:pPr>
              <w:spacing w:after="0"/>
              <w:rPr>
                <w:sz w:val="18"/>
                <w:szCs w:val="18"/>
                <w:color w:val="auto"/>
              </w:rPr>
            </w:pPr>
          </w:p>
        </w:tc>
        <w:tc>
          <w:tcPr>
            <w:tcW w:w="380" w:type="dxa"/>
            <w:vAlign w:val="bottom"/>
          </w:tcPr>
          <w:p>
            <w:pPr>
              <w:ind w:left="1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220"/>
              <w:spacing w:after="0"/>
              <w:rPr>
                <w:sz w:val="20"/>
                <w:szCs w:val="20"/>
                <w:color w:val="auto"/>
              </w:rPr>
            </w:pPr>
            <w:r>
              <w:rPr>
                <w:rFonts w:ascii="Arial" w:cs="Arial" w:eastAsia="Arial" w:hAnsi="Arial"/>
                <w:sz w:val="18"/>
                <w:szCs w:val="18"/>
                <w:color w:val="auto"/>
              </w:rPr>
              <w:t>161</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9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Total Level 3 liabilities</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946</w:t>
            </w: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412"/>
              <w:spacing w:after="0"/>
              <w:rPr>
                <w:sz w:val="20"/>
                <w:szCs w:val="20"/>
                <w:color w:val="auto"/>
              </w:rPr>
            </w:pPr>
            <w:r>
              <w:rPr>
                <w:rFonts w:ascii="Arial" w:cs="Arial" w:eastAsia="Arial" w:hAnsi="Arial"/>
                <w:sz w:val="18"/>
                <w:szCs w:val="18"/>
                <w:color w:val="auto"/>
              </w:rPr>
              <w:t>(314)</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ind w:left="4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(36)</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ind w:left="440"/>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596</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(335)</w:t>
            </w:r>
          </w:p>
        </w:tc>
        <w:tc>
          <w:tcPr>
            <w:tcW w:w="0" w:type="dxa"/>
            <w:vAlign w:val="bottom"/>
          </w:tcPr>
          <w:p>
            <w:pPr>
              <w:spacing w:after="0"/>
              <w:rPr>
                <w:sz w:val="1"/>
                <w:szCs w:val="1"/>
                <w:color w:val="auto"/>
              </w:rPr>
            </w:pPr>
          </w:p>
        </w:tc>
      </w:tr>
      <w:tr>
        <w:trPr>
          <w:trHeight w:val="20"/>
        </w:trPr>
        <w:tc>
          <w:tcPr>
            <w:tcW w:w="320" w:type="dxa"/>
            <w:vAlign w:val="bottom"/>
            <w:gridSpan w:val="2"/>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8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1800" w:type="dxa"/>
            <w:vAlign w:val="bottom"/>
            <w:gridSpan w:val="2"/>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540" w:type="dxa"/>
            <w:vAlign w:val="bottom"/>
          </w:tcPr>
          <w:p>
            <w:pPr>
              <w:spacing w:after="0"/>
              <w:rPr>
                <w:sz w:val="8"/>
                <w:szCs w:val="8"/>
                <w:color w:val="auto"/>
              </w:rPr>
            </w:pPr>
          </w:p>
        </w:tc>
        <w:tc>
          <w:tcPr>
            <w:tcW w:w="20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1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320" w:type="dxa"/>
            <w:vAlign w:val="bottom"/>
            <w:gridSpan w:val="2"/>
          </w:tcPr>
          <w:p>
            <w:pPr>
              <w:spacing w:after="0"/>
              <w:rPr>
                <w:sz w:val="20"/>
                <w:szCs w:val="20"/>
                <w:color w:val="auto"/>
              </w:rPr>
            </w:pPr>
            <w:r>
              <w:rPr>
                <w:rFonts w:ascii="Arial" w:cs="Arial" w:eastAsia="Arial" w:hAnsi="Arial"/>
                <w:sz w:val="11"/>
                <w:szCs w:val="11"/>
                <w:color w:val="auto"/>
              </w:rPr>
              <w:t>(1 )</w:t>
            </w:r>
          </w:p>
        </w:tc>
        <w:tc>
          <w:tcPr>
            <w:tcW w:w="2640" w:type="dxa"/>
            <w:vAlign w:val="bottom"/>
            <w:gridSpan w:val="3"/>
          </w:tcPr>
          <w:p>
            <w:pPr>
              <w:ind w:left="140"/>
              <w:spacing w:after="0"/>
              <w:rPr>
                <w:sz w:val="20"/>
                <w:szCs w:val="20"/>
                <w:color w:val="auto"/>
              </w:rPr>
            </w:pPr>
            <w:r>
              <w:rPr>
                <w:rFonts w:ascii="Arial" w:cs="Arial" w:eastAsia="Arial" w:hAnsi="Arial"/>
                <w:sz w:val="18"/>
                <w:szCs w:val="18"/>
                <w:color w:val="auto"/>
                <w:w w:val="98"/>
              </w:rPr>
              <w:t>Represents derivative liabilities.</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56" w:lineRule="exact"/>
        <w:rPr>
          <w:sz w:val="20"/>
          <w:szCs w:val="20"/>
          <w:color w:val="auto"/>
        </w:rPr>
      </w:pPr>
    </w:p>
    <w:p>
      <w:pPr>
        <w:ind w:right="80" w:firstLine="456"/>
        <w:spacing w:after="0" w:line="332" w:lineRule="auto"/>
        <w:rPr>
          <w:sz w:val="20"/>
          <w:szCs w:val="20"/>
          <w:color w:val="auto"/>
        </w:rPr>
      </w:pPr>
      <w:r>
        <w:rPr>
          <w:rFonts w:ascii="Arial" w:cs="Arial" w:eastAsia="Arial" w:hAnsi="Arial"/>
          <w:sz w:val="16"/>
          <w:szCs w:val="16"/>
          <w:color w:val="auto"/>
        </w:rPr>
        <w:t>Realized and unrealized gains (losses) on Level 3 assets and liabilities are primarily reported in either net investment gains (losses) within the consolidated statements of income or OCI within stockholders’ equity based on the appropriate accounting treatment for the instrument.</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459" w:right="2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jc w:val="both"/>
        <w:ind w:right="220" w:firstLine="456"/>
        <w:spacing w:after="0" w:line="259" w:lineRule="auto"/>
        <w:rPr>
          <w:sz w:val="20"/>
          <w:szCs w:val="20"/>
          <w:color w:val="auto"/>
        </w:rPr>
      </w:pPr>
      <w:r>
        <w:rPr>
          <w:rFonts w:ascii="Arial" w:cs="Arial" w:eastAsia="Arial" w:hAnsi="Arial"/>
          <w:sz w:val="18"/>
          <w:szCs w:val="18"/>
          <w:color w:val="auto"/>
        </w:rPr>
        <w:t>Purchases, sales, issuances and settlements, net, represent the activity that occurred during the period that results in a change of the asset or liability but does not represent changes in fair value for the instruments held at the beginning of the period. Such activity primarily consists of purchases and sales of fixed maturity, equity and trading securities and purchases and settlements of derivative instruments.</w:t>
      </w:r>
    </w:p>
    <w:p>
      <w:pPr>
        <w:spacing w:after="0" w:line="140"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Purchases, sales, issuances and settlements, net, presented for policyholder account balances represent the issuances and settlements of embedded derivatives associated with our GMWB liabilities where: issuances are characterized as the change in fair value associated with the product fees recognized that are attributed to the embedded derivative to equal the expected future benefit costs upon issuance and settlements are characterized as the change in fair value upon exercising the embedded derivative instrument, effectively representing a settlement of the embedded derivative instrument. We have shown these changes in fair value separately based on the classification of this activity as effectively issuing and settling the embedded derivative instrument with all remaining changes in the fair value of these embedded derivative instruments being shown separately in the category labeled “included in net (income) loss” in the tables presented above.</w:t>
      </w:r>
    </w:p>
    <w:p>
      <w:pPr>
        <w:spacing w:after="0" w:line="118" w:lineRule="exact"/>
        <w:rPr>
          <w:sz w:val="20"/>
          <w:szCs w:val="20"/>
          <w:color w:val="auto"/>
        </w:rPr>
      </w:pPr>
    </w:p>
    <w:p>
      <w:pPr>
        <w:jc w:val="both"/>
        <w:ind w:right="140" w:firstLine="456"/>
        <w:spacing w:after="0" w:line="335" w:lineRule="auto"/>
        <w:rPr>
          <w:sz w:val="20"/>
          <w:szCs w:val="20"/>
          <w:color w:val="auto"/>
        </w:rPr>
      </w:pPr>
      <w:r>
        <w:rPr>
          <w:rFonts w:ascii="Arial" w:cs="Arial" w:eastAsia="Arial" w:hAnsi="Arial"/>
          <w:sz w:val="15"/>
          <w:szCs w:val="15"/>
          <w:color w:val="auto"/>
        </w:rPr>
        <w:t>The amount presented for unrealized gains (losses) for assets and liabilities still held as of the reporting date primarily represents impairments related to available-for-sale securities, accretion on certain fixed maturity securities, changes in fair value of trading securities and certain derivatives and changes in fair value of embedded derivatives associated with our GMWB liabilities that existed as of the reporting date, which were recorded in net investment gains (losses).</w:t>
      </w:r>
    </w:p>
    <w:p>
      <w:pPr>
        <w:spacing w:after="0" w:line="169"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Non-Recurring Fair Value Measurements</w:t>
      </w:r>
    </w:p>
    <w:p>
      <w:pPr>
        <w:spacing w:after="0" w:line="90" w:lineRule="exact"/>
        <w:rPr>
          <w:sz w:val="20"/>
          <w:szCs w:val="20"/>
          <w:color w:val="auto"/>
        </w:rPr>
      </w:pPr>
    </w:p>
    <w:p>
      <w:pPr>
        <w:ind w:right="100" w:firstLine="456"/>
        <w:spacing w:after="0" w:line="254" w:lineRule="auto"/>
        <w:rPr>
          <w:sz w:val="20"/>
          <w:szCs w:val="20"/>
          <w:color w:val="auto"/>
        </w:rPr>
      </w:pPr>
      <w:r>
        <w:rPr>
          <w:rFonts w:ascii="Arial" w:cs="Arial" w:eastAsia="Arial" w:hAnsi="Arial"/>
          <w:sz w:val="18"/>
          <w:szCs w:val="18"/>
          <w:color w:val="auto"/>
        </w:rPr>
        <w:t>We hold investments in bank loans that are recorded at the lower of cost or fair value and are recorded in other invested assets. As of June 30, 2010, $3 million of bank loans were recorded at fair value, based on market observable information and classified as Level 2, which was lower than their respective cost; therefore, we recorded $1 million of fair value loss adjustments for the three and six months ended June 30, 2010. In addition, we held an investment in one commercial mortgage loan that was recorded at the lower of cost or fair value. As of June 30, 2010, $37 million of commercial mortgage loans were recorded at fair value, based on the expected transaction price and classified as Level 2. Therefore, we recorded $13 million of fair value adjustments for the three and six months ended June 30, 2010.</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Variable Interest and Securitization Entities</w:t>
      </w:r>
    </w:p>
    <w:p>
      <w:pPr>
        <w:spacing w:after="0" w:line="96"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VIEs are generally entities that have either a total equity investment that is insufficient to permit the entity to finance its activities without additional subordinated financial support or whose equity investors lack the characteristics of a controlling financial interest. We evaluate VIEs to determine whether we are the primary beneficiary and are required to consolidate the assets and liabilities of the entity. The determination of the primary beneficiary for a VIE can be complex and requires management judgment regarding the expected results of the entity and who directs the activities of the entity that most significantly impact the economic results of the VIE. Our primary involvement related to VIEs includes:</w:t>
      </w:r>
    </w:p>
    <w:p>
      <w:pPr>
        <w:spacing w:after="0" w:line="35" w:lineRule="exact"/>
        <w:rPr>
          <w:sz w:val="20"/>
          <w:szCs w:val="20"/>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asset securitization transactions,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certain investments and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certain mortgage insurance policies.</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360"/>
          </w:cols>
          <w:pgMar w:left="240" w:top="459" w:right="29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(a) Asset Securitizations</w:t>
      </w:r>
    </w:p>
    <w:p>
      <w:pPr>
        <w:spacing w:after="0" w:line="90" w:lineRule="exact"/>
        <w:rPr>
          <w:sz w:val="20"/>
          <w:szCs w:val="20"/>
          <w:color w:val="auto"/>
        </w:rPr>
      </w:pPr>
    </w:p>
    <w:p>
      <w:pPr>
        <w:jc w:val="both"/>
        <w:ind w:right="100" w:firstLine="456"/>
        <w:spacing w:after="0" w:line="259" w:lineRule="auto"/>
        <w:rPr>
          <w:sz w:val="20"/>
          <w:szCs w:val="20"/>
          <w:color w:val="auto"/>
        </w:rPr>
      </w:pPr>
      <w:r>
        <w:rPr>
          <w:rFonts w:ascii="Arial" w:cs="Arial" w:eastAsia="Arial" w:hAnsi="Arial"/>
          <w:sz w:val="18"/>
          <w:szCs w:val="18"/>
          <w:color w:val="auto"/>
        </w:rPr>
        <w:t>We have used former affiliates and third-party entities to facilitate asset securitizations. Disclosure requirements related to off-balance sheet arrangements encompass a broader array of arrangements than those at risk for consolidation. These arrangements include transactions with term securitization entities, as well as transactions with conduits that are sponsored by third parties.</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summarizes the total securitized assets as of the dates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8140" w:type="dxa"/>
            <w:vAlign w:val="bottom"/>
          </w:tcPr>
          <w:p>
            <w:pPr>
              <w:spacing w:after="0"/>
              <w:rPr>
                <w:sz w:val="14"/>
                <w:szCs w:val="14"/>
                <w:color w:val="auto"/>
              </w:rPr>
            </w:pPr>
          </w:p>
        </w:tc>
        <w:tc>
          <w:tcPr>
            <w:tcW w:w="500" w:type="dxa"/>
            <w:vAlign w:val="bottom"/>
            <w:gridSpan w:val="2"/>
          </w:tcPr>
          <w:p>
            <w:pPr>
              <w:ind w:left="20"/>
              <w:spacing w:after="0"/>
              <w:rPr>
                <w:sz w:val="20"/>
                <w:szCs w:val="20"/>
                <w:color w:val="auto"/>
              </w:rPr>
            </w:pPr>
            <w:r>
              <w:rPr>
                <w:rFonts w:ascii="Arial" w:cs="Arial" w:eastAsia="Arial" w:hAnsi="Arial"/>
                <w:sz w:val="14"/>
                <w:szCs w:val="14"/>
                <w:b w:val="1"/>
                <w:bCs w:val="1"/>
                <w:color w:val="auto"/>
                <w:w w:val="82"/>
              </w:rPr>
              <w:t>June 30,</w:t>
            </w:r>
          </w:p>
        </w:tc>
        <w:tc>
          <w:tcPr>
            <w:tcW w:w="640" w:type="dxa"/>
            <w:vAlign w:val="bottom"/>
          </w:tcPr>
          <w:p>
            <w:pPr>
              <w:spacing w:after="0"/>
              <w:rPr>
                <w:sz w:val="14"/>
                <w:szCs w:val="14"/>
                <w:color w:val="auto"/>
              </w:rPr>
            </w:pPr>
          </w:p>
        </w:tc>
        <w:tc>
          <w:tcPr>
            <w:tcW w:w="820" w:type="dxa"/>
            <w:vAlign w:val="bottom"/>
            <w:gridSpan w:val="3"/>
          </w:tcPr>
          <w:p>
            <w:pPr>
              <w:spacing w:after="0"/>
              <w:rPr>
                <w:sz w:val="20"/>
                <w:szCs w:val="20"/>
                <w:color w:val="auto"/>
              </w:rPr>
            </w:pPr>
            <w:r>
              <w:rPr>
                <w:rFonts w:ascii="Arial" w:cs="Arial" w:eastAsia="Arial" w:hAnsi="Arial"/>
                <w:sz w:val="14"/>
                <w:szCs w:val="14"/>
                <w:b w:val="1"/>
                <w:bCs w:val="1"/>
                <w:color w:val="auto"/>
                <w:w w:val="87"/>
              </w:rPr>
              <w:t>December 31,</w:t>
            </w:r>
          </w:p>
        </w:tc>
        <w:tc>
          <w:tcPr>
            <w:tcW w:w="0" w:type="dxa"/>
            <w:vAlign w:val="bottom"/>
          </w:tcPr>
          <w:p>
            <w:pPr>
              <w:spacing w:after="0"/>
              <w:rPr>
                <w:sz w:val="1"/>
                <w:szCs w:val="1"/>
                <w:color w:val="auto"/>
              </w:rPr>
            </w:pPr>
          </w:p>
        </w:tc>
      </w:tr>
      <w:tr>
        <w:trPr>
          <w:trHeight w:val="161"/>
        </w:trPr>
        <w:tc>
          <w:tcPr>
            <w:tcW w:w="948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400" w:type="dxa"/>
            <w:vAlign w:val="bottom"/>
          </w:tcPr>
          <w:p>
            <w:pPr>
              <w:jc w:val="right"/>
              <w:ind w:right="35"/>
              <w:spacing w:after="0"/>
              <w:rPr>
                <w:sz w:val="20"/>
                <w:szCs w:val="20"/>
                <w:color w:val="auto"/>
              </w:rPr>
            </w:pPr>
            <w:r>
              <w:rPr>
                <w:rFonts w:ascii="Arial" w:cs="Arial" w:eastAsia="Arial" w:hAnsi="Arial"/>
                <w:sz w:val="14"/>
                <w:szCs w:val="14"/>
                <w:b w:val="1"/>
                <w:bCs w:val="1"/>
                <w:color w:val="auto"/>
                <w:w w:val="83"/>
              </w:rPr>
              <w:t>2010</w:t>
            </w: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ind w:left="80"/>
              <w:spacing w:after="0"/>
              <w:rPr>
                <w:sz w:val="20"/>
                <w:szCs w:val="20"/>
                <w:color w:val="auto"/>
              </w:rPr>
            </w:pPr>
            <w:r>
              <w:rPr>
                <w:rFonts w:ascii="Arial" w:cs="Arial" w:eastAsia="Arial" w:hAnsi="Arial"/>
                <w:sz w:val="14"/>
                <w:szCs w:val="14"/>
                <w:b w:val="1"/>
                <w:bCs w:val="1"/>
                <w:color w:val="auto"/>
              </w:rPr>
              <w:t>2009</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8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9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Receivables secured by:</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60" w:type="dxa"/>
            <w:vAlign w:val="bottom"/>
            <w:gridSpan w:val="2"/>
          </w:tcPr>
          <w:p>
            <w:pPr>
              <w:ind w:left="420"/>
              <w:spacing w:after="0"/>
              <w:rPr>
                <w:sz w:val="20"/>
                <w:szCs w:val="20"/>
                <w:color w:val="auto"/>
              </w:rPr>
            </w:pPr>
            <w:r>
              <w:rPr>
                <w:rFonts w:ascii="Arial" w:cs="Arial" w:eastAsia="Arial" w:hAnsi="Arial"/>
                <w:sz w:val="18"/>
                <w:szCs w:val="18"/>
                <w:color w:val="auto"/>
              </w:rPr>
              <w:t>Commercial mortgage loans</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82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620" w:type="dxa"/>
            <w:vAlign w:val="bottom"/>
          </w:tcPr>
          <w:p>
            <w:pPr>
              <w:ind w:left="360"/>
              <w:spacing w:after="0"/>
              <w:rPr>
                <w:sz w:val="20"/>
                <w:szCs w:val="20"/>
                <w:color w:val="auto"/>
              </w:rPr>
            </w:pPr>
            <w:r>
              <w:rPr>
                <w:rFonts w:ascii="Arial" w:cs="Arial" w:eastAsia="Arial" w:hAnsi="Arial"/>
                <w:sz w:val="18"/>
                <w:szCs w:val="18"/>
                <w:color w:val="auto"/>
                <w:w w:val="79"/>
              </w:rPr>
              <w:t>574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Fixed maturity securities</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ind w:left="360"/>
              <w:spacing w:after="0"/>
              <w:rPr>
                <w:sz w:val="20"/>
                <w:szCs w:val="20"/>
                <w:color w:val="auto"/>
              </w:rPr>
            </w:pPr>
            <w:r>
              <w:rPr>
                <w:rFonts w:ascii="Arial" w:cs="Arial" w:eastAsia="Arial" w:hAnsi="Arial"/>
                <w:sz w:val="18"/>
                <w:szCs w:val="18"/>
                <w:color w:val="auto"/>
                <w:w w:val="79"/>
              </w:rPr>
              <w:t>123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460" w:type="dxa"/>
            <w:vAlign w:val="bottom"/>
            <w:gridSpan w:val="2"/>
          </w:tcPr>
          <w:p>
            <w:pPr>
              <w:ind w:left="420"/>
              <w:spacing w:after="0"/>
              <w:rPr>
                <w:sz w:val="20"/>
                <w:szCs w:val="20"/>
                <w:color w:val="auto"/>
              </w:rPr>
            </w:pPr>
            <w:r>
              <w:rPr>
                <w:rFonts w:ascii="Arial" w:cs="Arial" w:eastAsia="Arial" w:hAnsi="Arial"/>
                <w:sz w:val="18"/>
                <w:szCs w:val="18"/>
                <w:color w:val="auto"/>
              </w:rPr>
              <w:t>Other assets</w:t>
            </w: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w:t>
            </w:r>
          </w:p>
        </w:tc>
        <w:tc>
          <w:tcPr>
            <w:tcW w:w="6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w w:val="79"/>
              </w:rPr>
              <w:t>236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6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securitized assets not required to be consolidated</w:t>
            </w: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6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8"/>
                <w:szCs w:val="18"/>
                <w:color w:val="auto"/>
                <w:w w:val="79"/>
              </w:rPr>
              <w:t>933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460" w:type="dxa"/>
            <w:vAlign w:val="bottom"/>
            <w:gridSpan w:val="2"/>
          </w:tcPr>
          <w:p>
            <w:pPr>
              <w:ind w:left="860"/>
              <w:spacing w:after="0"/>
              <w:rPr>
                <w:sz w:val="20"/>
                <w:szCs w:val="20"/>
                <w:color w:val="auto"/>
              </w:rPr>
            </w:pPr>
            <w:r>
              <w:rPr>
                <w:rFonts w:ascii="Arial" w:cs="Arial" w:eastAsia="Arial" w:hAnsi="Arial"/>
                <w:sz w:val="18"/>
                <w:szCs w:val="18"/>
                <w:color w:val="auto"/>
              </w:rPr>
              <w:t>Total securitized assets required to be consolidated</w:t>
            </w:r>
          </w:p>
        </w:tc>
        <w:tc>
          <w:tcPr>
            <w:tcW w:w="10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612</w:t>
            </w:r>
          </w:p>
        </w:tc>
        <w:tc>
          <w:tcPr>
            <w:tcW w:w="64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6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securitized assets</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860</w:t>
            </w:r>
          </w:p>
        </w:tc>
        <w:tc>
          <w:tcPr>
            <w:tcW w:w="82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ind w:left="360"/>
              <w:spacing w:after="0"/>
              <w:rPr>
                <w:sz w:val="20"/>
                <w:szCs w:val="20"/>
                <w:color w:val="auto"/>
              </w:rPr>
            </w:pPr>
            <w:r>
              <w:rPr>
                <w:rFonts w:ascii="Arial" w:cs="Arial" w:eastAsia="Arial" w:hAnsi="Arial"/>
                <w:sz w:val="18"/>
                <w:szCs w:val="18"/>
                <w:color w:val="auto"/>
                <w:w w:val="79"/>
              </w:rPr>
              <w:t>933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8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Financial support for certain securitization entities was provided under credit support agreements, in which we provided limited recourse for a maximum of</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$117 million of credit losses as of June 30, 2010. These agreements will remain in place throughout the life of the related entities. Included in this amount was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$40 million for the limited recourse related to one of our commercial mortgage loan entities that was required to be consolidated with assets of $125 million as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June 30, 2010. There were no amounts recorded for these limited recourse liabilities as of June 30, 2010 and December 31, 2009.</w:t>
      </w:r>
    </w:p>
    <w:p>
      <w:pPr>
        <w:spacing w:after="0" w:line="24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(b) Securitization and Variable Interest Entities Not Required To Be Consolidated</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are involved in certain securitization and VIEs where we are not required to consolidate the securitization entity.</w:t>
      </w:r>
    </w:p>
    <w:p>
      <w:pPr>
        <w:spacing w:after="0" w:line="171"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i w:val="1"/>
          <w:iCs w:val="1"/>
          <w:color w:val="auto"/>
        </w:rPr>
        <w:t xml:space="preserve">Asset securitizations. </w:t>
      </w:r>
      <w:r>
        <w:rPr>
          <w:rFonts w:ascii="Arial" w:cs="Arial" w:eastAsia="Arial" w:hAnsi="Arial"/>
          <w:sz w:val="18"/>
          <w:szCs w:val="18"/>
          <w:color w:val="auto"/>
        </w:rPr>
        <w:t>We transferred assets to securitization entities that would be considered VIEs but we were not required to consolidate the</w:t>
      </w:r>
      <w:r>
        <w:rPr>
          <w:rFonts w:ascii="Arial" w:cs="Arial" w:eastAsia="Arial" w:hAnsi="Arial"/>
          <w:sz w:val="18"/>
          <w:szCs w:val="18"/>
          <w:i w:val="1"/>
          <w:iCs w:val="1"/>
          <w:color w:val="auto"/>
        </w:rPr>
        <w:t xml:space="preserve"> </w:t>
      </w:r>
      <w:r>
        <w:rPr>
          <w:rFonts w:ascii="Arial" w:cs="Arial" w:eastAsia="Arial" w:hAnsi="Arial"/>
          <w:sz w:val="18"/>
          <w:szCs w:val="18"/>
          <w:color w:val="auto"/>
        </w:rPr>
        <w:t>securitization entities. These securitization entities were designed to have significant limitations on the types of assets owned and the types and extent of permitted activities and decision making rights. We evaluated our involvement in the entities’ design and our decision making ability regarding the assets held by the securitization entity and determined we would generally not be the party with power to direct the activities that significantly impact the economic performance of the entity.</w:t>
      </w:r>
    </w:p>
    <w:p>
      <w:pPr>
        <w:spacing w:after="0" w:line="143" w:lineRule="exact"/>
        <w:rPr>
          <w:sz w:val="20"/>
          <w:szCs w:val="20"/>
          <w:color w:val="auto"/>
        </w:rPr>
      </w:pPr>
    </w:p>
    <w:p>
      <w:pPr>
        <w:ind w:right="240" w:firstLine="456"/>
        <w:spacing w:after="0" w:line="298" w:lineRule="auto"/>
        <w:rPr>
          <w:sz w:val="20"/>
          <w:szCs w:val="20"/>
          <w:color w:val="auto"/>
        </w:rPr>
      </w:pPr>
      <w:r>
        <w:rPr>
          <w:rFonts w:ascii="Arial" w:cs="Arial" w:eastAsia="Arial" w:hAnsi="Arial"/>
          <w:sz w:val="16"/>
          <w:szCs w:val="16"/>
          <w:color w:val="auto"/>
        </w:rPr>
        <w:t>In certain instances, we determined we were the party with power but did not have a variable interest in the entity. Our interest in the entities included servicer fees and excess interest, where our benefit from our excess interest holding is subordinated to third-party holdings. Based on the composition of the assets in the securitization entity, there were no reasonable scenarios that would result in our interest receiving any significant benefit for the entity. As a result, our interest would not be considered a variable interest in the entity as a result of meeting certain requirements in the accounting guidance.</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Amounts recognized in our consolidated financial statements related to our involvement with entities used to facilitate asset securitization transactions where the securitization entity was not required to be consolidated as of the dates indicated: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7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3"/>
          </w:tcPr>
          <w:p>
            <w:pPr>
              <w:jc w:val="right"/>
              <w:spacing w:after="0"/>
              <w:rPr>
                <w:sz w:val="20"/>
                <w:szCs w:val="20"/>
                <w:color w:val="auto"/>
              </w:rPr>
            </w:pPr>
            <w:r>
              <w:rPr>
                <w:rFonts w:ascii="Arial" w:cs="Arial" w:eastAsia="Arial" w:hAnsi="Arial"/>
                <w:sz w:val="14"/>
                <w:szCs w:val="14"/>
                <w:b w:val="1"/>
                <w:bCs w:val="1"/>
                <w:color w:val="auto"/>
                <w:w w:val="90"/>
              </w:rPr>
              <w:t>June 30, 2010</w:t>
            </w:r>
          </w:p>
        </w:tc>
        <w:tc>
          <w:tcPr>
            <w:tcW w:w="1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5"/>
          </w:tcPr>
          <w:p>
            <w:pPr>
              <w:jc w:val="right"/>
              <w:ind w:right="180"/>
              <w:spacing w:after="0"/>
              <w:rPr>
                <w:sz w:val="20"/>
                <w:szCs w:val="20"/>
                <w:color w:val="auto"/>
              </w:rPr>
            </w:pPr>
            <w:r>
              <w:rPr>
                <w:rFonts w:ascii="Arial" w:cs="Arial" w:eastAsia="Arial" w:hAnsi="Arial"/>
                <w:sz w:val="14"/>
                <w:szCs w:val="14"/>
                <w:b w:val="1"/>
                <w:bCs w:val="1"/>
                <w:color w:val="auto"/>
                <w:w w:val="90"/>
              </w:rPr>
              <w:t>December 31, 2009</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71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420" w:type="dxa"/>
            <w:vAlign w:val="bottom"/>
            <w:tcBorders>
              <w:top w:val="single" w:sz="8" w:color="auto"/>
            </w:tcBorders>
          </w:tcPr>
          <w:p>
            <w:pPr>
              <w:spacing w:after="0"/>
              <w:rPr>
                <w:sz w:val="11"/>
                <w:szCs w:val="11"/>
                <w:color w:val="auto"/>
              </w:rPr>
            </w:pPr>
          </w:p>
        </w:tc>
        <w:tc>
          <w:tcPr>
            <w:tcW w:w="400" w:type="dxa"/>
            <w:vAlign w:val="bottom"/>
            <w:tcBorders>
              <w:top w:val="single" w:sz="8" w:color="auto"/>
            </w:tcBorders>
            <w:gridSpan w:val="2"/>
          </w:tcPr>
          <w:p>
            <w:pPr>
              <w:jc w:val="right"/>
              <w:spacing w:after="0" w:line="129" w:lineRule="exact"/>
              <w:rPr>
                <w:sz w:val="20"/>
                <w:szCs w:val="20"/>
                <w:color w:val="auto"/>
              </w:rPr>
            </w:pPr>
            <w:r>
              <w:rPr>
                <w:rFonts w:ascii="Arial" w:cs="Arial" w:eastAsia="Arial" w:hAnsi="Arial"/>
                <w:sz w:val="14"/>
                <w:szCs w:val="14"/>
                <w:b w:val="1"/>
                <w:bCs w:val="1"/>
                <w:color w:val="auto"/>
              </w:rPr>
              <w:t>Fair</w:t>
            </w:r>
          </w:p>
        </w:tc>
        <w:tc>
          <w:tcPr>
            <w:tcW w:w="40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4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440" w:type="dxa"/>
            <w:vAlign w:val="bottom"/>
            <w:tcBorders>
              <w:top w:val="single" w:sz="8" w:color="auto"/>
            </w:tcBorders>
          </w:tcPr>
          <w:p>
            <w:pPr>
              <w:jc w:val="right"/>
              <w:ind w:right="62"/>
              <w:spacing w:after="0" w:line="129" w:lineRule="exact"/>
              <w:rPr>
                <w:sz w:val="20"/>
                <w:szCs w:val="20"/>
                <w:color w:val="auto"/>
              </w:rPr>
            </w:pPr>
            <w:r>
              <w:rPr>
                <w:rFonts w:ascii="Arial" w:cs="Arial" w:eastAsia="Arial" w:hAnsi="Arial"/>
                <w:sz w:val="14"/>
                <w:szCs w:val="14"/>
                <w:b w:val="1"/>
                <w:bCs w:val="1"/>
                <w:color w:val="auto"/>
              </w:rPr>
              <w:t>Fair</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848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320" w:type="dxa"/>
            <w:vAlign w:val="bottom"/>
            <w:gridSpan w:val="2"/>
          </w:tcPr>
          <w:p>
            <w:pPr>
              <w:jc w:val="right"/>
              <w:spacing w:after="0"/>
              <w:rPr>
                <w:sz w:val="20"/>
                <w:szCs w:val="20"/>
                <w:color w:val="auto"/>
              </w:rPr>
            </w:pPr>
            <w:r>
              <w:rPr>
                <w:rFonts w:ascii="Arial" w:cs="Arial" w:eastAsia="Arial" w:hAnsi="Arial"/>
                <w:sz w:val="14"/>
                <w:szCs w:val="14"/>
                <w:b w:val="1"/>
                <w:bCs w:val="1"/>
                <w:color w:val="auto"/>
                <w:w w:val="83"/>
              </w:rPr>
              <w:t>Cost</w:t>
            </w:r>
          </w:p>
        </w:tc>
        <w:tc>
          <w:tcPr>
            <w:tcW w:w="420" w:type="dxa"/>
            <w:vAlign w:val="bottom"/>
          </w:tcPr>
          <w:p>
            <w:pPr>
              <w:spacing w:after="0"/>
              <w:rPr>
                <w:sz w:val="14"/>
                <w:szCs w:val="14"/>
                <w:color w:val="auto"/>
              </w:rPr>
            </w:pPr>
          </w:p>
        </w:tc>
        <w:tc>
          <w:tcPr>
            <w:tcW w:w="400" w:type="dxa"/>
            <w:vAlign w:val="bottom"/>
            <w:gridSpan w:val="2"/>
          </w:tcPr>
          <w:p>
            <w:pPr>
              <w:jc w:val="right"/>
              <w:spacing w:after="0"/>
              <w:rPr>
                <w:sz w:val="20"/>
                <w:szCs w:val="20"/>
                <w:color w:val="auto"/>
              </w:rPr>
            </w:pPr>
            <w:r>
              <w:rPr>
                <w:rFonts w:ascii="Arial" w:cs="Arial" w:eastAsia="Arial" w:hAnsi="Arial"/>
                <w:sz w:val="14"/>
                <w:szCs w:val="14"/>
                <w:b w:val="1"/>
                <w:bCs w:val="1"/>
                <w:color w:val="auto"/>
                <w:w w:val="89"/>
              </w:rPr>
              <w:t>value</w:t>
            </w:r>
          </w:p>
        </w:tc>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jc w:val="right"/>
              <w:ind w:right="22"/>
              <w:spacing w:after="0"/>
              <w:rPr>
                <w:sz w:val="20"/>
                <w:szCs w:val="20"/>
                <w:color w:val="auto"/>
              </w:rPr>
            </w:pPr>
            <w:r>
              <w:rPr>
                <w:rFonts w:ascii="Arial" w:cs="Arial" w:eastAsia="Arial" w:hAnsi="Arial"/>
                <w:sz w:val="14"/>
                <w:szCs w:val="14"/>
                <w:b w:val="1"/>
                <w:bCs w:val="1"/>
                <w:color w:val="auto"/>
                <w:w w:val="76"/>
              </w:rPr>
              <w:t>Cost</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w w:val="83"/>
              </w:rPr>
              <w:t>value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7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Retained interests—assets</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680" w:type="dxa"/>
            <w:vAlign w:val="bottom"/>
            <w:gridSpan w:val="2"/>
            <w:shd w:val="clear" w:color="auto" w:fill="CCEEFF"/>
          </w:tcPr>
          <w:p>
            <w:pPr>
              <w:jc w:val="right"/>
              <w:ind w:right="112"/>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46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w:t>
            </w:r>
          </w:p>
        </w:tc>
        <w:tc>
          <w:tcPr>
            <w:tcW w:w="1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8460" w:type="dxa"/>
            <w:vAlign w:val="bottom"/>
            <w:gridSpan w:val="2"/>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200" w:type="dxa"/>
            <w:vAlign w:val="bottom"/>
          </w:tcPr>
          <w:p>
            <w:pPr>
              <w:jc w:val="right"/>
              <w:spacing w:after="0"/>
              <w:rPr>
                <w:sz w:val="20"/>
                <w:szCs w:val="20"/>
                <w:color w:val="auto"/>
              </w:rPr>
            </w:pPr>
            <w:r>
              <w:rPr>
                <w:rFonts w:ascii="Arial" w:cs="Arial" w:eastAsia="Arial" w:hAnsi="Arial"/>
                <w:sz w:val="18"/>
                <w:szCs w:val="18"/>
                <w:color w:val="auto"/>
              </w:rPr>
              <w:t>1</w:t>
            </w:r>
          </w:p>
        </w:tc>
        <w:tc>
          <w:tcPr>
            <w:tcW w:w="680" w:type="dxa"/>
            <w:vAlign w:val="bottom"/>
            <w:gridSpan w:val="2"/>
          </w:tcPr>
          <w:p>
            <w:pPr>
              <w:jc w:val="right"/>
              <w:ind w:right="112"/>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rPr>
              <w:t>2</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79</w:t>
            </w: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gridSpan w:val="2"/>
          </w:tcPr>
          <w:p>
            <w:pPr>
              <w:jc w:val="right"/>
              <w:ind w:right="20"/>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7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decrease in the amounts presented above were primarily a result of having to consolidate certain securitization entities as discussed above.</w:t>
      </w:r>
    </w:p>
    <w:p>
      <w:pPr>
        <w:spacing w:after="0" w:line="194"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In certain securitization transactions, we retained an interest in transferred assets. Those interests take various forms and may be subject to credit, prepayment and interest rate risks. When we securitized receivables, we determined the fair value based on discounted cash flow models that incorporate, among other things, assumptions including credit losses, prepayment speeds and discount rates. These assumptions were based on our experience, market trends and anticipated performance related to the particular assets securitized. Our retained interests are reflected as fixed maturity securities available-for-sale.</w:t>
      </w:r>
    </w:p>
    <w:p>
      <w:pPr>
        <w:spacing w:after="0" w:line="113"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Following a securitization transaction, we retained the responsibility for servicing the receivables, and as such, were entitled to receive an ongoing fee based on the outstanding principal balances of the receivables. There were no servicing assets nor liabilities recorded as the benefits of servicing the assets were adequate to compensate an independent servicer for its servicing responsibilities.</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There has been no new asset securitization activity in 2010 or 2009.</w:t>
      </w:r>
    </w:p>
    <w:p>
      <w:pPr>
        <w:spacing w:after="0" w:line="17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i w:val="1"/>
          <w:iCs w:val="1"/>
          <w:color w:val="auto"/>
        </w:rPr>
        <w:t xml:space="preserve">Investments. </w:t>
      </w:r>
      <w:r>
        <w:rPr>
          <w:rFonts w:ascii="Arial" w:cs="Arial" w:eastAsia="Arial" w:hAnsi="Arial"/>
          <w:sz w:val="18"/>
          <w:szCs w:val="18"/>
          <w:color w:val="auto"/>
        </w:rPr>
        <w:t>We hold investments in certain structures that are considered VIEs. Our investments represent beneficial interests that are primarily in the</w:t>
      </w:r>
      <w:r>
        <w:rPr>
          <w:rFonts w:ascii="Arial" w:cs="Arial" w:eastAsia="Arial" w:hAnsi="Arial"/>
          <w:sz w:val="18"/>
          <w:szCs w:val="18"/>
          <w:i w:val="1"/>
          <w:iCs w:val="1"/>
          <w:color w:val="auto"/>
        </w:rPr>
        <w:t xml:space="preserve"> </w:t>
      </w:r>
      <w:r>
        <w:rPr>
          <w:rFonts w:ascii="Arial" w:cs="Arial" w:eastAsia="Arial" w:hAnsi="Arial"/>
          <w:sz w:val="18"/>
          <w:szCs w:val="18"/>
          <w:color w:val="auto"/>
        </w:rPr>
        <w:t>form of structured securities. Our involvement in these structures typically represent a passive investment in the returns generated by the VIE and typically do not result in having significant influence over the economic performance of the VIE. See note 4 for additional information related to our investments, which includes information related to structured securities, such as asset-backed and mortgage-backed securities. Our maximum exposure to loss represents our cost basis in the investments.</w:t>
      </w:r>
    </w:p>
    <w:p>
      <w:pPr>
        <w:spacing w:after="0" w:line="143" w:lineRule="exact"/>
        <w:rPr>
          <w:sz w:val="20"/>
          <w:szCs w:val="20"/>
          <w:color w:val="auto"/>
        </w:rPr>
      </w:pPr>
    </w:p>
    <w:p>
      <w:pPr>
        <w:ind w:right="20" w:firstLine="456"/>
        <w:spacing w:after="0" w:line="306" w:lineRule="auto"/>
        <w:rPr>
          <w:sz w:val="20"/>
          <w:szCs w:val="20"/>
          <w:color w:val="auto"/>
        </w:rPr>
      </w:pPr>
      <w:r>
        <w:rPr>
          <w:rFonts w:ascii="Arial" w:cs="Arial" w:eastAsia="Arial" w:hAnsi="Arial"/>
          <w:sz w:val="16"/>
          <w:szCs w:val="16"/>
          <w:i w:val="1"/>
          <w:iCs w:val="1"/>
          <w:color w:val="auto"/>
        </w:rPr>
        <w:t xml:space="preserve">Mortgage insurance. </w:t>
      </w:r>
      <w:r>
        <w:rPr>
          <w:rFonts w:ascii="Arial" w:cs="Arial" w:eastAsia="Arial" w:hAnsi="Arial"/>
          <w:sz w:val="16"/>
          <w:szCs w:val="16"/>
          <w:color w:val="auto"/>
        </w:rPr>
        <w:t>We also provide mortgage insurance on certain residential mortgage loans originated and securitized by third parties using VIEs to</w:t>
      </w:r>
      <w:r>
        <w:rPr>
          <w:rFonts w:ascii="Arial" w:cs="Arial" w:eastAsia="Arial" w:hAnsi="Arial"/>
          <w:sz w:val="16"/>
          <w:szCs w:val="16"/>
          <w:i w:val="1"/>
          <w:iCs w:val="1"/>
          <w:color w:val="auto"/>
        </w:rPr>
        <w:t xml:space="preserve"> </w:t>
      </w:r>
      <w:r>
        <w:rPr>
          <w:rFonts w:ascii="Arial" w:cs="Arial" w:eastAsia="Arial" w:hAnsi="Arial"/>
          <w:sz w:val="16"/>
          <w:szCs w:val="16"/>
          <w:color w:val="auto"/>
        </w:rPr>
        <w:t>issue mortgage-backed securities. While we provide mortgage insurance on the underlying loans, we do not typically have any ongoing involvement with the VIE other than our mortgage insurance coverage and do not act in a servicing or decision making capacity for the underlying loans held by the VIE.</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 Securitization and Variable Interest Entities Required To Be Consolidated</w:t>
      </w:r>
    </w:p>
    <w:p>
      <w:pPr>
        <w:spacing w:after="0" w:line="90"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As a result of adopting new accounting guidance for VIE consolidation on January 1, 2010, we were required to consolidate certain VIEs. Our involvement with VIEs that were required to be consolidated related to asset securitization transactions and certain investments, both of which are described in more detail below. Prior to being required to consolidate these entities, our interest in these entities was recorded in our consolidated financial statements as fixed maturity securities available-for-sale.</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459" w:right="2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i w:val="1"/>
          <w:iCs w:val="1"/>
          <w:color w:val="auto"/>
        </w:rPr>
        <w:t xml:space="preserve">Asset securitizations. </w:t>
      </w:r>
      <w:r>
        <w:rPr>
          <w:rFonts w:ascii="Arial" w:cs="Arial" w:eastAsia="Arial" w:hAnsi="Arial"/>
          <w:sz w:val="18"/>
          <w:szCs w:val="18"/>
          <w:color w:val="auto"/>
        </w:rPr>
        <w:t>For VIEs related to asset securitization transactions, we were required to consolidate three securitization entities as a result of our</w:t>
      </w:r>
      <w:r>
        <w:rPr>
          <w:rFonts w:ascii="Arial" w:cs="Arial" w:eastAsia="Arial" w:hAnsi="Arial"/>
          <w:sz w:val="18"/>
          <w:szCs w:val="18"/>
          <w:i w:val="1"/>
          <w:iCs w:val="1"/>
          <w:color w:val="auto"/>
        </w:rPr>
        <w:t xml:space="preserve"> </w:t>
      </w:r>
      <w:r>
        <w:rPr>
          <w:rFonts w:ascii="Arial" w:cs="Arial" w:eastAsia="Arial" w:hAnsi="Arial"/>
          <w:sz w:val="18"/>
          <w:szCs w:val="18"/>
          <w:color w:val="auto"/>
        </w:rPr>
        <w:t>involvement in the entities’ design or having certain decision making ability regarding the assets held by the securitization entity. These securitization entities were designed to have significant limitations on the types of assets owned and the types and extent of permitted activities and decision making rights. The three securitization entities that were required to be consolidated are comprised of two securitization entities backed by commercial mortgage loans and one backed by residual interests in certain policy loan securitization entities.</w:t>
      </w:r>
    </w:p>
    <w:p>
      <w:pPr>
        <w:spacing w:after="0" w:line="143"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For one of our commercial mortgage loan securitization entities with assets of $125 million as of June 30, 2010, our economic interest represents the excess interest received on the loans compared to the interest paid on the entity’s obligation. We also act as the servicer for the underlying mortgage loans and have the ability to direct certain activities in accordance with the agreements related to the securitization entity.</w:t>
      </w:r>
    </w:p>
    <w:p>
      <w:pPr>
        <w:spacing w:after="0" w:line="140" w:lineRule="exact"/>
        <w:rPr>
          <w:sz w:val="20"/>
          <w:szCs w:val="20"/>
          <w:color w:val="auto"/>
        </w:rPr>
      </w:pPr>
    </w:p>
    <w:p>
      <w:pPr>
        <w:ind w:right="220" w:firstLine="456"/>
        <w:spacing w:after="0" w:line="298" w:lineRule="auto"/>
        <w:rPr>
          <w:sz w:val="20"/>
          <w:szCs w:val="20"/>
          <w:color w:val="auto"/>
        </w:rPr>
      </w:pPr>
      <w:r>
        <w:rPr>
          <w:rFonts w:ascii="Arial" w:cs="Arial" w:eastAsia="Arial" w:hAnsi="Arial"/>
          <w:sz w:val="16"/>
          <w:szCs w:val="16"/>
          <w:color w:val="auto"/>
        </w:rPr>
        <w:t>For the other commercial mortgage loan securitization entity with assets of $417 million as of June 30, 2010, our economic interest represents the excess interest of the commercial mortgage loans and the subordinated notes of the securitization entity. The commercial mortgage loans are serviced by a third-party servicer and special servicer. However, we have the right to replace the special servicer without cause at any time. This right is recognized under accounting guidance as resulting in our effective control of the activities directed by the special servicer.</w:t>
      </w:r>
    </w:p>
    <w:p>
      <w:pPr>
        <w:spacing w:after="0" w:line="113"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Our economic interest in the policy loan securitization entity represents the excess interest received from the residual interest in certain policy loan securitization entities and the floating rate obligation issued by the securitization entity. The securitization entity also contains an interest rate swap to mitigate the difference between the effective fixed receipt on the assets and the floating rate obligation issued by the securitization entity. Since there are no significant ongoing activities in the securitization entity, we evaluated the design of the entity upon inception when we transferred the residual interests in the securitization entity. Prior to 2010, we fully impaired our investment in this securitization entity as a result of not expecting any future economic benefits from our investment under any reasonable scenario. However, there are certain remote interest rate and mortality scenarios that would result in our residual interest receiving significant economic benefits in relation to benefits received by the securitization entity. In accordance with the relevant accounting guidance, the use of probability is not permitted when determining whether we would have the ability to receive significant benefits from the securitization entity.</w:t>
      </w:r>
    </w:p>
    <w:p>
      <w:pPr>
        <w:spacing w:after="0" w:line="118"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i w:val="1"/>
          <w:iCs w:val="1"/>
          <w:color w:val="auto"/>
        </w:rPr>
        <w:t xml:space="preserve">Investments. </w:t>
      </w:r>
      <w:r>
        <w:rPr>
          <w:rFonts w:ascii="Arial" w:cs="Arial" w:eastAsia="Arial" w:hAnsi="Arial"/>
          <w:sz w:val="16"/>
          <w:szCs w:val="16"/>
          <w:color w:val="auto"/>
        </w:rPr>
        <w:t>For VIEs related to certain investments, we were required to consolidate three securitization entities as a result of having certain decision</w:t>
      </w:r>
      <w:r>
        <w:rPr>
          <w:rFonts w:ascii="Arial" w:cs="Arial" w:eastAsia="Arial" w:hAnsi="Arial"/>
          <w:sz w:val="16"/>
          <w:szCs w:val="16"/>
          <w:i w:val="1"/>
          <w:iCs w:val="1"/>
          <w:color w:val="auto"/>
        </w:rPr>
        <w:t xml:space="preserve"> </w:t>
      </w:r>
      <w:r>
        <w:rPr>
          <w:rFonts w:ascii="Arial" w:cs="Arial" w:eastAsia="Arial" w:hAnsi="Arial"/>
          <w:sz w:val="16"/>
          <w:szCs w:val="16"/>
          <w:color w:val="auto"/>
        </w:rPr>
        <w:t>making rights related to instruments held by the entities. These securitization entities were designed as synthetic collateralized debt obligations whereby the entities purchased highly rated asset-backed securities and entered into credit default swaps to generate income that would be passed to the noteholders of the entities. The entities also have the ability to settle any losses incurred on the credit default swap by providing the derivative counterparty asset-backed securities with a par amount equal to the loss incurred on the credit default swap. We hold the majority of the notes issued by the securitization entity and also have certain decision making rights related to the instruments held by the entity. Previously, we were not required to consolidate the securitization entity as a result of other noteholders absorbing the majority of expected losses from the entity.</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459" w:right="2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The following table shows the activity presented in our consolidated statement of income related to the consolidated securitization entities for the periods indicated:</w:t>
      </w:r>
    </w:p>
    <w:p>
      <w:pPr>
        <w:spacing w:after="0" w:line="156"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520" w:type="dxa"/>
            <w:vAlign w:val="bottom"/>
          </w:tcPr>
          <w:p>
            <w:pPr>
              <w:spacing w:after="0"/>
              <w:rPr>
                <w:sz w:val="14"/>
                <w:szCs w:val="14"/>
                <w:color w:val="auto"/>
              </w:rPr>
            </w:pPr>
          </w:p>
        </w:tc>
        <w:tc>
          <w:tcPr>
            <w:tcW w:w="2500" w:type="dxa"/>
            <w:vAlign w:val="bottom"/>
            <w:gridSpan w:val="3"/>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140" w:type="dxa"/>
            <w:vAlign w:val="bottom"/>
            <w:gridSpan w:val="3"/>
          </w:tcPr>
          <w:p>
            <w:pPr>
              <w:spacing w:after="0"/>
              <w:rPr>
                <w:sz w:val="20"/>
                <w:szCs w:val="20"/>
                <w:color w:val="auto"/>
              </w:rPr>
            </w:pPr>
            <w:r>
              <w:rPr>
                <w:rFonts w:ascii="Arial" w:cs="Arial" w:eastAsia="Arial" w:hAnsi="Arial"/>
                <w:sz w:val="14"/>
                <w:szCs w:val="14"/>
                <w:b w:val="1"/>
                <w:bCs w:val="1"/>
                <w:color w:val="auto"/>
                <w:w w:val="92"/>
              </w:rPr>
              <w:t>Six months ended</w:t>
            </w:r>
          </w:p>
        </w:tc>
        <w:tc>
          <w:tcPr>
            <w:tcW w:w="0" w:type="dxa"/>
            <w:vAlign w:val="bottom"/>
          </w:tcPr>
          <w:p>
            <w:pPr>
              <w:spacing w:after="0"/>
              <w:rPr>
                <w:sz w:val="1"/>
                <w:szCs w:val="1"/>
                <w:color w:val="auto"/>
              </w:rPr>
            </w:pPr>
          </w:p>
        </w:tc>
      </w:tr>
      <w:tr>
        <w:trPr>
          <w:trHeight w:val="161"/>
        </w:trPr>
        <w:tc>
          <w:tcPr>
            <w:tcW w:w="686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60" w:type="dxa"/>
            <w:vAlign w:val="bottom"/>
          </w:tcPr>
          <w:p>
            <w:pPr>
              <w:spacing w:after="0"/>
              <w:rPr>
                <w:sz w:val="14"/>
                <w:szCs w:val="14"/>
                <w:color w:val="auto"/>
              </w:rPr>
            </w:pPr>
          </w:p>
        </w:tc>
        <w:tc>
          <w:tcPr>
            <w:tcW w:w="2340" w:type="dxa"/>
            <w:vAlign w:val="bottom"/>
            <w:gridSpan w:val="2"/>
          </w:tcPr>
          <w:p>
            <w:pPr>
              <w:jc w:val="right"/>
              <w:ind w:right="1500"/>
              <w:spacing w:after="0"/>
              <w:rPr>
                <w:sz w:val="20"/>
                <w:szCs w:val="20"/>
                <w:color w:val="auto"/>
              </w:rPr>
            </w:pPr>
            <w:r>
              <w:rPr>
                <w:rFonts w:ascii="Arial" w:cs="Arial" w:eastAsia="Arial" w:hAnsi="Arial"/>
                <w:sz w:val="14"/>
                <w:szCs w:val="14"/>
                <w:b w:val="1"/>
                <w:bCs w:val="1"/>
                <w:color w:val="auto"/>
                <w:w w:val="90"/>
              </w:rPr>
              <w:t>June 30, 2010</w:t>
            </w:r>
          </w:p>
        </w:tc>
        <w:tc>
          <w:tcPr>
            <w:tcW w:w="120" w:type="dxa"/>
            <w:vAlign w:val="bottom"/>
          </w:tcPr>
          <w:p>
            <w:pPr>
              <w:spacing w:after="0"/>
              <w:rPr>
                <w:sz w:val="14"/>
                <w:szCs w:val="14"/>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85"/>
              </w:rPr>
              <w:t>June 30, 2010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55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2"/>
          </w:tcPr>
          <w:p>
            <w:pPr>
              <w:spacing w:after="0"/>
              <w:rPr>
                <w:sz w:val="20"/>
                <w:szCs w:val="20"/>
                <w:color w:val="auto"/>
              </w:rPr>
            </w:pPr>
            <w:r>
              <w:rPr>
                <w:rFonts w:ascii="Arial" w:cs="Arial" w:eastAsia="Arial" w:hAnsi="Arial"/>
                <w:sz w:val="18"/>
                <w:szCs w:val="18"/>
                <w:color w:val="auto"/>
              </w:rPr>
              <w:t>Net investment income:</w:t>
            </w:r>
          </w:p>
        </w:tc>
        <w:tc>
          <w:tcPr>
            <w:tcW w:w="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Restricted commercial mortgage loans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2340" w:type="dxa"/>
            <w:vAlign w:val="bottom"/>
            <w:gridSpan w:val="2"/>
            <w:shd w:val="clear" w:color="auto" w:fill="CCEEFF"/>
          </w:tcPr>
          <w:p>
            <w:pPr>
              <w:jc w:val="right"/>
              <w:ind w:right="1300"/>
              <w:spacing w:after="0"/>
              <w:rPr>
                <w:sz w:val="20"/>
                <w:szCs w:val="20"/>
                <w:color w:val="auto"/>
              </w:rPr>
            </w:pPr>
            <w:r>
              <w:rPr>
                <w:rFonts w:ascii="Arial" w:cs="Arial" w:eastAsia="Arial" w:hAnsi="Arial"/>
                <w:sz w:val="18"/>
                <w:szCs w:val="18"/>
                <w:color w:val="auto"/>
              </w:rPr>
              <w:t>9</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40" w:type="dxa"/>
            <w:vAlign w:val="bottom"/>
            <w:gridSpan w:val="2"/>
          </w:tcPr>
          <w:p>
            <w:pPr>
              <w:ind w:left="420"/>
              <w:spacing w:after="0"/>
              <w:rPr>
                <w:sz w:val="20"/>
                <w:szCs w:val="20"/>
                <w:color w:val="auto"/>
              </w:rPr>
            </w:pPr>
            <w:r>
              <w:rPr>
                <w:rFonts w:ascii="Arial" w:cs="Arial" w:eastAsia="Arial" w:hAnsi="Arial"/>
                <w:sz w:val="18"/>
                <w:szCs w:val="18"/>
                <w:color w:val="auto"/>
              </w:rPr>
              <w:t>Restricted other invested assets</w:t>
            </w:r>
          </w:p>
        </w:tc>
        <w:tc>
          <w:tcPr>
            <w:tcW w:w="1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net investment income</w:t>
            </w:r>
          </w:p>
        </w:tc>
        <w:tc>
          <w:tcPr>
            <w:tcW w:w="160" w:type="dxa"/>
            <w:vAlign w:val="bottom"/>
            <w:shd w:val="clear" w:color="auto" w:fill="CCEEFF"/>
          </w:tcPr>
          <w:p>
            <w:pPr>
              <w:spacing w:after="0"/>
              <w:rPr>
                <w:sz w:val="18"/>
                <w:szCs w:val="18"/>
                <w:color w:val="auto"/>
              </w:rPr>
            </w:pPr>
          </w:p>
        </w:tc>
        <w:tc>
          <w:tcPr>
            <w:tcW w:w="2340" w:type="dxa"/>
            <w:vAlign w:val="bottom"/>
            <w:gridSpan w:val="2"/>
            <w:shd w:val="clear" w:color="auto" w:fill="CCEEFF"/>
          </w:tcPr>
          <w:p>
            <w:pPr>
              <w:jc w:val="right"/>
              <w:ind w:right="1300"/>
              <w:spacing w:after="0"/>
              <w:rPr>
                <w:sz w:val="20"/>
                <w:szCs w:val="20"/>
                <w:color w:val="auto"/>
              </w:rPr>
            </w:pPr>
            <w:r>
              <w:rPr>
                <w:rFonts w:ascii="Arial" w:cs="Arial" w:eastAsia="Arial" w:hAnsi="Arial"/>
                <w:sz w:val="18"/>
                <w:szCs w:val="18"/>
                <w:color w:val="auto"/>
              </w:rPr>
              <w:t>9</w:t>
            </w: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22"/>
        </w:trPr>
        <w:tc>
          <w:tcPr>
            <w:tcW w:w="6860" w:type="dxa"/>
            <w:vAlign w:val="bottom"/>
            <w:gridSpan w:val="3"/>
          </w:tcPr>
          <w:p>
            <w:pPr>
              <w:spacing w:after="0"/>
              <w:rPr>
                <w:sz w:val="20"/>
                <w:szCs w:val="20"/>
                <w:color w:val="auto"/>
              </w:rPr>
            </w:pPr>
            <w:r>
              <w:rPr>
                <w:rFonts w:ascii="Arial" w:cs="Arial" w:eastAsia="Arial" w:hAnsi="Arial"/>
                <w:sz w:val="18"/>
                <w:szCs w:val="18"/>
                <w:color w:val="auto"/>
              </w:rPr>
              <w:t>Net investment gains (losses):</w:t>
            </w:r>
          </w:p>
        </w:tc>
        <w:tc>
          <w:tcPr>
            <w:tcW w:w="16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3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8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Trading securities</w:t>
            </w:r>
          </w:p>
        </w:tc>
        <w:tc>
          <w:tcPr>
            <w:tcW w:w="160" w:type="dxa"/>
            <w:vAlign w:val="bottom"/>
            <w:shd w:val="clear" w:color="auto" w:fill="CCEEFF"/>
          </w:tcPr>
          <w:p>
            <w:pPr>
              <w:spacing w:after="0"/>
              <w:rPr>
                <w:sz w:val="18"/>
                <w:szCs w:val="18"/>
                <w:color w:val="auto"/>
              </w:rPr>
            </w:pPr>
          </w:p>
        </w:tc>
        <w:tc>
          <w:tcPr>
            <w:tcW w:w="2340" w:type="dxa"/>
            <w:vAlign w:val="bottom"/>
            <w:gridSpan w:val="2"/>
            <w:shd w:val="clear" w:color="auto" w:fill="CCEEFF"/>
          </w:tcPr>
          <w:p>
            <w:pPr>
              <w:jc w:val="right"/>
              <w:ind w:right="1300"/>
              <w:spacing w:after="0"/>
              <w:rPr>
                <w:sz w:val="20"/>
                <w:szCs w:val="20"/>
                <w:color w:val="auto"/>
              </w:rPr>
            </w:pPr>
            <w:r>
              <w:rPr>
                <w:rFonts w:ascii="Arial" w:cs="Arial" w:eastAsia="Arial" w:hAnsi="Arial"/>
                <w:sz w:val="18"/>
                <w:szCs w:val="18"/>
                <w:color w:val="auto"/>
              </w:rPr>
              <w:t>2</w:t>
            </w: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2"/>
          </w:tcPr>
          <w:p>
            <w:pPr>
              <w:ind w:left="420"/>
              <w:spacing w:after="0"/>
              <w:rPr>
                <w:sz w:val="20"/>
                <w:szCs w:val="20"/>
                <w:color w:val="auto"/>
              </w:rPr>
            </w:pPr>
            <w:r>
              <w:rPr>
                <w:rFonts w:ascii="Arial" w:cs="Arial" w:eastAsia="Arial" w:hAnsi="Arial"/>
                <w:sz w:val="18"/>
                <w:szCs w:val="18"/>
                <w:color w:val="auto"/>
              </w:rPr>
              <w:t>Derivatives</w:t>
            </w:r>
          </w:p>
        </w:tc>
        <w:tc>
          <w:tcPr>
            <w:tcW w:w="160" w:type="dxa"/>
            <w:vAlign w:val="bottom"/>
          </w:tcPr>
          <w:p>
            <w:pPr>
              <w:spacing w:after="0"/>
              <w:rPr>
                <w:sz w:val="18"/>
                <w:szCs w:val="18"/>
                <w:color w:val="auto"/>
              </w:rPr>
            </w:pPr>
          </w:p>
        </w:tc>
        <w:tc>
          <w:tcPr>
            <w:tcW w:w="2340" w:type="dxa"/>
            <w:vAlign w:val="bottom"/>
            <w:gridSpan w:val="2"/>
          </w:tcPr>
          <w:p>
            <w:pPr>
              <w:jc w:val="right"/>
              <w:ind w:right="1240"/>
              <w:spacing w:after="0"/>
              <w:rPr>
                <w:sz w:val="20"/>
                <w:szCs w:val="20"/>
                <w:color w:val="auto"/>
              </w:rPr>
            </w:pPr>
            <w:r>
              <w:rPr>
                <w:rFonts w:ascii="Arial" w:cs="Arial" w:eastAsia="Arial" w:hAnsi="Arial"/>
                <w:sz w:val="18"/>
                <w:szCs w:val="18"/>
                <w:color w:val="auto"/>
              </w:rPr>
              <w:t>(55)</w:t>
            </w:r>
          </w:p>
        </w:tc>
        <w:tc>
          <w:tcPr>
            <w:tcW w:w="12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Commercial mortgage loans</w:t>
            </w:r>
          </w:p>
        </w:tc>
        <w:tc>
          <w:tcPr>
            <w:tcW w:w="160" w:type="dxa"/>
            <w:vAlign w:val="bottom"/>
            <w:shd w:val="clear" w:color="auto" w:fill="CCEEFF"/>
          </w:tcPr>
          <w:p>
            <w:pPr>
              <w:spacing w:after="0"/>
              <w:rPr>
                <w:sz w:val="18"/>
                <w:szCs w:val="18"/>
                <w:color w:val="auto"/>
              </w:rPr>
            </w:pPr>
          </w:p>
        </w:tc>
        <w:tc>
          <w:tcPr>
            <w:tcW w:w="2340" w:type="dxa"/>
            <w:vAlign w:val="bottom"/>
            <w:gridSpan w:val="2"/>
            <w:shd w:val="clear" w:color="auto" w:fill="CCEEFF"/>
          </w:tcPr>
          <w:p>
            <w:pPr>
              <w:jc w:val="right"/>
              <w:ind w:right="124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40" w:type="dxa"/>
            <w:vAlign w:val="bottom"/>
            <w:gridSpan w:val="2"/>
          </w:tcPr>
          <w:p>
            <w:pPr>
              <w:ind w:left="420"/>
              <w:spacing w:after="0"/>
              <w:rPr>
                <w:sz w:val="20"/>
                <w:szCs w:val="20"/>
                <w:color w:val="auto"/>
              </w:rPr>
            </w:pPr>
            <w:r>
              <w:rPr>
                <w:rFonts w:ascii="Arial" w:cs="Arial" w:eastAsia="Arial" w:hAnsi="Arial"/>
                <w:sz w:val="18"/>
                <w:szCs w:val="18"/>
                <w:color w:val="auto"/>
              </w:rPr>
              <w:t>Borrowings related to securitization entities recorded at fair value</w:t>
            </w:r>
          </w:p>
        </w:tc>
        <w:tc>
          <w:tcPr>
            <w:tcW w:w="1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13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net investment gains (losses)</w:t>
            </w:r>
          </w:p>
        </w:tc>
        <w:tc>
          <w:tcPr>
            <w:tcW w:w="160" w:type="dxa"/>
            <w:vAlign w:val="bottom"/>
            <w:shd w:val="clear" w:color="auto" w:fill="CCEEFF"/>
          </w:tcPr>
          <w:p>
            <w:pPr>
              <w:spacing w:after="0"/>
              <w:rPr>
                <w:sz w:val="18"/>
                <w:szCs w:val="18"/>
                <w:color w:val="auto"/>
              </w:rPr>
            </w:pPr>
          </w:p>
        </w:tc>
        <w:tc>
          <w:tcPr>
            <w:tcW w:w="2340" w:type="dxa"/>
            <w:vAlign w:val="bottom"/>
            <w:gridSpan w:val="2"/>
            <w:shd w:val="clear" w:color="auto" w:fill="CCEEFF"/>
          </w:tcPr>
          <w:p>
            <w:pPr>
              <w:jc w:val="right"/>
              <w:ind w:right="1240"/>
              <w:spacing w:after="0"/>
              <w:rPr>
                <w:sz w:val="20"/>
                <w:szCs w:val="20"/>
                <w:color w:val="auto"/>
              </w:rPr>
            </w:pPr>
            <w:r>
              <w:rPr>
                <w:rFonts w:ascii="Arial" w:cs="Arial" w:eastAsia="Arial" w:hAnsi="Arial"/>
                <w:sz w:val="18"/>
                <w:szCs w:val="18"/>
                <w:color w:val="auto"/>
              </w:rPr>
              <w:t>(47)</w:t>
            </w: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4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revenues</w:t>
            </w:r>
          </w:p>
        </w:tc>
        <w:tc>
          <w:tcPr>
            <w:tcW w:w="16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6840" w:type="dxa"/>
            <w:vAlign w:val="bottom"/>
            <w:gridSpan w:val="2"/>
            <w:vMerge w:val="continue"/>
          </w:tcPr>
          <w:p>
            <w:pPr>
              <w:spacing w:after="0"/>
              <w:rPr>
                <w:sz w:val="20"/>
                <w:szCs w:val="20"/>
                <w:color w:val="auto"/>
              </w:rPr>
            </w:pPr>
          </w:p>
        </w:tc>
        <w:tc>
          <w:tcPr>
            <w:tcW w:w="160" w:type="dxa"/>
            <w:vAlign w:val="bottom"/>
          </w:tcPr>
          <w:p>
            <w:pPr>
              <w:spacing w:after="0"/>
              <w:rPr>
                <w:sz w:val="20"/>
                <w:szCs w:val="20"/>
                <w:color w:val="auto"/>
              </w:rPr>
            </w:pPr>
          </w:p>
        </w:tc>
        <w:tc>
          <w:tcPr>
            <w:tcW w:w="2340" w:type="dxa"/>
            <w:vAlign w:val="bottom"/>
            <w:gridSpan w:val="2"/>
          </w:tcPr>
          <w:p>
            <w:pPr>
              <w:jc w:val="right"/>
              <w:ind w:right="1240"/>
              <w:spacing w:after="0"/>
              <w:rPr>
                <w:sz w:val="20"/>
                <w:szCs w:val="20"/>
                <w:color w:val="auto"/>
              </w:rPr>
            </w:pPr>
            <w:r>
              <w:rPr>
                <w:rFonts w:ascii="Arial" w:cs="Arial" w:eastAsia="Arial" w:hAnsi="Arial"/>
                <w:sz w:val="18"/>
                <w:szCs w:val="18"/>
                <w:color w:val="auto"/>
              </w:rPr>
              <w:t>(38)</w:t>
            </w:r>
          </w:p>
        </w:tc>
        <w:tc>
          <w:tcPr>
            <w:tcW w:w="120" w:type="dxa"/>
            <w:vAlign w:val="bottom"/>
          </w:tcPr>
          <w:p>
            <w:pPr>
              <w:spacing w:after="0"/>
              <w:rPr>
                <w:sz w:val="20"/>
                <w:szCs w:val="20"/>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Expenses:</w:t>
            </w:r>
          </w:p>
        </w:tc>
        <w:tc>
          <w:tcPr>
            <w:tcW w:w="16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4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1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13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expenses</w:t>
            </w:r>
          </w:p>
        </w:tc>
        <w:tc>
          <w:tcPr>
            <w:tcW w:w="16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3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6860" w:type="dxa"/>
            <w:vAlign w:val="bottom"/>
            <w:gridSpan w:val="3"/>
          </w:tcPr>
          <w:p>
            <w:pPr>
              <w:spacing w:after="0"/>
              <w:rPr>
                <w:sz w:val="20"/>
                <w:szCs w:val="20"/>
                <w:color w:val="auto"/>
              </w:rPr>
            </w:pPr>
            <w:r>
              <w:rPr>
                <w:rFonts w:ascii="Arial" w:cs="Arial" w:eastAsia="Arial" w:hAnsi="Arial"/>
                <w:sz w:val="18"/>
                <w:szCs w:val="18"/>
                <w:color w:val="auto"/>
              </w:rPr>
              <w:t>Loss before income taxes</w:t>
            </w:r>
          </w:p>
        </w:tc>
        <w:tc>
          <w:tcPr>
            <w:tcW w:w="160" w:type="dxa"/>
            <w:vAlign w:val="bottom"/>
          </w:tcPr>
          <w:p>
            <w:pPr>
              <w:spacing w:after="0"/>
              <w:rPr>
                <w:sz w:val="19"/>
                <w:szCs w:val="19"/>
                <w:color w:val="auto"/>
              </w:rPr>
            </w:pPr>
          </w:p>
        </w:tc>
        <w:tc>
          <w:tcPr>
            <w:tcW w:w="2340" w:type="dxa"/>
            <w:vAlign w:val="bottom"/>
            <w:gridSpan w:val="2"/>
          </w:tcPr>
          <w:p>
            <w:pPr>
              <w:jc w:val="right"/>
              <w:ind w:right="1240"/>
              <w:spacing w:after="0"/>
              <w:rPr>
                <w:sz w:val="20"/>
                <w:szCs w:val="20"/>
                <w:color w:val="auto"/>
              </w:rPr>
            </w:pPr>
            <w:r>
              <w:rPr>
                <w:rFonts w:ascii="Arial" w:cs="Arial" w:eastAsia="Arial" w:hAnsi="Arial"/>
                <w:sz w:val="18"/>
                <w:szCs w:val="18"/>
                <w:color w:val="auto"/>
              </w:rPr>
              <w:t>(45)</w:t>
            </w:r>
          </w:p>
        </w:tc>
        <w:tc>
          <w:tcPr>
            <w:tcW w:w="120" w:type="dxa"/>
            <w:vAlign w:val="bottom"/>
          </w:tcPr>
          <w:p>
            <w:pPr>
              <w:spacing w:after="0"/>
              <w:rPr>
                <w:sz w:val="19"/>
                <w:szCs w:val="19"/>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 for income taxes</w:t>
            </w:r>
          </w:p>
        </w:tc>
        <w:tc>
          <w:tcPr>
            <w:tcW w:w="160" w:type="dxa"/>
            <w:vAlign w:val="bottom"/>
            <w:shd w:val="clear" w:color="auto" w:fill="CCEEFF"/>
          </w:tcPr>
          <w:p>
            <w:pPr>
              <w:spacing w:after="0"/>
              <w:rPr>
                <w:sz w:val="18"/>
                <w:szCs w:val="18"/>
                <w:color w:val="auto"/>
              </w:rPr>
            </w:pPr>
          </w:p>
        </w:tc>
        <w:tc>
          <w:tcPr>
            <w:tcW w:w="2340" w:type="dxa"/>
            <w:vAlign w:val="bottom"/>
            <w:gridSpan w:val="2"/>
            <w:shd w:val="clear" w:color="auto" w:fill="CCEEFF"/>
          </w:tcPr>
          <w:p>
            <w:pPr>
              <w:jc w:val="right"/>
              <w:ind w:right="1240"/>
              <w:spacing w:after="0"/>
              <w:rPr>
                <w:sz w:val="20"/>
                <w:szCs w:val="20"/>
                <w:color w:val="auto"/>
              </w:rPr>
            </w:pPr>
            <w:r>
              <w:rPr>
                <w:rFonts w:ascii="Arial" w:cs="Arial" w:eastAsia="Arial" w:hAnsi="Arial"/>
                <w:sz w:val="18"/>
                <w:szCs w:val="18"/>
                <w:color w:val="auto"/>
              </w:rPr>
              <w:t>(16)</w:t>
            </w: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
        </w:trPr>
        <w:tc>
          <w:tcPr>
            <w:tcW w:w="6860" w:type="dxa"/>
            <w:vAlign w:val="bottom"/>
            <w:gridSpan w:val="3"/>
            <w:vMerge w:val="restart"/>
          </w:tcPr>
          <w:p>
            <w:pPr>
              <w:spacing w:after="0"/>
              <w:rPr>
                <w:sz w:val="20"/>
                <w:szCs w:val="20"/>
                <w:color w:val="auto"/>
              </w:rPr>
            </w:pPr>
            <w:r>
              <w:rPr>
                <w:rFonts w:ascii="Arial" w:cs="Arial" w:eastAsia="Arial" w:hAnsi="Arial"/>
                <w:sz w:val="18"/>
                <w:szCs w:val="18"/>
                <w:color w:val="auto"/>
              </w:rPr>
              <w:t>Net loss</w:t>
            </w:r>
          </w:p>
        </w:tc>
        <w:tc>
          <w:tcPr>
            <w:tcW w:w="16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860" w:type="dxa"/>
            <w:vAlign w:val="bottom"/>
            <w:gridSpan w:val="3"/>
            <w:vMerge w:val="continue"/>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2340" w:type="dxa"/>
            <w:vAlign w:val="bottom"/>
            <w:gridSpan w:val="2"/>
          </w:tcPr>
          <w:p>
            <w:pPr>
              <w:jc w:val="right"/>
              <w:ind w:right="1240"/>
              <w:spacing w:after="0"/>
              <w:rPr>
                <w:sz w:val="20"/>
                <w:szCs w:val="20"/>
                <w:color w:val="auto"/>
              </w:rPr>
            </w:pPr>
            <w:r>
              <w:rPr>
                <w:rFonts w:ascii="Arial" w:cs="Arial" w:eastAsia="Arial" w:hAnsi="Arial"/>
                <w:sz w:val="18"/>
                <w:szCs w:val="18"/>
                <w:color w:val="auto"/>
              </w:rPr>
              <w:t>(29)</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5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shows the assets and liabilities that were recorded for the consolidated securitization entities as of the date indicated:</w:t>
      </w:r>
    </w:p>
    <w:p>
      <w:pPr>
        <w:spacing w:after="0" w:line="230"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38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5320" w:type="dxa"/>
            <w:vAlign w:val="bottom"/>
          </w:tcPr>
          <w:p>
            <w:pPr>
              <w:spacing w:after="0"/>
              <w:rPr>
                <w:sz w:val="14"/>
                <w:szCs w:val="14"/>
                <w:color w:val="auto"/>
              </w:rPr>
            </w:pPr>
          </w:p>
        </w:tc>
        <w:tc>
          <w:tcPr>
            <w:tcW w:w="820" w:type="dxa"/>
            <w:vAlign w:val="bottom"/>
            <w:gridSpan w:val="3"/>
          </w:tcPr>
          <w:p>
            <w:pPr>
              <w:ind w:left="20"/>
              <w:spacing w:after="0"/>
              <w:rPr>
                <w:sz w:val="20"/>
                <w:szCs w:val="20"/>
                <w:color w:val="auto"/>
              </w:rPr>
            </w:pPr>
            <w:r>
              <w:rPr>
                <w:rFonts w:ascii="Arial" w:cs="Arial" w:eastAsia="Arial" w:hAnsi="Arial"/>
                <w:sz w:val="14"/>
                <w:szCs w:val="14"/>
                <w:b w:val="1"/>
                <w:bCs w:val="1"/>
                <w:color w:val="auto"/>
                <w:w w:val="85"/>
              </w:rPr>
              <w:t>June 30, 2010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Assets</w:t>
            </w:r>
          </w:p>
        </w:tc>
        <w:tc>
          <w:tcPr>
            <w:tcW w:w="3040" w:type="dxa"/>
            <w:vAlign w:val="bottom"/>
            <w:shd w:val="clear" w:color="auto" w:fill="CCEEFF"/>
          </w:tcPr>
          <w:p>
            <w:pPr>
              <w:spacing w:after="0"/>
              <w:rPr>
                <w:sz w:val="18"/>
                <w:szCs w:val="18"/>
                <w:color w:val="auto"/>
              </w:rPr>
            </w:pPr>
          </w:p>
        </w:tc>
        <w:tc>
          <w:tcPr>
            <w:tcW w:w="53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2"/>
          </w:tcPr>
          <w:p>
            <w:pPr>
              <w:ind w:left="420"/>
              <w:spacing w:after="0"/>
              <w:rPr>
                <w:sz w:val="20"/>
                <w:szCs w:val="20"/>
                <w:color w:val="auto"/>
              </w:rPr>
            </w:pPr>
            <w:r>
              <w:rPr>
                <w:rFonts w:ascii="Arial" w:cs="Arial" w:eastAsia="Arial" w:hAnsi="Arial"/>
                <w:sz w:val="18"/>
                <w:szCs w:val="18"/>
                <w:color w:val="auto"/>
              </w:rPr>
              <w:t>Investments:</w:t>
            </w:r>
          </w:p>
        </w:tc>
        <w:tc>
          <w:tcPr>
            <w:tcW w:w="5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Restricted commercial mortgage loans</w:t>
            </w:r>
          </w:p>
        </w:tc>
        <w:tc>
          <w:tcPr>
            <w:tcW w:w="5640" w:type="dxa"/>
            <w:vAlign w:val="bottom"/>
            <w:gridSpan w:val="2"/>
            <w:shd w:val="clear" w:color="auto" w:fill="CCEEFF"/>
          </w:tcPr>
          <w:p>
            <w:pPr>
              <w:ind w:left="53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2"/>
          </w:tcPr>
          <w:p>
            <w:pPr>
              <w:ind w:left="860"/>
              <w:spacing w:after="0"/>
              <w:rPr>
                <w:sz w:val="20"/>
                <w:szCs w:val="20"/>
                <w:color w:val="auto"/>
              </w:rPr>
            </w:pPr>
            <w:r>
              <w:rPr>
                <w:rFonts w:ascii="Arial" w:cs="Arial" w:eastAsia="Arial" w:hAnsi="Arial"/>
                <w:sz w:val="18"/>
                <w:szCs w:val="18"/>
                <w:color w:val="auto"/>
              </w:rPr>
              <w:t>Restricted other invested assets:</w:t>
            </w:r>
          </w:p>
        </w:tc>
        <w:tc>
          <w:tcPr>
            <w:tcW w:w="5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Trading securities</w:t>
            </w:r>
          </w:p>
        </w:tc>
        <w:tc>
          <w:tcPr>
            <w:tcW w:w="5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360" w:type="dxa"/>
            <w:vAlign w:val="bottom"/>
            <w:gridSpan w:val="2"/>
          </w:tcPr>
          <w:p>
            <w:pPr>
              <w:ind w:left="1280"/>
              <w:spacing w:after="0"/>
              <w:rPr>
                <w:sz w:val="20"/>
                <w:szCs w:val="20"/>
                <w:color w:val="auto"/>
              </w:rPr>
            </w:pPr>
            <w:r>
              <w:rPr>
                <w:rFonts w:ascii="Arial" w:cs="Arial" w:eastAsia="Arial" w:hAnsi="Arial"/>
                <w:sz w:val="18"/>
                <w:szCs w:val="18"/>
                <w:color w:val="auto"/>
              </w:rPr>
              <w:t>Other</w:t>
            </w:r>
          </w:p>
        </w:tc>
        <w:tc>
          <w:tcPr>
            <w:tcW w:w="53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restricted other invested assets</w:t>
            </w:r>
          </w:p>
        </w:tc>
        <w:tc>
          <w:tcPr>
            <w:tcW w:w="532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4360" w:type="dxa"/>
            <w:vAlign w:val="bottom"/>
            <w:gridSpan w:val="2"/>
          </w:tcPr>
          <w:p>
            <w:pPr>
              <w:ind w:left="1280"/>
              <w:spacing w:after="0"/>
              <w:rPr>
                <w:sz w:val="20"/>
                <w:szCs w:val="20"/>
                <w:color w:val="auto"/>
              </w:rPr>
            </w:pPr>
            <w:r>
              <w:rPr>
                <w:rFonts w:ascii="Arial" w:cs="Arial" w:eastAsia="Arial" w:hAnsi="Arial"/>
                <w:sz w:val="18"/>
                <w:szCs w:val="18"/>
                <w:color w:val="auto"/>
              </w:rPr>
              <w:t>Total investments</w:t>
            </w:r>
          </w:p>
        </w:tc>
        <w:tc>
          <w:tcPr>
            <w:tcW w:w="5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909</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3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Cash and cash equivalents</w:t>
            </w:r>
          </w:p>
        </w:tc>
        <w:tc>
          <w:tcPr>
            <w:tcW w:w="5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360" w:type="dxa"/>
            <w:vAlign w:val="bottom"/>
            <w:gridSpan w:val="2"/>
          </w:tcPr>
          <w:p>
            <w:pPr>
              <w:ind w:left="420"/>
              <w:spacing w:after="0"/>
              <w:rPr>
                <w:sz w:val="20"/>
                <w:szCs w:val="20"/>
                <w:color w:val="auto"/>
              </w:rPr>
            </w:pPr>
            <w:r>
              <w:rPr>
                <w:rFonts w:ascii="Arial" w:cs="Arial" w:eastAsia="Arial" w:hAnsi="Arial"/>
                <w:sz w:val="18"/>
                <w:szCs w:val="18"/>
                <w:color w:val="auto"/>
              </w:rPr>
              <w:t>Accrued investment income</w:t>
            </w:r>
          </w:p>
        </w:tc>
        <w:tc>
          <w:tcPr>
            <w:tcW w:w="53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assets</w:t>
            </w:r>
          </w:p>
        </w:tc>
        <w:tc>
          <w:tcPr>
            <w:tcW w:w="5640" w:type="dxa"/>
            <w:vAlign w:val="bottom"/>
            <w:gridSpan w:val="2"/>
            <w:shd w:val="clear" w:color="auto" w:fill="CCEEFF"/>
          </w:tcPr>
          <w:p>
            <w:pPr>
              <w:ind w:left="53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380" w:type="dxa"/>
            <w:vAlign w:val="bottom"/>
            <w:gridSpan w:val="3"/>
            <w:vMerge w:val="restart"/>
          </w:tcPr>
          <w:p>
            <w:pPr>
              <w:spacing w:after="0"/>
              <w:rPr>
                <w:sz w:val="20"/>
                <w:szCs w:val="20"/>
                <w:color w:val="auto"/>
              </w:rPr>
            </w:pPr>
            <w:r>
              <w:rPr>
                <w:rFonts w:ascii="Arial" w:cs="Arial" w:eastAsia="Arial" w:hAnsi="Arial"/>
                <w:sz w:val="18"/>
                <w:szCs w:val="18"/>
                <w:color w:val="auto"/>
              </w:rPr>
              <w:t>Liabilities</w:t>
            </w:r>
          </w:p>
        </w:tc>
        <w:tc>
          <w:tcPr>
            <w:tcW w:w="53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4380" w:type="dxa"/>
            <w:vAlign w:val="bottom"/>
            <w:gridSpan w:val="3"/>
            <w:vMerge w:val="continue"/>
          </w:tcPr>
          <w:p>
            <w:pPr>
              <w:spacing w:after="0"/>
              <w:rPr>
                <w:sz w:val="18"/>
                <w:szCs w:val="18"/>
                <w:color w:val="auto"/>
              </w:rPr>
            </w:pPr>
          </w:p>
        </w:tc>
        <w:tc>
          <w:tcPr>
            <w:tcW w:w="5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3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Other liabilities:</w:t>
            </w:r>
          </w:p>
        </w:tc>
        <w:tc>
          <w:tcPr>
            <w:tcW w:w="5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2"/>
          </w:tcPr>
          <w:p>
            <w:pPr>
              <w:ind w:left="860"/>
              <w:spacing w:after="0"/>
              <w:rPr>
                <w:sz w:val="20"/>
                <w:szCs w:val="20"/>
                <w:color w:val="auto"/>
              </w:rPr>
            </w:pPr>
            <w:r>
              <w:rPr>
                <w:rFonts w:ascii="Arial" w:cs="Arial" w:eastAsia="Arial" w:hAnsi="Arial"/>
                <w:sz w:val="18"/>
                <w:szCs w:val="18"/>
                <w:color w:val="auto"/>
              </w:rPr>
              <w:t>Derivative liabilities</w:t>
            </w:r>
          </w:p>
        </w:tc>
        <w:tc>
          <w:tcPr>
            <w:tcW w:w="5640" w:type="dxa"/>
            <w:vAlign w:val="bottom"/>
            <w:gridSpan w:val="2"/>
          </w:tcPr>
          <w:p>
            <w:pPr>
              <w:ind w:left="532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182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Other liabilities</w:t>
            </w:r>
          </w:p>
        </w:tc>
        <w:tc>
          <w:tcPr>
            <w:tcW w:w="532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4360" w:type="dxa"/>
            <w:vAlign w:val="bottom"/>
            <w:gridSpan w:val="2"/>
          </w:tcPr>
          <w:p>
            <w:pPr>
              <w:ind w:left="860"/>
              <w:spacing w:after="0"/>
              <w:rPr>
                <w:sz w:val="20"/>
                <w:szCs w:val="20"/>
                <w:color w:val="auto"/>
              </w:rPr>
            </w:pPr>
            <w:r>
              <w:rPr>
                <w:rFonts w:ascii="Arial" w:cs="Arial" w:eastAsia="Arial" w:hAnsi="Arial"/>
                <w:sz w:val="18"/>
                <w:szCs w:val="18"/>
                <w:color w:val="auto"/>
              </w:rPr>
              <w:t>Total other liabilities</w:t>
            </w:r>
          </w:p>
        </w:tc>
        <w:tc>
          <w:tcPr>
            <w:tcW w:w="5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3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Borrowings related to securitization entities</w:t>
            </w:r>
          </w:p>
        </w:tc>
        <w:tc>
          <w:tcPr>
            <w:tcW w:w="532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4360" w:type="dxa"/>
            <w:vAlign w:val="bottom"/>
            <w:gridSpan w:val="2"/>
          </w:tcPr>
          <w:p>
            <w:pPr>
              <w:ind w:left="860"/>
              <w:spacing w:after="0"/>
              <w:rPr>
                <w:sz w:val="20"/>
                <w:szCs w:val="20"/>
                <w:color w:val="auto"/>
              </w:rPr>
            </w:pPr>
            <w:r>
              <w:rPr>
                <w:rFonts w:ascii="Arial" w:cs="Arial" w:eastAsia="Arial" w:hAnsi="Arial"/>
                <w:sz w:val="18"/>
                <w:szCs w:val="18"/>
                <w:color w:val="auto"/>
              </w:rPr>
              <w:t>Total liabilities</w:t>
            </w:r>
          </w:p>
        </w:tc>
        <w:tc>
          <w:tcPr>
            <w:tcW w:w="5640" w:type="dxa"/>
            <w:vAlign w:val="bottom"/>
            <w:gridSpan w:val="2"/>
          </w:tcPr>
          <w:p>
            <w:pPr>
              <w:ind w:left="5320"/>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708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5320" w:type="dxa"/>
            <w:vAlign w:val="bottom"/>
            <w:vMerge w:val="restart"/>
          </w:tcPr>
          <w:p>
            <w:pPr>
              <w:jc w:val="right"/>
              <w:ind w:right="4272"/>
              <w:spacing w:after="0"/>
              <w:rPr>
                <w:sz w:val="20"/>
                <w:szCs w:val="20"/>
                <w:color w:val="auto"/>
              </w:rPr>
            </w:pPr>
            <w:r>
              <w:rPr>
                <w:rFonts w:ascii="Arial" w:cs="Arial" w:eastAsia="Arial" w:hAnsi="Arial"/>
                <w:sz w:val="18"/>
                <w:szCs w:val="18"/>
                <w:color w:val="auto"/>
              </w:rPr>
              <w:t>55</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3040" w:type="dxa"/>
            <w:vAlign w:val="bottom"/>
          </w:tcPr>
          <w:p>
            <w:pPr>
              <w:spacing w:after="0"/>
              <w:rPr>
                <w:sz w:val="24"/>
                <w:szCs w:val="24"/>
                <w:color w:val="auto"/>
              </w:rPr>
            </w:pPr>
          </w:p>
        </w:tc>
        <w:tc>
          <w:tcPr>
            <w:tcW w:w="532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240" w:top="459" w:right="41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The assets and other instruments held by the securitization entities are restricted and can only be used to fulfill the obligations of the securitization entity. Additionally, the obligations of the securitization entities do not have any recourse to the general credit of any other consolidated subsidiaries, except $40 million of limited recourse related to a consolidated commercial mortgage loan securitization entity.</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Commitments and Contingencies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(a) Litigation</w:t>
      </w:r>
    </w:p>
    <w:p>
      <w:pPr>
        <w:spacing w:after="0" w:line="90" w:lineRule="exact"/>
        <w:rPr>
          <w:sz w:val="20"/>
          <w:szCs w:val="20"/>
          <w:color w:val="auto"/>
        </w:rPr>
      </w:pPr>
    </w:p>
    <w:p>
      <w:pPr>
        <w:ind w:right="60" w:firstLine="456"/>
        <w:spacing w:after="0" w:line="301" w:lineRule="auto"/>
        <w:rPr>
          <w:sz w:val="20"/>
          <w:szCs w:val="20"/>
          <w:color w:val="auto"/>
        </w:rPr>
      </w:pPr>
      <w:r>
        <w:rPr>
          <w:rFonts w:ascii="Arial" w:cs="Arial" w:eastAsia="Arial" w:hAnsi="Arial"/>
          <w:sz w:val="15"/>
          <w:szCs w:val="15"/>
          <w:color w:val="auto"/>
        </w:rPr>
        <w:t>We face the risk of litigation and regulatory investigations and actions in the ordinary course of operating our businesses, including class action lawsuits. Our pending legal and regulatory actions include proceedings specific to us and others generally applicable to business practices in the industries in which we operate. In our insurance operations, we are, have been, or may become subject to class actions and individual suits alleging, among other things, issues relating to sales or underwriting practices, payment of contingent or other sales commissions, bidding practices in connection with our management and administration of a third party’s municipal guaranteed investment contract business, claims payments and procedures, cancellation or rescission of coverage, product design, product disclosure, administration, additional premium charges for premiums paid on a periodic basis, denial or delay of benefits, charging excessive or impermissible fees on products, recommending unsuitable products to customers, our pricing structures and business practices in our mortgage insurance businesses, such as captive reinsurance arrangements with lenders and contract underwriting services, violations of Real Estate Settlement Procedures Act of</w:t>
      </w:r>
    </w:p>
    <w:p>
      <w:pPr>
        <w:spacing w:after="0" w:line="4"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1974 or related state anti-inducement laws, and breaching fiduciary or other duties to customers. Plaintiffs in class action and other lawsuits against us may seek very large or indeterminate amounts which may remain unknown for substantial periods of time. In our investment-related operations, we are subject to litigation involving commercial disputes with counterparties. We are also subject to litigation arising out of our general business activities such as our contractual and employment relationships. We are also subject to various regulatory inquiries, such as information requests, subpoenas, books and record examinations and market conduct and financial examinations from state, federal and international regulators and other authorities. A substantial legal liability or a significant regulatory action against us could have an adverse effect on our financial condition and results of operations. Moreover, even if we ultimately prevail in the litigation, regulatory action or investigation, we could suffer significant reputational harm, which could have an adverse effect on our business, financial condition or results of operations. At this time, it is not feasible to predict, nor to determine the ultimate outcomes of all pending investigations and legal proceedings, nor to provide reasonable ranges of potential losses.</w:t>
      </w:r>
    </w:p>
    <w:p>
      <w:pPr>
        <w:spacing w:after="0" w:line="20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(b) Commitments</w:t>
      </w:r>
    </w:p>
    <w:p>
      <w:pPr>
        <w:spacing w:after="0" w:line="90" w:lineRule="exact"/>
        <w:rPr>
          <w:sz w:val="20"/>
          <w:szCs w:val="20"/>
          <w:color w:val="auto"/>
        </w:rPr>
      </w:pPr>
    </w:p>
    <w:p>
      <w:pPr>
        <w:ind w:right="620" w:firstLine="456"/>
        <w:spacing w:after="0" w:line="268" w:lineRule="auto"/>
        <w:rPr>
          <w:sz w:val="20"/>
          <w:szCs w:val="20"/>
          <w:color w:val="auto"/>
        </w:rPr>
      </w:pPr>
      <w:r>
        <w:rPr>
          <w:rFonts w:ascii="Arial" w:cs="Arial" w:eastAsia="Arial" w:hAnsi="Arial"/>
          <w:sz w:val="18"/>
          <w:szCs w:val="18"/>
          <w:color w:val="auto"/>
        </w:rPr>
        <w:t>As of June 30, 2010, we were committed to fund $143 million in limited partnership investments and $5 million in U.S. commercial mortgage loan investments.</w:t>
      </w:r>
    </w:p>
    <w:p>
      <w:pPr>
        <w:spacing w:after="0" w:line="207" w:lineRule="exact"/>
        <w:rPr>
          <w:sz w:val="20"/>
          <w:szCs w:val="20"/>
          <w:color w:val="auto"/>
        </w:rPr>
      </w:pPr>
    </w:p>
    <w:p>
      <w:pPr>
        <w:ind w:left="460" w:right="8600" w:hanging="452"/>
        <w:spacing w:after="0" w:line="417" w:lineRule="auto"/>
        <w:tabs>
          <w:tab w:leader="none" w:pos="252" w:val="left"/>
        </w:tabs>
        <w:numPr>
          <w:ilvl w:val="0"/>
          <w:numId w:val="32"/>
        </w:numPr>
        <w:rPr>
          <w:rFonts w:ascii="Arial" w:cs="Arial" w:eastAsia="Arial" w:hAnsi="Arial"/>
          <w:sz w:val="15"/>
          <w:szCs w:val="15"/>
          <w:b w:val="1"/>
          <w:bCs w:val="1"/>
          <w:color w:val="auto"/>
        </w:rPr>
      </w:pPr>
      <w:r>
        <w:rPr>
          <w:rFonts w:ascii="Arial" w:cs="Arial" w:eastAsia="Arial" w:hAnsi="Arial"/>
          <w:sz w:val="15"/>
          <w:szCs w:val="15"/>
          <w:b w:val="1"/>
          <w:bCs w:val="1"/>
          <w:color w:val="auto"/>
        </w:rPr>
        <w:t xml:space="preserve">Borrowings and Other Financings </w:t>
      </w:r>
      <w:r>
        <w:rPr>
          <w:rFonts w:ascii="Arial" w:cs="Arial" w:eastAsia="Arial" w:hAnsi="Arial"/>
          <w:sz w:val="15"/>
          <w:szCs w:val="15"/>
          <w:i w:val="1"/>
          <w:iCs w:val="1"/>
          <w:color w:val="auto"/>
        </w:rPr>
        <w:t>Revolving Credit Facilities</w:t>
      </w:r>
    </w:p>
    <w:p>
      <w:pPr>
        <w:spacing w:after="0" w:line="1"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We have two five-year revolving credit facilities that mature in May 2012 and August 2012. These facilities bear variable interest rates based on one-month LIBOR plus a margin. Each of these facilities originally had $1.0 billion available for borrowings. Lehman Commercial Paper Inc. (“LCP”) had committed $70 million under the August 2012 credit facility and Lehman Brothers Bank, FSB (“Lehman FSB”) had committed $70 million under the May 2012 credit facility. On October 5, 2008, LCP filed for protection under Chapter 11 of the Federal</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459" w:right="2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Bankruptcy Code in the U.S. Bankruptcy Court for the Southern District of New York. LCP was unable to fulfill its commitments under the August 2012 credit facility and Lehman FSB declined to fulfill its commitment under the May 2012 credit facility. On April 1, 2010, a consent and waiver agreement was entered into which releases the Lehman Brothers-related entities from their commitments under the facilities and reduces the remaining commitments by those respective amounts. Therefore, as of June 30, 2010, we had access to $1.9 billion under these facilities.</w:t>
      </w:r>
    </w:p>
    <w:p>
      <w:pPr>
        <w:spacing w:after="0" w:line="113"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In June 2010, we repaid $100 million of outstanding borrowings under each of our five-year revolving credit facilities using the net proceeds from our senior notes offering that was completed in June 2010.</w:t>
      </w:r>
    </w:p>
    <w:p>
      <w:pPr>
        <w:spacing w:after="0" w:line="132" w:lineRule="exact"/>
        <w:rPr>
          <w:sz w:val="20"/>
          <w:szCs w:val="20"/>
          <w:color w:val="auto"/>
        </w:rPr>
      </w:pPr>
    </w:p>
    <w:p>
      <w:pPr>
        <w:ind w:right="60" w:firstLine="456"/>
        <w:spacing w:after="0" w:line="306" w:lineRule="auto"/>
        <w:rPr>
          <w:sz w:val="20"/>
          <w:szCs w:val="20"/>
          <w:color w:val="auto"/>
        </w:rPr>
      </w:pPr>
      <w:r>
        <w:rPr>
          <w:rFonts w:ascii="Arial" w:cs="Arial" w:eastAsia="Arial" w:hAnsi="Arial"/>
          <w:sz w:val="16"/>
          <w:szCs w:val="16"/>
          <w:color w:val="auto"/>
        </w:rPr>
        <w:t>As of June 30, 2010, we had borrowings of $730 million under these facilities, and we utilized $54 million under these facilities primarily for the issuance of letters of credit for the benefit of one of our lifestyle protection insurance subsidiaries. As of December 31, 2009, we had borrowings of $930 million under these facilities, and we utilized $407 million under these facilities for the issuance of letters of credit for the benefit of one of our life insurance subsidiaries.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Long-Term Senior Notes</w:t>
      </w:r>
    </w:p>
    <w:p>
      <w:pPr>
        <w:spacing w:after="0" w:line="90" w:lineRule="exact"/>
        <w:rPr>
          <w:sz w:val="20"/>
          <w:szCs w:val="20"/>
          <w:color w:val="auto"/>
        </w:rPr>
      </w:pPr>
    </w:p>
    <w:p>
      <w:pPr>
        <w:ind w:right="100" w:firstLine="456"/>
        <w:spacing w:after="0" w:line="253" w:lineRule="auto"/>
        <w:rPr>
          <w:sz w:val="20"/>
          <w:szCs w:val="20"/>
          <w:color w:val="auto"/>
        </w:rPr>
      </w:pPr>
      <w:r>
        <w:rPr>
          <w:rFonts w:ascii="Arial" w:cs="Arial" w:eastAsia="Arial" w:hAnsi="Arial"/>
          <w:sz w:val="18"/>
          <w:szCs w:val="18"/>
          <w:color w:val="auto"/>
        </w:rPr>
        <w:t>In June 2010, we issued senior notes having an aggregate principal amount of $400 million, with an interest rate equal to 7.700% per year payable semi-annually, and maturing in June 2020 (“2020 Notes”). The 2020 Notes are our direct, unsecured obligations and will rank equally with all of our existing and future unsecured and unsubordinated obligations. We have the option to redeem all or a portion of the 2020 Notes at any time with proper notice to the note holders at a price equal to the greater of 100% of principal or the sum of the present value of the remaining scheduled payments of principal and interest discounted at the then-current treasury rate plus an applicable spread. The net proceeds of $397 million from the issuance of the 2020 Notes were used to repay $100 million of outstanding borrowings under each of our five-year revolving credit facilities and the remainder of the proceeds were used for general corporate purposes.</w:t>
      </w:r>
    </w:p>
    <w:p>
      <w:pPr>
        <w:spacing w:after="0" w:line="147"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In June 2010, our majority-owned subsidiary, Genworth MI Canada Inc. (“Genworth Canada”), issued CDN$275 million of 5.68% senior notes due 2020. The net proceeds of the offering will be used to fund transactions among Genworth Canada and its Canadian wholly-owned subsidiaries. Genworth Canada is expected to use any proceeds it receives from such transactions for general corporate and investment purposes, and/or to fund a distribution to, or a repurchase of common shares from, Genworth Canada’s shareholders.</w:t>
      </w:r>
    </w:p>
    <w:p>
      <w:pPr>
        <w:spacing w:after="0" w:line="22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Non-Recourse Funding Obligations</w:t>
      </w:r>
    </w:p>
    <w:p>
      <w:pPr>
        <w:spacing w:after="0" w:line="90" w:lineRule="exact"/>
        <w:rPr>
          <w:sz w:val="20"/>
          <w:szCs w:val="20"/>
          <w:color w:val="auto"/>
        </w:rPr>
      </w:pPr>
    </w:p>
    <w:p>
      <w:pPr>
        <w:ind w:right="100" w:firstLine="456"/>
        <w:spacing w:after="0" w:line="332" w:lineRule="auto"/>
        <w:rPr>
          <w:sz w:val="20"/>
          <w:szCs w:val="20"/>
          <w:color w:val="auto"/>
        </w:rPr>
      </w:pPr>
      <w:r>
        <w:rPr>
          <w:rFonts w:ascii="Arial" w:cs="Arial" w:eastAsia="Arial" w:hAnsi="Arial"/>
          <w:sz w:val="16"/>
          <w:szCs w:val="16"/>
          <w:color w:val="auto"/>
        </w:rPr>
        <w:t>As of June 30, 2010, we had $3.4 billion of fixed and floating rate non-recourse funding obligations outstanding backing additional statutory reserves. As of June 30, 2010 and December 31, 2009, the weighted-average interest rates on our non-recourse funding obligations were 1.51% and 1.49%, respectively.</w:t>
      </w:r>
    </w:p>
    <w:p>
      <w:pPr>
        <w:spacing w:after="0" w:line="7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360"/>
          </w:cols>
          <w:pgMar w:left="240" w:top="459" w:right="29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Borrowings Related To Securitization Entities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Borrowings related to securitization entities were as follows as of June 30, 2010:</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496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1460" w:type="dxa"/>
            <w:vAlign w:val="bottom"/>
            <w:gridSpan w:val="3"/>
          </w:tcPr>
          <w:p>
            <w:pPr>
              <w:spacing w:after="0"/>
              <w:rPr>
                <w:sz w:val="20"/>
                <w:szCs w:val="20"/>
                <w:color w:val="auto"/>
              </w:rPr>
            </w:pPr>
            <w:r>
              <w:rPr>
                <w:rFonts w:ascii="Arial" w:cs="Arial" w:eastAsia="Arial" w:hAnsi="Arial"/>
                <w:sz w:val="14"/>
                <w:szCs w:val="14"/>
                <w:b w:val="1"/>
                <w:bCs w:val="1"/>
                <w:color w:val="auto"/>
              </w:rPr>
              <w:t>Principal</w:t>
            </w:r>
          </w:p>
        </w:tc>
        <w:tc>
          <w:tcPr>
            <w:tcW w:w="560" w:type="dxa"/>
            <w:vAlign w:val="bottom"/>
            <w:gridSpan w:val="3"/>
          </w:tcPr>
          <w:p>
            <w:pPr>
              <w:spacing w:after="0"/>
              <w:rPr>
                <w:sz w:val="20"/>
                <w:szCs w:val="20"/>
                <w:color w:val="auto"/>
              </w:rPr>
            </w:pPr>
            <w:r>
              <w:rPr>
                <w:rFonts w:ascii="Arial" w:cs="Arial" w:eastAsia="Arial" w:hAnsi="Arial"/>
                <w:sz w:val="14"/>
                <w:szCs w:val="14"/>
                <w:b w:val="1"/>
                <w:bCs w:val="1"/>
                <w:color w:val="auto"/>
                <w:w w:val="93"/>
              </w:rPr>
              <w:t>Carrying</w:t>
            </w:r>
          </w:p>
        </w:tc>
        <w:tc>
          <w:tcPr>
            <w:tcW w:w="0" w:type="dxa"/>
            <w:vAlign w:val="bottom"/>
          </w:tcPr>
          <w:p>
            <w:pPr>
              <w:spacing w:after="0"/>
              <w:rPr>
                <w:sz w:val="1"/>
                <w:szCs w:val="1"/>
                <w:color w:val="auto"/>
              </w:rPr>
            </w:pPr>
          </w:p>
        </w:tc>
      </w:tr>
      <w:tr>
        <w:trPr>
          <w:trHeight w:val="161"/>
        </w:trPr>
        <w:tc>
          <w:tcPr>
            <w:tcW w:w="630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2200" w:type="dxa"/>
            <w:vAlign w:val="bottom"/>
          </w:tcPr>
          <w:p>
            <w:pPr>
              <w:spacing w:after="0"/>
              <w:rPr>
                <w:sz w:val="14"/>
                <w:szCs w:val="14"/>
                <w:color w:val="auto"/>
              </w:rPr>
            </w:pPr>
          </w:p>
        </w:tc>
        <w:tc>
          <w:tcPr>
            <w:tcW w:w="1460" w:type="dxa"/>
            <w:vAlign w:val="bottom"/>
            <w:gridSpan w:val="3"/>
          </w:tcPr>
          <w:p>
            <w:pPr>
              <w:ind w:left="60"/>
              <w:spacing w:after="0"/>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14"/>
                <w:szCs w:val="14"/>
                <w:color w:val="auto"/>
              </w:rPr>
            </w:pPr>
          </w:p>
        </w:tc>
        <w:tc>
          <w:tcPr>
            <w:tcW w:w="460" w:type="dxa"/>
            <w:vAlign w:val="bottom"/>
            <w:gridSpan w:val="2"/>
          </w:tcPr>
          <w:p>
            <w:pPr>
              <w:ind w:left="20"/>
              <w:spacing w:after="0"/>
              <w:rPr>
                <w:sz w:val="20"/>
                <w:szCs w:val="20"/>
                <w:color w:val="auto"/>
              </w:rPr>
            </w:pPr>
            <w:r>
              <w:rPr>
                <w:rFonts w:ascii="Arial" w:cs="Arial" w:eastAsia="Arial" w:hAnsi="Arial"/>
                <w:sz w:val="14"/>
                <w:szCs w:val="14"/>
                <w:b w:val="1"/>
                <w:bCs w:val="1"/>
                <w:color w:val="auto"/>
              </w:rPr>
              <w:t>value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GFCM LLC, due 2035, 5.2541%</w:t>
            </w:r>
          </w:p>
        </w:tc>
        <w:tc>
          <w:tcPr>
            <w:tcW w:w="2380" w:type="dxa"/>
            <w:vAlign w:val="bottom"/>
            <w:gridSpan w:val="2"/>
            <w:shd w:val="clear" w:color="auto" w:fill="CCEEFF"/>
          </w:tcPr>
          <w:p>
            <w:pPr>
              <w:ind w:left="22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w:t>
            </w: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80" w:type="dxa"/>
            <w:vAlign w:val="bottom"/>
            <w:gridSpan w:val="2"/>
          </w:tcPr>
          <w:p>
            <w:pPr>
              <w:spacing w:after="0"/>
              <w:rPr>
                <w:sz w:val="20"/>
                <w:szCs w:val="20"/>
                <w:color w:val="auto"/>
              </w:rPr>
            </w:pPr>
            <w:r>
              <w:rPr>
                <w:rFonts w:ascii="Arial" w:cs="Arial" w:eastAsia="Arial" w:hAnsi="Arial"/>
                <w:sz w:val="18"/>
                <w:szCs w:val="18"/>
                <w:color w:val="auto"/>
              </w:rPr>
              <w:t>GFCM LLC, due 2035, 5.7426%</w:t>
            </w:r>
          </w:p>
        </w:tc>
        <w:tc>
          <w:tcPr>
            <w:tcW w:w="2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113</w:t>
            </w: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Genworth Special Purpose Two, LLC, due 2023, 6.0175%</w:t>
            </w:r>
          </w:p>
        </w:tc>
        <w:tc>
          <w:tcPr>
            <w:tcW w:w="2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w:t>
            </w: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80" w:type="dxa"/>
            <w:vAlign w:val="bottom"/>
            <w:gridSpan w:val="2"/>
          </w:tcPr>
          <w:p>
            <w:pPr>
              <w:spacing w:after="0"/>
              <w:rPr>
                <w:sz w:val="20"/>
                <w:szCs w:val="20"/>
                <w:color w:val="auto"/>
              </w:rPr>
            </w:pPr>
            <w:r>
              <w:rPr>
                <w:rFonts w:ascii="Arial" w:cs="Arial" w:eastAsia="Arial" w:hAnsi="Arial"/>
                <w:sz w:val="18"/>
                <w:szCs w:val="18"/>
                <w:color w:val="auto"/>
              </w:rPr>
              <w:t xml:space="preserve">Marvel Finance 2007-1 LLC, due 2017 </w:t>
            </w:r>
            <w:r>
              <w:rPr>
                <w:rFonts w:ascii="Arial" w:cs="Arial" w:eastAsia="Arial" w:hAnsi="Arial"/>
                <w:sz w:val="11"/>
                <w:szCs w:val="11"/>
                <w:color w:val="auto"/>
              </w:rPr>
              <w:t>( 1)</w:t>
            </w:r>
          </w:p>
        </w:tc>
        <w:tc>
          <w:tcPr>
            <w:tcW w:w="2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5</w:t>
            </w: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Marvel Finance 2007-4 LLC, due 2017 </w:t>
            </w:r>
            <w:r>
              <w:rPr>
                <w:rFonts w:ascii="Arial" w:cs="Arial" w:eastAsia="Arial" w:hAnsi="Arial"/>
                <w:sz w:val="11"/>
                <w:szCs w:val="11"/>
                <w:color w:val="auto"/>
              </w:rPr>
              <w:t>( 1)</w:t>
            </w:r>
          </w:p>
        </w:tc>
        <w:tc>
          <w:tcPr>
            <w:tcW w:w="2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280" w:type="dxa"/>
            <w:vAlign w:val="bottom"/>
            <w:gridSpan w:val="2"/>
          </w:tcPr>
          <w:p>
            <w:pPr>
              <w:spacing w:after="0"/>
              <w:rPr>
                <w:sz w:val="20"/>
                <w:szCs w:val="20"/>
                <w:color w:val="auto"/>
              </w:rPr>
            </w:pPr>
            <w:r>
              <w:rPr>
                <w:rFonts w:ascii="Arial" w:cs="Arial" w:eastAsia="Arial" w:hAnsi="Arial"/>
                <w:sz w:val="18"/>
                <w:szCs w:val="18"/>
                <w:color w:val="auto"/>
              </w:rPr>
              <w:t xml:space="preserve">Genworth Special Purpose Five, LLC, due 2040 </w:t>
            </w:r>
            <w:r>
              <w:rPr>
                <w:rFonts w:ascii="Arial" w:cs="Arial" w:eastAsia="Arial" w:hAnsi="Arial"/>
                <w:sz w:val="11"/>
                <w:szCs w:val="11"/>
                <w:color w:val="auto"/>
              </w:rPr>
              <w:t>( 1)</w:t>
            </w:r>
          </w:p>
        </w:tc>
        <w:tc>
          <w:tcPr>
            <w:tcW w:w="2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ind w:left="100"/>
              <w:spacing w:after="0"/>
              <w:rPr>
                <w:sz w:val="20"/>
                <w:szCs w:val="20"/>
                <w:color w:val="auto"/>
              </w:rPr>
            </w:pPr>
            <w:r>
              <w:rPr>
                <w:rFonts w:ascii="Arial" w:cs="Arial" w:eastAsia="Arial" w:hAnsi="Arial"/>
                <w:sz w:val="18"/>
                <w:szCs w:val="18"/>
                <w:color w:val="auto"/>
              </w:rPr>
              <w:t xml:space="preserve">NA </w:t>
            </w:r>
            <w:r>
              <w:rPr>
                <w:rFonts w:ascii="Arial" w:cs="Arial" w:eastAsia="Arial" w:hAnsi="Arial"/>
                <w:sz w:val="11"/>
                <w:szCs w:val="11"/>
                <w:color w:val="auto"/>
              </w:rPr>
              <w:t>(2)</w:t>
            </w:r>
          </w:p>
        </w:tc>
        <w:tc>
          <w:tcPr>
            <w:tcW w:w="1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w:t>
            </w:r>
          </w:p>
        </w:tc>
        <w:tc>
          <w:tcPr>
            <w:tcW w:w="2200" w:type="dxa"/>
            <w:vAlign w:val="bottom"/>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491</w:t>
            </w:r>
          </w:p>
        </w:tc>
        <w:tc>
          <w:tcPr>
            <w:tcW w:w="92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33"/>
        </w:numPr>
        <w:rPr>
          <w:rFonts w:ascii="Arial" w:cs="Arial" w:eastAsia="Arial" w:hAnsi="Arial"/>
          <w:sz w:val="22"/>
          <w:szCs w:val="22"/>
          <w:color w:val="auto"/>
          <w:vertAlign w:val="superscript"/>
        </w:rPr>
      </w:pPr>
      <w:r>
        <w:rPr>
          <w:rFonts w:ascii="Arial" w:cs="Arial" w:eastAsia="Arial" w:hAnsi="Arial"/>
          <w:sz w:val="18"/>
          <w:szCs w:val="18"/>
          <w:color w:val="auto"/>
        </w:rPr>
        <w:t>Accrual of interest based on three-month LIBOR that resets every three months plus a fixed margin.</w:t>
      </w:r>
    </w:p>
    <w:p>
      <w:pPr>
        <w:spacing w:after="0" w:line="7"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33"/>
        </w:numPr>
        <w:rPr>
          <w:rFonts w:ascii="Arial" w:cs="Arial" w:eastAsia="Arial" w:hAnsi="Arial"/>
          <w:sz w:val="22"/>
          <w:szCs w:val="22"/>
          <w:color w:val="auto"/>
          <w:vertAlign w:val="superscript"/>
        </w:rPr>
      </w:pPr>
      <w:r>
        <w:rPr>
          <w:rFonts w:ascii="Arial" w:cs="Arial" w:eastAsia="Arial" w:hAnsi="Arial"/>
          <w:sz w:val="18"/>
          <w:szCs w:val="18"/>
          <w:color w:val="auto"/>
        </w:rPr>
        <w:t>Principal amount not applicable. Notional balance is $117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-297815</wp:posOffset>
            </wp:positionV>
            <wp:extent cx="72898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7"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These borrowings are required to be paid down as principal is collected on the restricted investments held by the securitization entities and accordingly the repayment of these borrowings follows the maturity or prepayment, as permitted, of the restricted investments. See note 7 for additional information on consolidated securitization entities.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Income Taxes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reconciliation of the federal statutory tax rate to the effective income tax rate was as follows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40" w:type="dxa"/>
            <w:vAlign w:val="bottom"/>
          </w:tcPr>
          <w:p>
            <w:pPr>
              <w:spacing w:after="0"/>
              <w:rPr>
                <w:sz w:val="14"/>
                <w:szCs w:val="14"/>
                <w:color w:val="auto"/>
              </w:rPr>
            </w:pPr>
          </w:p>
        </w:tc>
        <w:tc>
          <w:tcPr>
            <w:tcW w:w="2600" w:type="dxa"/>
            <w:vAlign w:val="bottom"/>
            <w:gridSpan w:val="4"/>
          </w:tcPr>
          <w:p>
            <w:pPr>
              <w:jc w:val="right"/>
              <w:ind w:right="1080"/>
              <w:spacing w:after="0"/>
              <w:rPr>
                <w:sz w:val="20"/>
                <w:szCs w:val="20"/>
                <w:color w:val="auto"/>
              </w:rPr>
            </w:pPr>
            <w:r>
              <w:rPr>
                <w:rFonts w:ascii="Arial" w:cs="Arial" w:eastAsia="Arial" w:hAnsi="Arial"/>
                <w:sz w:val="14"/>
                <w:szCs w:val="14"/>
                <w:b w:val="1"/>
                <w:bCs w:val="1"/>
                <w:color w:val="auto"/>
              </w:rPr>
              <w:t>Three months ended</w:t>
            </w:r>
          </w:p>
        </w:tc>
        <w:tc>
          <w:tcPr>
            <w:tcW w:w="1460" w:type="dxa"/>
            <w:vAlign w:val="bottom"/>
            <w:gridSpan w:val="3"/>
          </w:tcPr>
          <w:p>
            <w:pPr>
              <w:jc w:val="center"/>
              <w:ind w:left="316"/>
              <w:spacing w:after="0"/>
              <w:rPr>
                <w:sz w:val="20"/>
                <w:szCs w:val="20"/>
                <w:color w:val="auto"/>
              </w:rPr>
            </w:pPr>
            <w:r>
              <w:rPr>
                <w:rFonts w:ascii="Arial" w:cs="Arial" w:eastAsia="Arial" w:hAnsi="Arial"/>
                <w:sz w:val="14"/>
                <w:szCs w:val="14"/>
                <w:b w:val="1"/>
                <w:bCs w:val="1"/>
                <w:color w:val="auto"/>
                <w:w w:val="84"/>
              </w:rPr>
              <w:t>Six months ended</w:t>
            </w: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674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June 30,</w:t>
            </w:r>
          </w:p>
        </w:tc>
        <w:tc>
          <w:tcPr>
            <w:tcW w:w="540" w:type="dxa"/>
            <w:vAlign w:val="bottom"/>
            <w:tcBorders>
              <w:bottom w:val="single" w:sz="8" w:color="auto"/>
            </w:tcBorders>
          </w:tcPr>
          <w:p>
            <w:pPr>
              <w:spacing w:after="0"/>
              <w:rPr>
                <w:sz w:val="14"/>
                <w:szCs w:val="14"/>
                <w:color w:val="auto"/>
              </w:rPr>
            </w:pPr>
          </w:p>
        </w:tc>
        <w:tc>
          <w:tcPr>
            <w:tcW w:w="74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85"/>
              </w:rPr>
              <w:t>June 30,</w:t>
            </w:r>
          </w:p>
        </w:tc>
        <w:tc>
          <w:tcPr>
            <w:tcW w:w="4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740" w:type="dxa"/>
            <w:vAlign w:val="bottom"/>
          </w:tcPr>
          <w:p>
            <w:pPr>
              <w:spacing w:after="0"/>
              <w:rPr>
                <w:sz w:val="12"/>
                <w:szCs w:val="12"/>
                <w:color w:val="auto"/>
              </w:rPr>
            </w:pPr>
          </w:p>
        </w:tc>
        <w:tc>
          <w:tcPr>
            <w:tcW w:w="540" w:type="dxa"/>
            <w:vAlign w:val="bottom"/>
            <w:tcBorders>
              <w:bottom w:val="single" w:sz="8" w:color="auto"/>
            </w:tcBorders>
          </w:tcPr>
          <w:p>
            <w:pPr>
              <w:jc w:val="right"/>
              <w:ind w:right="56"/>
              <w:spacing w:after="0" w:line="142" w:lineRule="exact"/>
              <w:rPr>
                <w:sz w:val="20"/>
                <w:szCs w:val="20"/>
                <w:color w:val="auto"/>
              </w:rPr>
            </w:pPr>
            <w:r>
              <w:rPr>
                <w:rFonts w:ascii="Arial" w:cs="Arial" w:eastAsia="Arial" w:hAnsi="Arial"/>
                <w:sz w:val="14"/>
                <w:szCs w:val="14"/>
                <w:b w:val="1"/>
                <w:bCs w:val="1"/>
                <w:color w:val="auto"/>
              </w:rPr>
              <w:t>2010</w:t>
            </w:r>
          </w:p>
        </w:tc>
        <w:tc>
          <w:tcPr>
            <w:tcW w:w="780" w:type="dxa"/>
            <w:vAlign w:val="bottom"/>
          </w:tcPr>
          <w:p>
            <w:pPr>
              <w:spacing w:after="0"/>
              <w:rPr>
                <w:sz w:val="12"/>
                <w:szCs w:val="12"/>
                <w:color w:val="auto"/>
              </w:rPr>
            </w:pPr>
          </w:p>
        </w:tc>
        <w:tc>
          <w:tcPr>
            <w:tcW w:w="540" w:type="dxa"/>
            <w:vAlign w:val="bottom"/>
            <w:tcBorders>
              <w:bottom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rPr>
              <w:t>2009</w:t>
            </w:r>
          </w:p>
        </w:tc>
        <w:tc>
          <w:tcPr>
            <w:tcW w:w="740" w:type="dxa"/>
            <w:vAlign w:val="bottom"/>
          </w:tcPr>
          <w:p>
            <w:pPr>
              <w:spacing w:after="0"/>
              <w:rPr>
                <w:sz w:val="12"/>
                <w:szCs w:val="12"/>
                <w:color w:val="auto"/>
              </w:rPr>
            </w:pPr>
          </w:p>
        </w:tc>
        <w:tc>
          <w:tcPr>
            <w:tcW w:w="540" w:type="dxa"/>
            <w:vAlign w:val="bottom"/>
            <w:tcBorders>
              <w:bottom w:val="single" w:sz="8" w:color="auto"/>
            </w:tcBorders>
          </w:tcPr>
          <w:p>
            <w:pPr>
              <w:jc w:val="right"/>
              <w:ind w:right="56"/>
              <w:spacing w:after="0" w:line="142" w:lineRule="exact"/>
              <w:rPr>
                <w:sz w:val="20"/>
                <w:szCs w:val="20"/>
                <w:color w:val="auto"/>
              </w:rPr>
            </w:pPr>
            <w:r>
              <w:rPr>
                <w:rFonts w:ascii="Arial" w:cs="Arial" w:eastAsia="Arial" w:hAnsi="Arial"/>
                <w:sz w:val="14"/>
                <w:szCs w:val="14"/>
                <w:b w:val="1"/>
                <w:bCs w:val="1"/>
                <w:color w:val="auto"/>
              </w:rPr>
              <w:t>2010</w:t>
            </w:r>
          </w:p>
        </w:tc>
        <w:tc>
          <w:tcPr>
            <w:tcW w:w="8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w w:val="83"/>
              </w:rPr>
              <w:t>2009</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740" w:type="dxa"/>
            <w:vAlign w:val="bottom"/>
            <w:shd w:val="clear" w:color="auto" w:fill="CCEEFF"/>
          </w:tcPr>
          <w:p>
            <w:pPr>
              <w:spacing w:after="0"/>
              <w:rPr>
                <w:sz w:val="20"/>
                <w:szCs w:val="20"/>
                <w:color w:val="auto"/>
              </w:rPr>
            </w:pPr>
            <w:r>
              <w:rPr>
                <w:rFonts w:ascii="Arial" w:cs="Arial" w:eastAsia="Arial" w:hAnsi="Arial"/>
                <w:sz w:val="18"/>
                <w:szCs w:val="18"/>
                <w:color w:val="auto"/>
              </w:rPr>
              <w:t>Statutory U.S. federal income tax rate</w:t>
            </w:r>
          </w:p>
        </w:tc>
        <w:tc>
          <w:tcPr>
            <w:tcW w:w="1320" w:type="dxa"/>
            <w:vAlign w:val="bottom"/>
            <w:gridSpan w:val="2"/>
            <w:shd w:val="clear" w:color="auto" w:fill="CCEEFF"/>
          </w:tcPr>
          <w:p>
            <w:pPr>
              <w:jc w:val="right"/>
              <w:ind w:right="572"/>
              <w:spacing w:after="0"/>
              <w:rPr>
                <w:sz w:val="20"/>
                <w:szCs w:val="20"/>
                <w:color w:val="auto"/>
              </w:rPr>
            </w:pPr>
            <w:r>
              <w:rPr>
                <w:rFonts w:ascii="Arial" w:cs="Arial" w:eastAsia="Arial" w:hAnsi="Arial"/>
                <w:sz w:val="18"/>
                <w:szCs w:val="18"/>
                <w:color w:val="auto"/>
              </w:rPr>
              <w:t>35.0%</w:t>
            </w:r>
          </w:p>
        </w:tc>
        <w:tc>
          <w:tcPr>
            <w:tcW w:w="128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35.0%</w:t>
            </w:r>
          </w:p>
        </w:tc>
        <w:tc>
          <w:tcPr>
            <w:tcW w:w="1340" w:type="dxa"/>
            <w:vAlign w:val="bottom"/>
            <w:gridSpan w:val="2"/>
            <w:shd w:val="clear" w:color="auto" w:fill="CCEEFF"/>
          </w:tcPr>
          <w:p>
            <w:pPr>
              <w:jc w:val="right"/>
              <w:ind w:right="592"/>
              <w:spacing w:after="0"/>
              <w:rPr>
                <w:sz w:val="20"/>
                <w:szCs w:val="20"/>
                <w:color w:val="auto"/>
              </w:rPr>
            </w:pPr>
            <w:r>
              <w:rPr>
                <w:rFonts w:ascii="Arial" w:cs="Arial" w:eastAsia="Arial" w:hAnsi="Arial"/>
                <w:sz w:val="18"/>
                <w:szCs w:val="18"/>
                <w:color w:val="auto"/>
              </w:rPr>
              <w:t>35.0%</w:t>
            </w:r>
          </w:p>
        </w:tc>
        <w:tc>
          <w:tcPr>
            <w:tcW w:w="1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16"/>
        </w:trPr>
        <w:tc>
          <w:tcPr>
            <w:tcW w:w="6740" w:type="dxa"/>
            <w:vAlign w:val="bottom"/>
          </w:tcPr>
          <w:p>
            <w:pPr>
              <w:spacing w:after="0"/>
              <w:rPr>
                <w:sz w:val="20"/>
                <w:szCs w:val="20"/>
                <w:color w:val="auto"/>
              </w:rPr>
            </w:pPr>
            <w:r>
              <w:rPr>
                <w:rFonts w:ascii="Arial" w:cs="Arial" w:eastAsia="Arial" w:hAnsi="Arial"/>
                <w:sz w:val="18"/>
                <w:szCs w:val="18"/>
                <w:color w:val="auto"/>
              </w:rPr>
              <w:t>Increase (reduction) in rate resulting from:</w:t>
            </w:r>
          </w:p>
        </w:tc>
        <w:tc>
          <w:tcPr>
            <w:tcW w:w="5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State income tax, net of federal income tax effect</w:t>
            </w:r>
          </w:p>
        </w:tc>
        <w:tc>
          <w:tcPr>
            <w:tcW w:w="1320" w:type="dxa"/>
            <w:vAlign w:val="bottom"/>
            <w:gridSpan w:val="2"/>
            <w:shd w:val="clear" w:color="auto" w:fill="CCEEFF"/>
          </w:tcPr>
          <w:p>
            <w:pPr>
              <w:jc w:val="right"/>
              <w:ind w:right="812"/>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(5.1)</w:t>
            </w:r>
          </w:p>
        </w:tc>
        <w:tc>
          <w:tcPr>
            <w:tcW w:w="1340" w:type="dxa"/>
            <w:vAlign w:val="bottom"/>
            <w:gridSpan w:val="2"/>
            <w:shd w:val="clear" w:color="auto" w:fill="CCEEFF"/>
          </w:tcPr>
          <w:p>
            <w:pPr>
              <w:jc w:val="right"/>
              <w:ind w:right="672"/>
              <w:spacing w:after="0"/>
              <w:rPr>
                <w:sz w:val="20"/>
                <w:szCs w:val="20"/>
                <w:color w:val="auto"/>
              </w:rPr>
            </w:pPr>
            <w:r>
              <w:rPr>
                <w:rFonts w:ascii="Arial" w:cs="Arial" w:eastAsia="Arial" w:hAnsi="Arial"/>
                <w:sz w:val="18"/>
                <w:szCs w:val="18"/>
                <w:color w:val="auto"/>
              </w:rPr>
              <w:t>(2.1)</w:t>
            </w:r>
          </w:p>
        </w:tc>
        <w:tc>
          <w:tcPr>
            <w:tcW w:w="1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6"/>
        </w:trPr>
        <w:tc>
          <w:tcPr>
            <w:tcW w:w="6740" w:type="dxa"/>
            <w:vAlign w:val="bottom"/>
          </w:tcPr>
          <w:p>
            <w:pPr>
              <w:ind w:left="440"/>
              <w:spacing w:after="0"/>
              <w:rPr>
                <w:sz w:val="20"/>
                <w:szCs w:val="20"/>
                <w:color w:val="auto"/>
              </w:rPr>
            </w:pPr>
            <w:r>
              <w:rPr>
                <w:rFonts w:ascii="Arial" w:cs="Arial" w:eastAsia="Arial" w:hAnsi="Arial"/>
                <w:sz w:val="18"/>
                <w:szCs w:val="18"/>
                <w:color w:val="auto"/>
              </w:rPr>
              <w:t>Benefit on tax favored investments</w:t>
            </w:r>
          </w:p>
        </w:tc>
        <w:tc>
          <w:tcPr>
            <w:tcW w:w="1320" w:type="dxa"/>
            <w:vAlign w:val="bottom"/>
            <w:gridSpan w:val="2"/>
          </w:tcPr>
          <w:p>
            <w:pPr>
              <w:jc w:val="right"/>
              <w:ind w:right="652"/>
              <w:spacing w:after="0"/>
              <w:rPr>
                <w:sz w:val="20"/>
                <w:szCs w:val="20"/>
                <w:color w:val="auto"/>
              </w:rPr>
            </w:pPr>
            <w:r>
              <w:rPr>
                <w:rFonts w:ascii="Arial" w:cs="Arial" w:eastAsia="Arial" w:hAnsi="Arial"/>
                <w:sz w:val="18"/>
                <w:szCs w:val="18"/>
                <w:color w:val="auto"/>
              </w:rPr>
              <w:t>(8.0)</w:t>
            </w:r>
          </w:p>
        </w:tc>
        <w:tc>
          <w:tcPr>
            <w:tcW w:w="1280" w:type="dxa"/>
            <w:vAlign w:val="bottom"/>
            <w:gridSpan w:val="2"/>
          </w:tcPr>
          <w:p>
            <w:pPr>
              <w:jc w:val="right"/>
              <w:ind w:right="680"/>
              <w:spacing w:after="0"/>
              <w:rPr>
                <w:sz w:val="20"/>
                <w:szCs w:val="20"/>
                <w:color w:val="auto"/>
              </w:rPr>
            </w:pPr>
            <w:r>
              <w:rPr>
                <w:rFonts w:ascii="Arial" w:cs="Arial" w:eastAsia="Arial" w:hAnsi="Arial"/>
                <w:sz w:val="18"/>
                <w:szCs w:val="18"/>
                <w:color w:val="auto"/>
              </w:rPr>
              <w:t>(3.1)</w:t>
            </w:r>
          </w:p>
        </w:tc>
        <w:tc>
          <w:tcPr>
            <w:tcW w:w="1340" w:type="dxa"/>
            <w:vAlign w:val="bottom"/>
            <w:gridSpan w:val="2"/>
          </w:tcPr>
          <w:p>
            <w:pPr>
              <w:jc w:val="right"/>
              <w:ind w:right="672"/>
              <w:spacing w:after="0"/>
              <w:rPr>
                <w:sz w:val="20"/>
                <w:szCs w:val="20"/>
                <w:color w:val="auto"/>
              </w:rPr>
            </w:pPr>
            <w:r>
              <w:rPr>
                <w:rFonts w:ascii="Arial" w:cs="Arial" w:eastAsia="Arial" w:hAnsi="Arial"/>
                <w:sz w:val="18"/>
                <w:szCs w:val="18"/>
                <w:color w:val="auto"/>
              </w:rPr>
              <w:t>(7.1)</w:t>
            </w:r>
          </w:p>
        </w:tc>
        <w:tc>
          <w:tcPr>
            <w:tcW w:w="120" w:type="dxa"/>
            <w:vAlign w:val="bottom"/>
          </w:tcPr>
          <w:p>
            <w:pPr>
              <w:spacing w:after="0"/>
              <w:rPr>
                <w:sz w:val="18"/>
                <w:szCs w:val="18"/>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216"/>
        </w:trPr>
        <w:tc>
          <w:tcPr>
            <w:tcW w:w="67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Effect of foreign operations</w:t>
            </w:r>
          </w:p>
        </w:tc>
        <w:tc>
          <w:tcPr>
            <w:tcW w:w="1320" w:type="dxa"/>
            <w:vAlign w:val="bottom"/>
            <w:gridSpan w:val="2"/>
            <w:shd w:val="clear" w:color="auto" w:fill="CCEEFF"/>
          </w:tcPr>
          <w:p>
            <w:pPr>
              <w:jc w:val="right"/>
              <w:ind w:right="652"/>
              <w:spacing w:after="0"/>
              <w:rPr>
                <w:sz w:val="20"/>
                <w:szCs w:val="20"/>
                <w:color w:val="auto"/>
              </w:rPr>
            </w:pPr>
            <w:r>
              <w:rPr>
                <w:rFonts w:ascii="Arial" w:cs="Arial" w:eastAsia="Arial" w:hAnsi="Arial"/>
                <w:sz w:val="18"/>
                <w:szCs w:val="18"/>
                <w:color w:val="auto"/>
              </w:rPr>
              <w:t>(33.7)</w:t>
            </w:r>
          </w:p>
        </w:tc>
        <w:tc>
          <w:tcPr>
            <w:tcW w:w="12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(18.6)</w:t>
            </w:r>
          </w:p>
        </w:tc>
        <w:tc>
          <w:tcPr>
            <w:tcW w:w="1340" w:type="dxa"/>
            <w:vAlign w:val="bottom"/>
            <w:gridSpan w:val="2"/>
            <w:shd w:val="clear" w:color="auto" w:fill="CCEEFF"/>
          </w:tcPr>
          <w:p>
            <w:pPr>
              <w:jc w:val="right"/>
              <w:ind w:right="672"/>
              <w:spacing w:after="0"/>
              <w:rPr>
                <w:sz w:val="20"/>
                <w:szCs w:val="20"/>
                <w:color w:val="auto"/>
              </w:rPr>
            </w:pPr>
            <w:r>
              <w:rPr>
                <w:rFonts w:ascii="Arial" w:cs="Arial" w:eastAsia="Arial" w:hAnsi="Arial"/>
                <w:sz w:val="18"/>
                <w:szCs w:val="18"/>
                <w:color w:val="auto"/>
              </w:rPr>
              <w:t>(21.3)</w:t>
            </w:r>
          </w:p>
        </w:tc>
        <w:tc>
          <w:tcPr>
            <w:tcW w:w="1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16"/>
        </w:trPr>
        <w:tc>
          <w:tcPr>
            <w:tcW w:w="6740" w:type="dxa"/>
            <w:vAlign w:val="bottom"/>
          </w:tcPr>
          <w:p>
            <w:pPr>
              <w:ind w:left="440"/>
              <w:spacing w:after="0"/>
              <w:rPr>
                <w:sz w:val="20"/>
                <w:szCs w:val="20"/>
                <w:color w:val="auto"/>
              </w:rPr>
            </w:pPr>
            <w:r>
              <w:rPr>
                <w:rFonts w:ascii="Arial" w:cs="Arial" w:eastAsia="Arial" w:hAnsi="Arial"/>
                <w:sz w:val="18"/>
                <w:szCs w:val="18"/>
                <w:color w:val="auto"/>
              </w:rPr>
              <w:t>Non-deductible expenses</w:t>
            </w:r>
          </w:p>
        </w:tc>
        <w:tc>
          <w:tcPr>
            <w:tcW w:w="540" w:type="dxa"/>
            <w:vAlign w:val="bottom"/>
          </w:tcPr>
          <w:p>
            <w:pPr>
              <w:jc w:val="right"/>
              <w:spacing w:after="0"/>
              <w:rPr>
                <w:sz w:val="20"/>
                <w:szCs w:val="20"/>
                <w:color w:val="auto"/>
              </w:rPr>
            </w:pPr>
            <w:r>
              <w:rPr>
                <w:rFonts w:ascii="Arial" w:cs="Arial" w:eastAsia="Arial" w:hAnsi="Arial"/>
                <w:sz w:val="18"/>
                <w:szCs w:val="18"/>
                <w:color w:val="auto"/>
              </w:rPr>
              <w:t>2.2</w:t>
            </w:r>
          </w:p>
        </w:tc>
        <w:tc>
          <w:tcPr>
            <w:tcW w:w="780" w:type="dxa"/>
            <w:vAlign w:val="bottom"/>
          </w:tcPr>
          <w:p>
            <w:pPr>
              <w:spacing w:after="0"/>
              <w:rPr>
                <w:sz w:val="18"/>
                <w:szCs w:val="18"/>
                <w:color w:val="auto"/>
              </w:rPr>
            </w:pPr>
          </w:p>
        </w:tc>
        <w:tc>
          <w:tcPr>
            <w:tcW w:w="1280" w:type="dxa"/>
            <w:vAlign w:val="bottom"/>
            <w:gridSpan w:val="2"/>
          </w:tcPr>
          <w:p>
            <w:pPr>
              <w:jc w:val="right"/>
              <w:ind w:right="740"/>
              <w:spacing w:after="0"/>
              <w:rPr>
                <w:sz w:val="20"/>
                <w:szCs w:val="20"/>
                <w:color w:val="auto"/>
              </w:rPr>
            </w:pPr>
            <w:r>
              <w:rPr>
                <w:rFonts w:ascii="Arial" w:cs="Arial" w:eastAsia="Arial" w:hAnsi="Arial"/>
                <w:sz w:val="18"/>
                <w:szCs w:val="18"/>
                <w:color w:val="auto"/>
              </w:rPr>
              <w:t>0.7</w:t>
            </w:r>
          </w:p>
        </w:tc>
        <w:tc>
          <w:tcPr>
            <w:tcW w:w="1340" w:type="dxa"/>
            <w:vAlign w:val="bottom"/>
            <w:gridSpan w:val="2"/>
          </w:tcPr>
          <w:p>
            <w:pPr>
              <w:jc w:val="right"/>
              <w:ind w:right="732"/>
              <w:spacing w:after="0"/>
              <w:rPr>
                <w:sz w:val="20"/>
                <w:szCs w:val="20"/>
                <w:color w:val="auto"/>
              </w:rPr>
            </w:pPr>
            <w:r>
              <w:rPr>
                <w:rFonts w:ascii="Arial" w:cs="Arial" w:eastAsia="Arial" w:hAnsi="Arial"/>
                <w:sz w:val="18"/>
                <w:szCs w:val="18"/>
                <w:color w:val="auto"/>
              </w:rPr>
              <w:t>0.5</w:t>
            </w:r>
          </w:p>
        </w:tc>
        <w:tc>
          <w:tcPr>
            <w:tcW w:w="120" w:type="dxa"/>
            <w:vAlign w:val="bottom"/>
          </w:tcPr>
          <w:p>
            <w:pPr>
              <w:spacing w:after="0"/>
              <w:rPr>
                <w:sz w:val="18"/>
                <w:szCs w:val="18"/>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16"/>
        </w:trPr>
        <w:tc>
          <w:tcPr>
            <w:tcW w:w="67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Interest on uncertain tax positions</w:t>
            </w:r>
          </w:p>
        </w:tc>
        <w:tc>
          <w:tcPr>
            <w:tcW w:w="1320" w:type="dxa"/>
            <w:vAlign w:val="bottom"/>
            <w:gridSpan w:val="2"/>
            <w:shd w:val="clear" w:color="auto" w:fill="CCEEFF"/>
          </w:tcPr>
          <w:p>
            <w:pPr>
              <w:jc w:val="right"/>
              <w:ind w:right="652"/>
              <w:spacing w:after="0"/>
              <w:rPr>
                <w:sz w:val="20"/>
                <w:szCs w:val="20"/>
                <w:color w:val="auto"/>
              </w:rPr>
            </w:pPr>
            <w:r>
              <w:rPr>
                <w:rFonts w:ascii="Arial" w:cs="Arial" w:eastAsia="Arial" w:hAnsi="Arial"/>
                <w:sz w:val="18"/>
                <w:szCs w:val="18"/>
                <w:color w:val="auto"/>
              </w:rPr>
              <w:t>(2.4)</w:t>
            </w:r>
          </w:p>
        </w:tc>
        <w:tc>
          <w:tcPr>
            <w:tcW w:w="12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(2.7)</w:t>
            </w:r>
          </w:p>
        </w:tc>
        <w:tc>
          <w:tcPr>
            <w:tcW w:w="1340" w:type="dxa"/>
            <w:vAlign w:val="bottom"/>
            <w:gridSpan w:val="2"/>
            <w:shd w:val="clear" w:color="auto" w:fill="CCEEFF"/>
          </w:tcPr>
          <w:p>
            <w:pPr>
              <w:jc w:val="right"/>
              <w:ind w:right="672"/>
              <w:spacing w:after="0"/>
              <w:rPr>
                <w:sz w:val="20"/>
                <w:szCs w:val="20"/>
                <w:color w:val="auto"/>
              </w:rPr>
            </w:pPr>
            <w:r>
              <w:rPr>
                <w:rFonts w:ascii="Arial" w:cs="Arial" w:eastAsia="Arial" w:hAnsi="Arial"/>
                <w:sz w:val="18"/>
                <w:szCs w:val="18"/>
                <w:color w:val="auto"/>
              </w:rPr>
              <w:t>(2.3)</w:t>
            </w:r>
          </w:p>
        </w:tc>
        <w:tc>
          <w:tcPr>
            <w:tcW w:w="1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6"/>
        </w:trPr>
        <w:tc>
          <w:tcPr>
            <w:tcW w:w="6740" w:type="dxa"/>
            <w:vAlign w:val="bottom"/>
          </w:tcPr>
          <w:p>
            <w:pPr>
              <w:ind w:left="440"/>
              <w:spacing w:after="0"/>
              <w:rPr>
                <w:sz w:val="20"/>
                <w:szCs w:val="20"/>
                <w:color w:val="auto"/>
              </w:rPr>
            </w:pPr>
            <w:r>
              <w:rPr>
                <w:rFonts w:ascii="Arial" w:cs="Arial" w:eastAsia="Arial" w:hAnsi="Arial"/>
                <w:sz w:val="18"/>
                <w:szCs w:val="18"/>
                <w:color w:val="auto"/>
              </w:rPr>
              <w:t>Tax benefits related to separation from our former parent</w:t>
            </w:r>
          </w:p>
        </w:tc>
        <w:tc>
          <w:tcPr>
            <w:tcW w:w="1320" w:type="dxa"/>
            <w:vAlign w:val="bottom"/>
            <w:gridSpan w:val="2"/>
          </w:tcPr>
          <w:p>
            <w:pPr>
              <w:jc w:val="right"/>
              <w:ind w:right="812"/>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84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672"/>
              <w:spacing w:after="0"/>
              <w:rPr>
                <w:sz w:val="20"/>
                <w:szCs w:val="20"/>
                <w:color w:val="auto"/>
              </w:rPr>
            </w:pPr>
            <w:r>
              <w:rPr>
                <w:rFonts w:ascii="Arial" w:cs="Arial" w:eastAsia="Arial" w:hAnsi="Arial"/>
                <w:sz w:val="18"/>
                <w:szCs w:val="18"/>
                <w:color w:val="auto"/>
              </w:rPr>
              <w:t>(55.8)</w:t>
            </w:r>
          </w:p>
        </w:tc>
        <w:tc>
          <w:tcPr>
            <w:tcW w:w="120" w:type="dxa"/>
            <w:vAlign w:val="bottom"/>
          </w:tcPr>
          <w:p>
            <w:pPr>
              <w:spacing w:after="0"/>
              <w:rPr>
                <w:sz w:val="18"/>
                <w:szCs w:val="18"/>
                <w:color w:val="auto"/>
              </w:rPr>
            </w:pPr>
          </w:p>
        </w:tc>
        <w:tc>
          <w:tcPr>
            <w:tcW w:w="6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7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Other, net</w:t>
            </w:r>
          </w:p>
        </w:tc>
        <w:tc>
          <w:tcPr>
            <w:tcW w:w="54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74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732"/>
              <w:spacing w:after="0"/>
              <w:rPr>
                <w:sz w:val="20"/>
                <w:szCs w:val="20"/>
                <w:color w:val="auto"/>
              </w:rPr>
            </w:pPr>
            <w:r>
              <w:rPr>
                <w:rFonts w:ascii="Arial" w:cs="Arial" w:eastAsia="Arial" w:hAnsi="Arial"/>
                <w:sz w:val="18"/>
                <w:szCs w:val="18"/>
                <w:color w:val="auto"/>
              </w:rPr>
              <w:t>1.8</w:t>
            </w:r>
          </w:p>
        </w:tc>
        <w:tc>
          <w:tcPr>
            <w:tcW w:w="1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6740" w:type="dxa"/>
            <w:vAlign w:val="bottom"/>
            <w:vMerge w:val="restart"/>
          </w:tcPr>
          <w:p>
            <w:pPr>
              <w:spacing w:after="0"/>
              <w:rPr>
                <w:sz w:val="20"/>
                <w:szCs w:val="20"/>
                <w:color w:val="auto"/>
              </w:rPr>
            </w:pPr>
            <w:r>
              <w:rPr>
                <w:rFonts w:ascii="Arial" w:cs="Arial" w:eastAsia="Arial" w:hAnsi="Arial"/>
                <w:sz w:val="18"/>
                <w:szCs w:val="18"/>
                <w:color w:val="auto"/>
              </w:rPr>
              <w:t>Effective rate</w:t>
            </w:r>
          </w:p>
        </w:tc>
        <w:tc>
          <w:tcPr>
            <w:tcW w:w="54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740" w:type="dxa"/>
            <w:vAlign w:val="bottom"/>
            <w:vMerge w:val="continue"/>
          </w:tcPr>
          <w:p>
            <w:pPr>
              <w:spacing w:after="0"/>
              <w:rPr>
                <w:sz w:val="19"/>
                <w:szCs w:val="19"/>
                <w:color w:val="auto"/>
              </w:rPr>
            </w:pPr>
          </w:p>
        </w:tc>
        <w:tc>
          <w:tcPr>
            <w:tcW w:w="1320" w:type="dxa"/>
            <w:vAlign w:val="bottom"/>
            <w:gridSpan w:val="2"/>
          </w:tcPr>
          <w:p>
            <w:pPr>
              <w:jc w:val="right"/>
              <w:ind w:right="512"/>
              <w:spacing w:after="0"/>
              <w:rPr>
                <w:sz w:val="20"/>
                <w:szCs w:val="20"/>
                <w:color w:val="auto"/>
              </w:rPr>
            </w:pPr>
            <w:r>
              <w:rPr>
                <w:rFonts w:ascii="Arial" w:cs="Arial" w:eastAsia="Arial" w:hAnsi="Arial"/>
                <w:sz w:val="18"/>
                <w:szCs w:val="18"/>
                <w:color w:val="auto"/>
              </w:rPr>
              <w:t>(6.9)%</w:t>
            </w:r>
          </w:p>
        </w:tc>
        <w:tc>
          <w:tcPr>
            <w:tcW w:w="1280" w:type="dxa"/>
            <w:vAlign w:val="bottom"/>
            <w:gridSpan w:val="2"/>
          </w:tcPr>
          <w:p>
            <w:pPr>
              <w:jc w:val="right"/>
              <w:ind w:right="600"/>
              <w:spacing w:after="0"/>
              <w:rPr>
                <w:sz w:val="20"/>
                <w:szCs w:val="20"/>
                <w:color w:val="auto"/>
              </w:rPr>
            </w:pPr>
            <w:r>
              <w:rPr>
                <w:rFonts w:ascii="Arial" w:cs="Arial" w:eastAsia="Arial" w:hAnsi="Arial"/>
                <w:sz w:val="18"/>
                <w:szCs w:val="18"/>
                <w:color w:val="auto"/>
              </w:rPr>
              <w:t>7.4%</w:t>
            </w:r>
          </w:p>
        </w:tc>
        <w:tc>
          <w:tcPr>
            <w:tcW w:w="1340" w:type="dxa"/>
            <w:vAlign w:val="bottom"/>
            <w:gridSpan w:val="2"/>
          </w:tcPr>
          <w:p>
            <w:pPr>
              <w:jc w:val="right"/>
              <w:ind w:right="532"/>
              <w:spacing w:after="0"/>
              <w:rPr>
                <w:sz w:val="20"/>
                <w:szCs w:val="20"/>
                <w:color w:val="auto"/>
              </w:rPr>
            </w:pPr>
            <w:r>
              <w:rPr>
                <w:rFonts w:ascii="Arial" w:cs="Arial" w:eastAsia="Arial" w:hAnsi="Arial"/>
                <w:sz w:val="18"/>
                <w:szCs w:val="18"/>
                <w:color w:val="auto"/>
              </w:rPr>
              <w:t>(51.3)%</w:t>
            </w:r>
          </w:p>
        </w:tc>
        <w:tc>
          <w:tcPr>
            <w:tcW w:w="120" w:type="dxa"/>
            <w:vAlign w:val="bottom"/>
          </w:tcPr>
          <w:p>
            <w:pPr>
              <w:spacing w:after="0"/>
              <w:rPr>
                <w:sz w:val="19"/>
                <w:szCs w:val="19"/>
                <w:color w:val="auto"/>
              </w:rPr>
            </w:pP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rPr>
              <w:t>41.5%</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520" w:firstLine="456"/>
        <w:spacing w:after="0" w:line="268" w:lineRule="auto"/>
        <w:rPr>
          <w:sz w:val="20"/>
          <w:szCs w:val="20"/>
          <w:color w:val="auto"/>
        </w:rPr>
      </w:pPr>
      <w:r>
        <w:rPr>
          <w:rFonts w:ascii="Arial" w:cs="Arial" w:eastAsia="Arial" w:hAnsi="Arial"/>
          <w:sz w:val="18"/>
          <w:szCs w:val="18"/>
          <w:color w:val="auto"/>
        </w:rPr>
        <w:t>The effective tax rate decreased significantly from the prior year due to uncertain tax benefits related to separation from our former parent, favorable impact of newly enacted Australian tax legislation, lower taxed foreign income and tax favored investments.</w:t>
      </w:r>
    </w:p>
    <w:p>
      <w:pPr>
        <w:spacing w:after="0" w:line="132" w:lineRule="exact"/>
        <w:rPr>
          <w:sz w:val="20"/>
          <w:szCs w:val="20"/>
          <w:color w:val="auto"/>
        </w:rPr>
      </w:pPr>
    </w:p>
    <w:p>
      <w:pPr>
        <w:ind w:right="200" w:firstLine="456"/>
        <w:spacing w:after="0" w:line="259" w:lineRule="auto"/>
        <w:rPr>
          <w:sz w:val="20"/>
          <w:szCs w:val="20"/>
          <w:color w:val="auto"/>
        </w:rPr>
      </w:pPr>
      <w:r>
        <w:rPr>
          <w:rFonts w:ascii="Arial" w:cs="Arial" w:eastAsia="Arial" w:hAnsi="Arial"/>
          <w:sz w:val="18"/>
          <w:szCs w:val="18"/>
          <w:color w:val="auto"/>
        </w:rPr>
        <w:t>In connection with our 2004 separation from our former parent, General Electric (“GE”), we made certain joint tax elections and realized certain tax benefits. During the first quarter of 2010, the Internal Revenue Service (“IRS”) completed an examination of GE’s 2004 tax return, including these tax impacts. Therefore, $106 million</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459" w:right="2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color w:val="auto"/>
        </w:rPr>
        <w:t>of previously uncertain tax benefits related to separation became certain and we recognized those in the first quarter of 2010. Additionally, we recorded $20 million as additional paid-in capital related to our 2004 separation.</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Segment Information</w:t>
      </w:r>
    </w:p>
    <w:p>
      <w:pPr>
        <w:spacing w:after="0" w:line="96" w:lineRule="exact"/>
        <w:rPr>
          <w:sz w:val="20"/>
          <w:szCs w:val="20"/>
          <w:color w:val="auto"/>
        </w:rPr>
      </w:pPr>
    </w:p>
    <w:p>
      <w:pPr>
        <w:ind w:right="460" w:firstLine="456"/>
        <w:spacing w:after="0" w:line="256" w:lineRule="auto"/>
        <w:rPr>
          <w:sz w:val="20"/>
          <w:szCs w:val="20"/>
          <w:color w:val="auto"/>
        </w:rPr>
      </w:pPr>
      <w:r>
        <w:rPr>
          <w:rFonts w:ascii="Arial" w:cs="Arial" w:eastAsia="Arial" w:hAnsi="Arial"/>
          <w:sz w:val="18"/>
          <w:szCs w:val="18"/>
          <w:color w:val="auto"/>
        </w:rPr>
        <w:t>We conduct our operations in three operating business segments: (1) Retirement and Protection, which includes our life insurance, long-term care insurance, wealth management products and services and retirement income products; (2) International, which includes international mortgage and lifestyle protection insurance; and (3) U.S. Mortgage Insurance, which includes mortgage-related products and services that facilitate homeownership by enabling borrowers to buy homes with low-down-payment mortgages.</w:t>
      </w:r>
    </w:p>
    <w:p>
      <w:pPr>
        <w:spacing w:after="0" w:line="143"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We also have Corporate and Other activities which include interest and other debt financing expenses, other corporate income and expenses not allocated to the segments, the results of non-core businesses and non-strategic products that are managed outside of our operating segments, and eliminations of inter-segment transactions.</w:t>
      </w:r>
    </w:p>
    <w:p>
      <w:pPr>
        <w:spacing w:after="0" w:line="140" w:lineRule="exact"/>
        <w:rPr>
          <w:sz w:val="20"/>
          <w:szCs w:val="20"/>
          <w:color w:val="auto"/>
        </w:rPr>
      </w:pPr>
    </w:p>
    <w:p>
      <w:pPr>
        <w:ind w:right="20" w:firstLine="456"/>
        <w:spacing w:after="0" w:line="285" w:lineRule="auto"/>
        <w:rPr>
          <w:sz w:val="20"/>
          <w:szCs w:val="20"/>
          <w:color w:val="auto"/>
        </w:rPr>
      </w:pPr>
      <w:r>
        <w:rPr>
          <w:rFonts w:ascii="Arial" w:cs="Arial" w:eastAsia="Arial" w:hAnsi="Arial"/>
          <w:sz w:val="16"/>
          <w:szCs w:val="16"/>
          <w:color w:val="auto"/>
        </w:rPr>
        <w:t>We use the same accounting policies and procedures to measure segment income (loss) and assets as our consolidated net income (loss) and assets. Our chief operating decision maker evaluates segment performance and allocates resources on the basis of “net operating income (loss) available to Genworth Financial, Inc.’s common stockholders.” We define net operating income (loss) available to Genworth Financial, Inc.’s common stockholders as income (loss) from continuing operations excluding net income attributable to noncontrolling interests, after-tax net investment gains (losses) and other adjustments and infrequent or unusual non-operating items. We exclude net investment gains (losses) and infrequent or unusual non-operating items because we do not consider them to be related to the operating performance of our segments and Corporate and Other activities. A significant component of our net investment gains (losses) is the result of impairments, the size and timing of which can vary significantly depending on market credit cycles. In addition, the size and timing of other investment gains (losses) are often subject to our discretion and are influenced by market opportunities, as well as asset-liability matching considerations. Infrequent or unusual non-operating items are also excluded from net operating income (loss) available to Genworth Financial, Inc.’s common stockholders if, in our opinion, they are not indicative of overall operating trends. While some of these items may be significant components of net income (loss) available to Genworth Financial, Inc.’s common stockholders in accordance with U.S. GAAP, we believe that net operating income (loss) available to Genworth Financial, Inc.’s common stockholders, and measures that are derived from or incorporate net operating income (loss) available to Genworth Financial, Inc.’s common stockholders, are appropriate measures that are useful to investors because they identify the income (loss) attributable to the ongoing operations of the business. However, net operating income (loss) available to Genworth Financial, Inc.’s common stockholders is not a substitute for net income (loss) available to Genworth Financial, Inc.’s common stockholders determined in accordance with U.S. GAAP. In addition, our definition of net operating income (loss) available to Genworth Financial, Inc.’s common stockholders may differ from the definitions used by other companies.</w:t>
      </w:r>
    </w:p>
    <w:p>
      <w:pPr>
        <w:spacing w:after="0" w:line="124" w:lineRule="exact"/>
        <w:rPr>
          <w:sz w:val="20"/>
          <w:szCs w:val="20"/>
          <w:color w:val="auto"/>
        </w:rPr>
      </w:pPr>
    </w:p>
    <w:p>
      <w:pPr>
        <w:ind w:right="120" w:firstLine="456"/>
        <w:spacing w:after="0" w:line="370" w:lineRule="auto"/>
        <w:rPr>
          <w:sz w:val="20"/>
          <w:szCs w:val="20"/>
          <w:color w:val="auto"/>
        </w:rPr>
      </w:pPr>
      <w:r>
        <w:rPr>
          <w:rFonts w:ascii="Arial" w:cs="Arial" w:eastAsia="Arial" w:hAnsi="Arial"/>
          <w:sz w:val="15"/>
          <w:szCs w:val="15"/>
          <w:color w:val="auto"/>
        </w:rPr>
        <w:t>There were no infrequent or unusual non-operating items excluded from net operating income (loss) available to Genworth Financial, Inc.’s common stockholders during the periods presented other than a $106 million tax benefit related to separation from our former parent recorded in the first quarter of 2010.</w:t>
      </w:r>
    </w:p>
    <w:p>
      <w:pPr>
        <w:spacing w:after="0" w:line="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00"/>
          </w:cols>
          <w:pgMar w:left="240" w:top="459" w:right="25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is a summary of revenues for our segments and Corporate and Other activities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80" w:type="dxa"/>
            <w:vAlign w:val="bottom"/>
            <w:gridSpan w:val="4"/>
          </w:tcPr>
          <w:p>
            <w:pPr>
              <w:jc w:val="right"/>
              <w:ind w:right="160"/>
              <w:spacing w:after="0"/>
              <w:rPr>
                <w:sz w:val="20"/>
                <w:szCs w:val="20"/>
                <w:color w:val="auto"/>
              </w:rPr>
            </w:pPr>
            <w:r>
              <w:rPr>
                <w:rFonts w:ascii="Arial" w:cs="Arial" w:eastAsia="Arial" w:hAnsi="Arial"/>
                <w:sz w:val="14"/>
                <w:szCs w:val="14"/>
                <w:b w:val="1"/>
                <w:bCs w:val="1"/>
                <w:color w:val="auto"/>
                <w:w w:val="94"/>
              </w:rPr>
              <w:t>Three months ended</w:t>
            </w:r>
          </w:p>
        </w:tc>
        <w:tc>
          <w:tcPr>
            <w:tcW w:w="320" w:type="dxa"/>
            <w:vAlign w:val="bottom"/>
          </w:tcPr>
          <w:p>
            <w:pPr>
              <w:spacing w:after="0"/>
              <w:rPr>
                <w:sz w:val="14"/>
                <w:szCs w:val="14"/>
                <w:color w:val="auto"/>
              </w:rPr>
            </w:pPr>
          </w:p>
        </w:tc>
        <w:tc>
          <w:tcPr>
            <w:tcW w:w="1440" w:type="dxa"/>
            <w:vAlign w:val="bottom"/>
            <w:gridSpan w:val="4"/>
          </w:tcPr>
          <w:p>
            <w:pPr>
              <w:jc w:val="right"/>
              <w:ind w:right="20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61"/>
        </w:trPr>
        <w:tc>
          <w:tcPr>
            <w:tcW w:w="81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20" w:type="dxa"/>
            <w:vAlign w:val="bottom"/>
          </w:tcPr>
          <w:p>
            <w:pPr>
              <w:spacing w:after="0"/>
              <w:rPr>
                <w:sz w:val="14"/>
                <w:szCs w:val="14"/>
                <w:color w:val="auto"/>
              </w:rPr>
            </w:pPr>
          </w:p>
        </w:tc>
        <w:tc>
          <w:tcPr>
            <w:tcW w:w="1480" w:type="dxa"/>
            <w:vAlign w:val="bottom"/>
            <w:tcBorders>
              <w:bottom w:val="single" w:sz="8" w:color="auto"/>
            </w:tcBorders>
            <w:gridSpan w:val="4"/>
          </w:tcPr>
          <w:p>
            <w:pPr>
              <w:jc w:val="right"/>
              <w:ind w:right="520"/>
              <w:spacing w:after="0"/>
              <w:rPr>
                <w:sz w:val="20"/>
                <w:szCs w:val="20"/>
                <w:color w:val="auto"/>
              </w:rPr>
            </w:pPr>
            <w:r>
              <w:rPr>
                <w:rFonts w:ascii="Arial" w:cs="Arial" w:eastAsia="Arial" w:hAnsi="Arial"/>
                <w:sz w:val="14"/>
                <w:szCs w:val="14"/>
                <w:b w:val="1"/>
                <w:bCs w:val="1"/>
                <w:color w:val="auto"/>
              </w:rPr>
              <w:t>June 30,</w:t>
            </w:r>
          </w:p>
        </w:tc>
        <w:tc>
          <w:tcPr>
            <w:tcW w:w="320" w:type="dxa"/>
            <w:vAlign w:val="bottom"/>
          </w:tcPr>
          <w:p>
            <w:pPr>
              <w:spacing w:after="0"/>
              <w:rPr>
                <w:sz w:val="14"/>
                <w:szCs w:val="14"/>
                <w:color w:val="auto"/>
              </w:rPr>
            </w:pPr>
          </w:p>
        </w:tc>
        <w:tc>
          <w:tcPr>
            <w:tcW w:w="1440" w:type="dxa"/>
            <w:vAlign w:val="bottom"/>
            <w:tcBorders>
              <w:bottom w:val="single" w:sz="8" w:color="auto"/>
            </w:tcBorders>
            <w:gridSpan w:val="4"/>
          </w:tcPr>
          <w:p>
            <w:pPr>
              <w:jc w:val="right"/>
              <w:ind w:right="480"/>
              <w:spacing w:after="0"/>
              <w:rPr>
                <w:sz w:val="20"/>
                <w:szCs w:val="20"/>
                <w:color w:val="auto"/>
              </w:rPr>
            </w:pPr>
            <w:r>
              <w:rPr>
                <w:rFonts w:ascii="Arial" w:cs="Arial" w:eastAsia="Arial" w:hAnsi="Arial"/>
                <w:sz w:val="14"/>
                <w:szCs w:val="14"/>
                <w:b w:val="1"/>
                <w:bCs w:val="1"/>
                <w:color w:val="auto"/>
              </w:rPr>
              <w:t>June 30,</w:t>
            </w:r>
          </w:p>
        </w:tc>
        <w:tc>
          <w:tcPr>
            <w:tcW w:w="0" w:type="dxa"/>
            <w:vAlign w:val="bottom"/>
          </w:tcPr>
          <w:p>
            <w:pPr>
              <w:spacing w:after="0"/>
              <w:rPr>
                <w:sz w:val="1"/>
                <w:szCs w:val="1"/>
                <w:color w:val="auto"/>
              </w:rPr>
            </w:pPr>
          </w:p>
        </w:tc>
      </w:tr>
      <w:tr>
        <w:trPr>
          <w:trHeight w:val="142"/>
        </w:trPr>
        <w:tc>
          <w:tcPr>
            <w:tcW w:w="816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520" w:type="dxa"/>
            <w:vAlign w:val="bottom"/>
          </w:tcPr>
          <w:p>
            <w:pPr>
              <w:jc w:val="right"/>
              <w:ind w:right="67"/>
              <w:spacing w:after="0" w:line="142" w:lineRule="exact"/>
              <w:rPr>
                <w:sz w:val="20"/>
                <w:szCs w:val="20"/>
                <w:color w:val="auto"/>
              </w:rPr>
            </w:pPr>
            <w:r>
              <w:rPr>
                <w:rFonts w:ascii="Arial" w:cs="Arial" w:eastAsia="Arial" w:hAnsi="Arial"/>
                <w:sz w:val="14"/>
                <w:szCs w:val="14"/>
                <w:b w:val="1"/>
                <w:bCs w:val="1"/>
                <w:color w:val="auto"/>
              </w:rPr>
              <w:t>2010</w:t>
            </w:r>
          </w:p>
        </w:tc>
        <w:tc>
          <w:tcPr>
            <w:tcW w:w="240" w:type="dxa"/>
            <w:vAlign w:val="bottom"/>
          </w:tcPr>
          <w:p>
            <w:pPr>
              <w:spacing w:after="0"/>
              <w:rPr>
                <w:sz w:val="12"/>
                <w:szCs w:val="12"/>
                <w:color w:val="auto"/>
              </w:rPr>
            </w:pPr>
          </w:p>
        </w:tc>
        <w:tc>
          <w:tcPr>
            <w:tcW w:w="720" w:type="dxa"/>
            <w:vAlign w:val="bottom"/>
            <w:gridSpan w:val="2"/>
          </w:tcPr>
          <w:p>
            <w:pPr>
              <w:jc w:val="right"/>
              <w:ind w:right="140"/>
              <w:spacing w:after="0" w:line="142" w:lineRule="exact"/>
              <w:rPr>
                <w:sz w:val="20"/>
                <w:szCs w:val="20"/>
                <w:color w:val="auto"/>
              </w:rPr>
            </w:pPr>
            <w:r>
              <w:rPr>
                <w:rFonts w:ascii="Arial" w:cs="Arial" w:eastAsia="Arial" w:hAnsi="Arial"/>
                <w:sz w:val="14"/>
                <w:szCs w:val="14"/>
                <w:b w:val="1"/>
                <w:bCs w:val="1"/>
                <w:color w:val="auto"/>
              </w:rPr>
              <w:t>2009</w:t>
            </w:r>
          </w:p>
        </w:tc>
        <w:tc>
          <w:tcPr>
            <w:tcW w:w="320" w:type="dxa"/>
            <w:vAlign w:val="bottom"/>
          </w:tcPr>
          <w:p>
            <w:pPr>
              <w:spacing w:after="0"/>
              <w:rPr>
                <w:sz w:val="12"/>
                <w:szCs w:val="12"/>
                <w:color w:val="auto"/>
              </w:rPr>
            </w:pPr>
          </w:p>
        </w:tc>
        <w:tc>
          <w:tcPr>
            <w:tcW w:w="500" w:type="dxa"/>
            <w:vAlign w:val="bottom"/>
          </w:tcPr>
          <w:p>
            <w:pPr>
              <w:jc w:val="right"/>
              <w:ind w:right="32"/>
              <w:spacing w:after="0" w:line="142" w:lineRule="exact"/>
              <w:rPr>
                <w:sz w:val="20"/>
                <w:szCs w:val="20"/>
                <w:color w:val="auto"/>
              </w:rPr>
            </w:pPr>
            <w:r>
              <w:rPr>
                <w:rFonts w:ascii="Arial" w:cs="Arial" w:eastAsia="Arial" w:hAnsi="Arial"/>
                <w:sz w:val="14"/>
                <w:szCs w:val="14"/>
                <w:b w:val="1"/>
                <w:bCs w:val="1"/>
                <w:color w:val="auto"/>
              </w:rPr>
              <w:t>2010</w:t>
            </w:r>
          </w:p>
        </w:tc>
        <w:tc>
          <w:tcPr>
            <w:tcW w:w="260" w:type="dxa"/>
            <w:vAlign w:val="bottom"/>
          </w:tcPr>
          <w:p>
            <w:pPr>
              <w:spacing w:after="0"/>
              <w:rPr>
                <w:sz w:val="12"/>
                <w:szCs w:val="12"/>
                <w:color w:val="auto"/>
              </w:rPr>
            </w:pPr>
          </w:p>
        </w:tc>
        <w:tc>
          <w:tcPr>
            <w:tcW w:w="680" w:type="dxa"/>
            <w:vAlign w:val="bottom"/>
            <w:gridSpan w:val="2"/>
          </w:tcPr>
          <w:p>
            <w:pPr>
              <w:jc w:val="right"/>
              <w:ind w:right="120"/>
              <w:spacing w:after="0" w:line="142" w:lineRule="exact"/>
              <w:rPr>
                <w:sz w:val="20"/>
                <w:szCs w:val="20"/>
                <w:color w:val="auto"/>
              </w:rPr>
            </w:pPr>
            <w:r>
              <w:rPr>
                <w:rFonts w:ascii="Arial" w:cs="Arial" w:eastAsia="Arial" w:hAnsi="Arial"/>
                <w:sz w:val="14"/>
                <w:szCs w:val="14"/>
                <w:b w:val="1"/>
                <w:bCs w:val="1"/>
                <w:color w:val="auto"/>
              </w:rPr>
              <w:t>2009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68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spacing w:after="0"/>
              <w:rPr>
                <w:sz w:val="20"/>
                <w:szCs w:val="20"/>
                <w:color w:val="auto"/>
              </w:rPr>
            </w:pPr>
            <w:r>
              <w:rPr>
                <w:rFonts w:ascii="Arial" w:cs="Arial" w:eastAsia="Arial" w:hAnsi="Arial"/>
                <w:sz w:val="18"/>
                <w:szCs w:val="18"/>
                <w:color w:val="auto"/>
              </w:rPr>
              <w:t>Retirement and Protection</w:t>
            </w:r>
          </w:p>
        </w:tc>
        <w:tc>
          <w:tcPr>
            <w:tcW w:w="540" w:type="dxa"/>
            <w:vAlign w:val="bottom"/>
            <w:gridSpan w:val="2"/>
          </w:tcPr>
          <w:p>
            <w:pPr>
              <w:jc w:val="right"/>
              <w:spacing w:after="0"/>
              <w:rPr>
                <w:sz w:val="20"/>
                <w:szCs w:val="20"/>
                <w:color w:val="auto"/>
              </w:rPr>
            </w:pPr>
            <w:r>
              <w:rPr>
                <w:rFonts w:ascii="Arial" w:cs="Arial" w:eastAsia="Arial" w:hAnsi="Arial"/>
                <w:sz w:val="18"/>
                <w:szCs w:val="18"/>
                <w:color w:val="auto"/>
                <w:w w:val="86"/>
              </w:rPr>
              <w:t>$ 1,643</w:t>
            </w:r>
          </w:p>
        </w:tc>
        <w:tc>
          <w:tcPr>
            <w:tcW w:w="24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$ 1,607</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$3,236</w:t>
            </w:r>
          </w:p>
        </w:tc>
        <w:tc>
          <w:tcPr>
            <w:tcW w:w="260" w:type="dxa"/>
            <w:vAlign w:val="bottom"/>
          </w:tcPr>
          <w:p>
            <w:pPr>
              <w:spacing w:after="0"/>
              <w:rPr>
                <w:sz w:val="18"/>
                <w:szCs w:val="18"/>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$2,594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International</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622</w:t>
            </w:r>
          </w:p>
        </w:tc>
        <w:tc>
          <w:tcPr>
            <w:tcW w:w="2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639</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1,273</w:t>
            </w: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tcPr>
          <w:p>
            <w:pPr>
              <w:spacing w:after="0"/>
              <w:rPr>
                <w:sz w:val="20"/>
                <w:szCs w:val="20"/>
                <w:color w:val="auto"/>
              </w:rPr>
            </w:pPr>
            <w:r>
              <w:rPr>
                <w:rFonts w:ascii="Arial" w:cs="Arial" w:eastAsia="Arial" w:hAnsi="Arial"/>
                <w:sz w:val="18"/>
                <w:szCs w:val="18"/>
                <w:color w:val="auto"/>
              </w:rPr>
              <w:t>U.S. Mortgage Insurance</w:t>
            </w: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181</w:t>
            </w:r>
          </w:p>
        </w:tc>
        <w:tc>
          <w:tcPr>
            <w:tcW w:w="24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196</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362</w:t>
            </w:r>
          </w:p>
        </w:tc>
        <w:tc>
          <w:tcPr>
            <w:tcW w:w="260" w:type="dxa"/>
            <w:vAlign w:val="bottom"/>
          </w:tcPr>
          <w:p>
            <w:pPr>
              <w:spacing w:after="0"/>
              <w:rPr>
                <w:sz w:val="18"/>
                <w:szCs w:val="18"/>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384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Corporate and Other</w:t>
            </w:r>
          </w:p>
        </w:tc>
        <w:tc>
          <w:tcPr>
            <w:tcW w:w="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(36)</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10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(40)</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4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revenues</w:t>
            </w:r>
          </w:p>
        </w:tc>
        <w:tc>
          <w:tcPr>
            <w:tcW w:w="2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8140" w:type="dxa"/>
            <w:vAlign w:val="bottom"/>
            <w:gridSpan w:val="2"/>
            <w:vMerge w:val="continue"/>
          </w:tcPr>
          <w:p>
            <w:pPr>
              <w:spacing w:after="0"/>
              <w:rPr>
                <w:sz w:val="19"/>
                <w:szCs w:val="19"/>
                <w:color w:val="auto"/>
              </w:rPr>
            </w:pPr>
          </w:p>
        </w:tc>
        <w:tc>
          <w:tcPr>
            <w:tcW w:w="540" w:type="dxa"/>
            <w:vAlign w:val="bottom"/>
            <w:gridSpan w:val="2"/>
          </w:tcPr>
          <w:p>
            <w:pPr>
              <w:jc w:val="right"/>
              <w:spacing w:after="0"/>
              <w:rPr>
                <w:sz w:val="20"/>
                <w:szCs w:val="20"/>
                <w:color w:val="auto"/>
              </w:rPr>
            </w:pPr>
            <w:r>
              <w:rPr>
                <w:rFonts w:ascii="Arial" w:cs="Arial" w:eastAsia="Arial" w:hAnsi="Arial"/>
                <w:sz w:val="18"/>
                <w:szCs w:val="18"/>
                <w:color w:val="auto"/>
                <w:w w:val="86"/>
              </w:rPr>
              <w:t>$ 2,410</w:t>
            </w:r>
          </w:p>
        </w:tc>
        <w:tc>
          <w:tcPr>
            <w:tcW w:w="240" w:type="dxa"/>
            <w:vAlign w:val="bottom"/>
          </w:tcPr>
          <w:p>
            <w:pPr>
              <w:spacing w:after="0"/>
              <w:rPr>
                <w:sz w:val="19"/>
                <w:szCs w:val="19"/>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$ 2,483</w:t>
            </w:r>
          </w:p>
        </w:tc>
        <w:tc>
          <w:tcPr>
            <w:tcW w:w="8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4,831</w:t>
            </w:r>
          </w:p>
        </w:tc>
        <w:tc>
          <w:tcPr>
            <w:tcW w:w="260" w:type="dxa"/>
            <w:vAlign w:val="bottom"/>
          </w:tcPr>
          <w:p>
            <w:pPr>
              <w:spacing w:after="0"/>
              <w:rPr>
                <w:sz w:val="19"/>
                <w:szCs w:val="19"/>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4,217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8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200" w:firstLine="456"/>
        <w:spacing w:after="0" w:line="259" w:lineRule="auto"/>
        <w:rPr>
          <w:sz w:val="20"/>
          <w:szCs w:val="20"/>
          <w:color w:val="auto"/>
        </w:rPr>
      </w:pPr>
      <w:r>
        <w:rPr>
          <w:rFonts w:ascii="Arial" w:cs="Arial" w:eastAsia="Arial" w:hAnsi="Arial"/>
          <w:sz w:val="18"/>
          <w:szCs w:val="18"/>
          <w:color w:val="auto"/>
        </w:rPr>
        <w:t>The following is a summary of net operating income (loss) available to Genworth Financial, Inc.’s common stockholders for our segments and Corporate and Other activities and a reconciliation of net operating income (loss) available to Genworth Financial, Inc.’s common stockholders for our segments and Corporate and Other activities to net income (loss) for the periods indicated:</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60" w:type="dxa"/>
            <w:vAlign w:val="bottom"/>
            <w:gridSpan w:val="9"/>
          </w:tcPr>
          <w:p>
            <w:pPr>
              <w:jc w:val="center"/>
              <w:ind w:right="720"/>
              <w:spacing w:after="0"/>
              <w:rPr>
                <w:sz w:val="20"/>
                <w:szCs w:val="20"/>
                <w:color w:val="auto"/>
              </w:rPr>
            </w:pPr>
            <w:r>
              <w:rPr>
                <w:rFonts w:ascii="Arial" w:cs="Arial" w:eastAsia="Arial" w:hAnsi="Arial"/>
                <w:sz w:val="14"/>
                <w:szCs w:val="14"/>
                <w:b w:val="1"/>
                <w:bCs w:val="1"/>
                <w:color w:val="auto"/>
                <w:w w:val="87"/>
              </w:rPr>
              <w:t>Three months ended</w:t>
            </w:r>
          </w:p>
        </w:tc>
        <w:tc>
          <w:tcPr>
            <w:tcW w:w="1600" w:type="dxa"/>
            <w:vAlign w:val="bottom"/>
            <w:gridSpan w:val="8"/>
          </w:tcPr>
          <w:p>
            <w:pPr>
              <w:jc w:val="center"/>
              <w:ind w:right="100"/>
              <w:spacing w:after="0"/>
              <w:rPr>
                <w:sz w:val="20"/>
                <w:szCs w:val="20"/>
                <w:color w:val="auto"/>
              </w:rPr>
            </w:pPr>
            <w:r>
              <w:rPr>
                <w:rFonts w:ascii="Arial" w:cs="Arial" w:eastAsia="Arial" w:hAnsi="Arial"/>
                <w:sz w:val="14"/>
                <w:szCs w:val="14"/>
                <w:b w:val="1"/>
                <w:bCs w:val="1"/>
                <w:color w:val="auto"/>
                <w:w w:val="84"/>
              </w:rPr>
              <w:t>Six months ended</w:t>
            </w:r>
          </w:p>
        </w:tc>
        <w:tc>
          <w:tcPr>
            <w:tcW w:w="0" w:type="dxa"/>
            <w:vAlign w:val="bottom"/>
          </w:tcPr>
          <w:p>
            <w:pPr>
              <w:spacing w:after="0"/>
              <w:rPr>
                <w:sz w:val="1"/>
                <w:szCs w:val="1"/>
                <w:color w:val="auto"/>
              </w:rPr>
            </w:pPr>
          </w:p>
        </w:tc>
      </w:tr>
      <w:tr>
        <w:trPr>
          <w:trHeight w:val="161"/>
        </w:trPr>
        <w:tc>
          <w:tcPr>
            <w:tcW w:w="754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gridSpan w:val="3"/>
          </w:tcPr>
          <w:p>
            <w:pPr>
              <w:jc w:val="center"/>
              <w:ind w:right="320"/>
              <w:spacing w:after="0"/>
              <w:rPr>
                <w:sz w:val="20"/>
                <w:szCs w:val="20"/>
                <w:color w:val="auto"/>
              </w:rPr>
            </w:pPr>
            <w:r>
              <w:rPr>
                <w:rFonts w:ascii="Arial" w:cs="Arial" w:eastAsia="Arial" w:hAnsi="Arial"/>
                <w:sz w:val="14"/>
                <w:szCs w:val="14"/>
                <w:b w:val="1"/>
                <w:bCs w:val="1"/>
                <w:color w:val="auto"/>
                <w:w w:val="85"/>
              </w:rPr>
              <w:t>June 30,</w:t>
            </w:r>
          </w:p>
        </w:tc>
        <w:tc>
          <w:tcPr>
            <w:tcW w:w="280" w:type="dxa"/>
            <w:vAlign w:val="bottom"/>
            <w:tcBorders>
              <w:bottom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gridSpan w:val="3"/>
          </w:tcPr>
          <w:p>
            <w:pPr>
              <w:jc w:val="center"/>
              <w:ind w:right="180"/>
              <w:spacing w:after="0"/>
              <w:rPr>
                <w:sz w:val="20"/>
                <w:szCs w:val="20"/>
                <w:color w:val="auto"/>
              </w:rPr>
            </w:pPr>
            <w:r>
              <w:rPr>
                <w:rFonts w:ascii="Arial" w:cs="Arial" w:eastAsia="Arial" w:hAnsi="Arial"/>
                <w:sz w:val="14"/>
                <w:szCs w:val="14"/>
                <w:b w:val="1"/>
                <w:bCs w:val="1"/>
                <w:color w:val="auto"/>
                <w:w w:val="85"/>
              </w:rPr>
              <w:t>June 30,</w:t>
            </w:r>
          </w:p>
        </w:tc>
        <w:tc>
          <w:tcPr>
            <w:tcW w:w="3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540" w:type="dxa"/>
            <w:vAlign w:val="bottom"/>
            <w:gridSpan w:val="5"/>
            <w:vMerge w:val="continue"/>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56"/>
              <w:spacing w:after="0" w:line="142" w:lineRule="exact"/>
              <w:rPr>
                <w:sz w:val="20"/>
                <w:szCs w:val="20"/>
                <w:color w:val="auto"/>
              </w:rPr>
            </w:pPr>
            <w:r>
              <w:rPr>
                <w:rFonts w:ascii="Arial" w:cs="Arial" w:eastAsia="Arial" w:hAnsi="Arial"/>
                <w:sz w:val="14"/>
                <w:szCs w:val="14"/>
                <w:b w:val="1"/>
                <w:bCs w:val="1"/>
                <w:color w:val="auto"/>
                <w:w w:val="83"/>
              </w:rPr>
              <w:t>2010</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80" w:type="dxa"/>
            <w:vAlign w:val="bottom"/>
            <w:gridSpan w:val="4"/>
          </w:tcPr>
          <w:p>
            <w:pPr>
              <w:jc w:val="right"/>
              <w:ind w:right="55"/>
              <w:spacing w:after="0" w:line="142" w:lineRule="exact"/>
              <w:rPr>
                <w:sz w:val="20"/>
                <w:szCs w:val="20"/>
                <w:color w:val="auto"/>
              </w:rPr>
            </w:pPr>
            <w:r>
              <w:rPr>
                <w:rFonts w:ascii="Arial" w:cs="Arial" w:eastAsia="Arial" w:hAnsi="Arial"/>
                <w:sz w:val="14"/>
                <w:szCs w:val="14"/>
                <w:b w:val="1"/>
                <w:bCs w:val="1"/>
                <w:color w:val="auto"/>
              </w:rPr>
              <w:t>2009</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40" w:type="dxa"/>
            <w:vAlign w:val="bottom"/>
            <w:gridSpan w:val="2"/>
          </w:tcPr>
          <w:p>
            <w:pPr>
              <w:jc w:val="right"/>
              <w:ind w:right="12"/>
              <w:spacing w:after="0" w:line="142" w:lineRule="exact"/>
              <w:rPr>
                <w:sz w:val="20"/>
                <w:szCs w:val="20"/>
                <w:color w:val="auto"/>
              </w:rPr>
            </w:pPr>
            <w:r>
              <w:rPr>
                <w:rFonts w:ascii="Arial" w:cs="Arial" w:eastAsia="Arial" w:hAnsi="Arial"/>
                <w:sz w:val="14"/>
                <w:szCs w:val="14"/>
                <w:b w:val="1"/>
                <w:bCs w:val="1"/>
                <w:color w:val="auto"/>
              </w:rPr>
              <w:t>2010</w:t>
            </w:r>
          </w:p>
        </w:tc>
        <w:tc>
          <w:tcPr>
            <w:tcW w:w="60" w:type="dxa"/>
            <w:vAlign w:val="bottom"/>
          </w:tcPr>
          <w:p>
            <w:pPr>
              <w:spacing w:after="0"/>
              <w:rPr>
                <w:sz w:val="12"/>
                <w:szCs w:val="12"/>
                <w:color w:val="auto"/>
              </w:rPr>
            </w:pPr>
          </w:p>
        </w:tc>
        <w:tc>
          <w:tcPr>
            <w:tcW w:w="1000" w:type="dxa"/>
            <w:vAlign w:val="bottom"/>
            <w:gridSpan w:val="4"/>
          </w:tcPr>
          <w:p>
            <w:pPr>
              <w:jc w:val="right"/>
              <w:ind w:right="12"/>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5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Retirement and Protection</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114</w:t>
            </w:r>
          </w:p>
        </w:tc>
        <w:tc>
          <w:tcPr>
            <w:tcW w:w="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123</w:t>
            </w: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3"/>
              </w:rPr>
              <w:t>$ 236</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4"/>
          </w:tcPr>
          <w:p>
            <w:pPr>
              <w:spacing w:after="0"/>
              <w:rPr>
                <w:sz w:val="20"/>
                <w:szCs w:val="20"/>
                <w:color w:val="auto"/>
              </w:rPr>
            </w:pPr>
            <w:r>
              <w:rPr>
                <w:rFonts w:ascii="Arial" w:cs="Arial" w:eastAsia="Arial" w:hAnsi="Arial"/>
                <w:sz w:val="18"/>
                <w:szCs w:val="18"/>
                <w:color w:val="auto"/>
              </w:rPr>
              <w:t>International</w:t>
            </w:r>
          </w:p>
        </w:tc>
        <w:tc>
          <w:tcPr>
            <w:tcW w:w="120" w:type="dxa"/>
            <w:vAlign w:val="bottom"/>
          </w:tcPr>
          <w:p>
            <w:pPr>
              <w:spacing w:after="0"/>
              <w:rPr>
                <w:sz w:val="18"/>
                <w:szCs w:val="18"/>
                <w:color w:val="auto"/>
              </w:rPr>
            </w:pP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105</w:t>
            </w:r>
          </w:p>
        </w:tc>
        <w:tc>
          <w:tcPr>
            <w:tcW w:w="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87</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00" w:type="dxa"/>
            <w:vAlign w:val="bottom"/>
            <w:gridSpan w:val="3"/>
          </w:tcPr>
          <w:p>
            <w:pPr>
              <w:jc w:val="right"/>
              <w:ind w:right="60"/>
              <w:spacing w:after="0"/>
              <w:rPr>
                <w:sz w:val="20"/>
                <w:szCs w:val="20"/>
                <w:color w:val="auto"/>
              </w:rPr>
            </w:pPr>
            <w:r>
              <w:rPr>
                <w:rFonts w:ascii="Arial" w:cs="Arial" w:eastAsia="Arial" w:hAnsi="Arial"/>
                <w:sz w:val="18"/>
                <w:szCs w:val="18"/>
                <w:color w:val="auto"/>
              </w:rPr>
              <w:t>196</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40" w:type="dxa"/>
            <w:vAlign w:val="bottom"/>
            <w:gridSpan w:val="2"/>
          </w:tcPr>
          <w:p>
            <w:pPr>
              <w:jc w:val="right"/>
              <w:ind w:right="100"/>
              <w:spacing w:after="0"/>
              <w:rPr>
                <w:sz w:val="20"/>
                <w:szCs w:val="20"/>
                <w:color w:val="auto"/>
              </w:rPr>
            </w:pPr>
            <w:r>
              <w:rPr>
                <w:rFonts w:ascii="Arial" w:cs="Arial" w:eastAsia="Arial" w:hAnsi="Arial"/>
                <w:sz w:val="18"/>
                <w:szCs w:val="18"/>
                <w:color w:val="auto"/>
              </w:rPr>
              <w:t>188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U.S. Mortgage Insurance</w:t>
            </w:r>
          </w:p>
        </w:tc>
        <w:tc>
          <w:tcPr>
            <w:tcW w:w="120" w:type="dxa"/>
            <w:vAlign w:val="bottom"/>
            <w:shd w:val="clear" w:color="auto" w:fill="CCEEFF"/>
          </w:tcPr>
          <w:p>
            <w:pPr>
              <w:spacing w:after="0"/>
              <w:rPr>
                <w:sz w:val="18"/>
                <w:szCs w:val="18"/>
                <w:color w:val="auto"/>
              </w:rPr>
            </w:pPr>
          </w:p>
        </w:tc>
        <w:tc>
          <w:tcPr>
            <w:tcW w:w="4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380" w:type="dxa"/>
            <w:vAlign w:val="bottom"/>
            <w:gridSpan w:val="5"/>
            <w:shd w:val="clear" w:color="auto" w:fill="CCEEFF"/>
          </w:tcPr>
          <w:p>
            <w:pPr>
              <w:jc w:val="right"/>
              <w:ind w:right="240"/>
              <w:spacing w:after="0"/>
              <w:rPr>
                <w:sz w:val="20"/>
                <w:szCs w:val="20"/>
                <w:color w:val="auto"/>
              </w:rPr>
            </w:pPr>
            <w:r>
              <w:rPr>
                <w:rFonts w:ascii="Arial" w:cs="Arial" w:eastAsia="Arial" w:hAnsi="Arial"/>
                <w:sz w:val="18"/>
                <w:szCs w:val="18"/>
                <w:color w:val="auto"/>
              </w:rPr>
              <w:t>(134)</w:t>
            </w:r>
          </w:p>
        </w:tc>
        <w:tc>
          <w:tcPr>
            <w:tcW w:w="300" w:type="dxa"/>
            <w:vAlign w:val="bottom"/>
            <w:shd w:val="clear" w:color="auto" w:fill="CCEEFF"/>
          </w:tcPr>
          <w:p>
            <w:pPr>
              <w:spacing w:after="0"/>
              <w:rPr>
                <w:sz w:val="18"/>
                <w:szCs w:val="18"/>
                <w:color w:val="auto"/>
              </w:rPr>
            </w:pPr>
          </w:p>
        </w:tc>
        <w:tc>
          <w:tcPr>
            <w:tcW w:w="5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(269)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520" w:type="dxa"/>
            <w:vAlign w:val="bottom"/>
            <w:gridSpan w:val="4"/>
          </w:tcPr>
          <w:p>
            <w:pPr>
              <w:spacing w:after="0"/>
              <w:rPr>
                <w:sz w:val="20"/>
                <w:szCs w:val="20"/>
                <w:color w:val="auto"/>
              </w:rPr>
            </w:pPr>
            <w:r>
              <w:rPr>
                <w:rFonts w:ascii="Arial" w:cs="Arial" w:eastAsia="Arial" w:hAnsi="Arial"/>
                <w:sz w:val="18"/>
                <w:szCs w:val="18"/>
                <w:color w:val="auto"/>
              </w:rPr>
              <w:t>Corporate and Other</w:t>
            </w:r>
          </w:p>
        </w:tc>
        <w:tc>
          <w:tcPr>
            <w:tcW w:w="120" w:type="dxa"/>
            <w:vAlign w:val="bottom"/>
          </w:tcPr>
          <w:p>
            <w:pPr>
              <w:spacing w:after="0"/>
              <w:rPr>
                <w:sz w:val="19"/>
                <w:szCs w:val="19"/>
                <w:color w:val="auto"/>
              </w:rPr>
            </w:pPr>
          </w:p>
        </w:tc>
        <w:tc>
          <w:tcPr>
            <w:tcW w:w="480" w:type="dxa"/>
            <w:vAlign w:val="bottom"/>
            <w:gridSpan w:val="3"/>
          </w:tcPr>
          <w:p>
            <w:pPr>
              <w:jc w:val="right"/>
              <w:spacing w:after="0"/>
              <w:rPr>
                <w:sz w:val="20"/>
                <w:szCs w:val="20"/>
                <w:color w:val="auto"/>
              </w:rPr>
            </w:pPr>
            <w:r>
              <w:rPr>
                <w:rFonts w:ascii="Arial" w:cs="Arial" w:eastAsia="Arial" w:hAnsi="Arial"/>
                <w:sz w:val="18"/>
                <w:szCs w:val="18"/>
                <w:color w:val="auto"/>
              </w:rPr>
              <w:t>(61)</w:t>
            </w:r>
          </w:p>
        </w:tc>
        <w:tc>
          <w:tcPr>
            <w:tcW w:w="5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gridSpan w:val="2"/>
          </w:tcPr>
          <w:p>
            <w:pPr>
              <w:jc w:val="right"/>
              <w:ind w:right="240"/>
              <w:spacing w:after="0"/>
              <w:rPr>
                <w:sz w:val="20"/>
                <w:szCs w:val="20"/>
                <w:color w:val="auto"/>
              </w:rPr>
            </w:pPr>
            <w:r>
              <w:rPr>
                <w:rFonts w:ascii="Arial" w:cs="Arial" w:eastAsia="Arial" w:hAnsi="Arial"/>
                <w:sz w:val="18"/>
                <w:szCs w:val="18"/>
                <w:color w:val="auto"/>
                <w:w w:val="99"/>
              </w:rPr>
              <w:t>(67)</w:t>
            </w:r>
          </w:p>
        </w:tc>
        <w:tc>
          <w:tcPr>
            <w:tcW w:w="300" w:type="dxa"/>
            <w:vAlign w:val="bottom"/>
          </w:tcPr>
          <w:p>
            <w:pPr>
              <w:spacing w:after="0"/>
              <w:rPr>
                <w:sz w:val="19"/>
                <w:szCs w:val="19"/>
                <w:color w:val="auto"/>
              </w:rPr>
            </w:pPr>
          </w:p>
        </w:tc>
        <w:tc>
          <w:tcPr>
            <w:tcW w:w="500" w:type="dxa"/>
            <w:vAlign w:val="bottom"/>
            <w:gridSpan w:val="3"/>
          </w:tcPr>
          <w:p>
            <w:pPr>
              <w:jc w:val="right"/>
              <w:spacing w:after="0"/>
              <w:rPr>
                <w:sz w:val="20"/>
                <w:szCs w:val="20"/>
                <w:color w:val="auto"/>
              </w:rPr>
            </w:pPr>
            <w:r>
              <w:rPr>
                <w:rFonts w:ascii="Arial" w:cs="Arial" w:eastAsia="Arial" w:hAnsi="Arial"/>
                <w:sz w:val="18"/>
                <w:szCs w:val="18"/>
                <w:color w:val="auto"/>
              </w:rPr>
              <w:t>(124)</w:t>
            </w: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Net operating income available to Genworth Financial, Inc.’s common stockholders</w:t>
            </w: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w:t>
            </w: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4"/>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120" w:type="dxa"/>
            <w:vAlign w:val="bottom"/>
          </w:tcPr>
          <w:p>
            <w:pPr>
              <w:spacing w:after="0"/>
              <w:rPr>
                <w:sz w:val="18"/>
                <w:szCs w:val="18"/>
                <w:color w:val="auto"/>
              </w:rPr>
            </w:pPr>
          </w:p>
        </w:tc>
        <w:tc>
          <w:tcPr>
            <w:tcW w:w="480" w:type="dxa"/>
            <w:vAlign w:val="bottom"/>
            <w:gridSpan w:val="3"/>
          </w:tcPr>
          <w:p>
            <w:pPr>
              <w:jc w:val="right"/>
              <w:spacing w:after="0"/>
              <w:rPr>
                <w:sz w:val="20"/>
                <w:szCs w:val="20"/>
                <w:color w:val="auto"/>
              </w:rPr>
            </w:pPr>
            <w:r>
              <w:rPr>
                <w:rFonts w:ascii="Arial" w:cs="Arial" w:eastAsia="Arial" w:hAnsi="Arial"/>
                <w:sz w:val="18"/>
                <w:szCs w:val="18"/>
                <w:color w:val="auto"/>
              </w:rPr>
              <w:t>(76)</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240"/>
              <w:spacing w:after="0"/>
              <w:rPr>
                <w:sz w:val="20"/>
                <w:szCs w:val="20"/>
                <w:color w:val="auto"/>
              </w:rPr>
            </w:pPr>
            <w:r>
              <w:rPr>
                <w:rFonts w:ascii="Arial" w:cs="Arial" w:eastAsia="Arial" w:hAnsi="Arial"/>
                <w:sz w:val="18"/>
                <w:szCs w:val="18"/>
                <w:color w:val="auto"/>
                <w:w w:val="99"/>
              </w:rPr>
              <w:t>(59)</w:t>
            </w:r>
          </w:p>
        </w:tc>
        <w:tc>
          <w:tcPr>
            <w:tcW w:w="300" w:type="dxa"/>
            <w:vAlign w:val="bottom"/>
          </w:tcPr>
          <w:p>
            <w:pPr>
              <w:spacing w:after="0"/>
              <w:rPr>
                <w:sz w:val="18"/>
                <w:szCs w:val="18"/>
                <w:color w:val="auto"/>
              </w:rPr>
            </w:pPr>
          </w:p>
        </w:tc>
        <w:tc>
          <w:tcPr>
            <w:tcW w:w="500" w:type="dxa"/>
            <w:vAlign w:val="bottom"/>
            <w:gridSpan w:val="3"/>
          </w:tcPr>
          <w:p>
            <w:pPr>
              <w:jc w:val="right"/>
              <w:spacing w:after="0"/>
              <w:rPr>
                <w:sz w:val="20"/>
                <w:szCs w:val="20"/>
                <w:color w:val="auto"/>
              </w:rPr>
            </w:pPr>
            <w:r>
              <w:rPr>
                <w:rFonts w:ascii="Arial" w:cs="Arial" w:eastAsia="Arial" w:hAnsi="Arial"/>
                <w:sz w:val="18"/>
                <w:szCs w:val="18"/>
                <w:color w:val="auto"/>
              </w:rPr>
              <w:t>(118)</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(542)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Net tax benefit related to separation from our former parent</w:t>
            </w: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gridSpan w:val="2"/>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00" w:type="dxa"/>
            <w:vAlign w:val="bottom"/>
            <w:gridSpan w:val="2"/>
            <w:shd w:val="clear" w:color="auto" w:fill="CCEEFF"/>
          </w:tcPr>
          <w:p>
            <w:pPr>
              <w:spacing w:after="0"/>
              <w:rPr>
                <w:sz w:val="18"/>
                <w:szCs w:val="18"/>
                <w:color w:val="auto"/>
              </w:rPr>
            </w:pPr>
          </w:p>
        </w:tc>
        <w:tc>
          <w:tcPr>
            <w:tcW w:w="4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7540" w:type="dxa"/>
            <w:vAlign w:val="bottom"/>
            <w:gridSpan w:val="5"/>
          </w:tcPr>
          <w:p>
            <w:pPr>
              <w:spacing w:after="0"/>
              <w:rPr>
                <w:sz w:val="20"/>
                <w:szCs w:val="20"/>
                <w:color w:val="auto"/>
              </w:rPr>
            </w:pPr>
            <w:r>
              <w:rPr>
                <w:rFonts w:ascii="Arial" w:cs="Arial" w:eastAsia="Arial" w:hAnsi="Arial"/>
                <w:sz w:val="18"/>
                <w:szCs w:val="18"/>
                <w:color w:val="auto"/>
              </w:rPr>
              <w:t>Net income (loss) available to Genworth Financial, Inc.’s common stockholders</w:t>
            </w:r>
          </w:p>
        </w:tc>
        <w:tc>
          <w:tcPr>
            <w:tcW w:w="120" w:type="dxa"/>
            <w:vAlign w:val="bottom"/>
          </w:tcPr>
          <w:p>
            <w:pPr>
              <w:spacing w:after="0"/>
              <w:rPr>
                <w:sz w:val="19"/>
                <w:szCs w:val="19"/>
                <w:color w:val="auto"/>
              </w:rPr>
            </w:pP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42</w:t>
            </w:r>
          </w:p>
        </w:tc>
        <w:tc>
          <w:tcPr>
            <w:tcW w:w="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gridSpan w:val="2"/>
          </w:tcPr>
          <w:p>
            <w:pPr>
              <w:jc w:val="right"/>
              <w:ind w:right="240"/>
              <w:spacing w:after="0"/>
              <w:rPr>
                <w:sz w:val="20"/>
                <w:szCs w:val="20"/>
                <w:color w:val="auto"/>
              </w:rPr>
            </w:pPr>
            <w:r>
              <w:rPr>
                <w:rFonts w:ascii="Arial" w:cs="Arial" w:eastAsia="Arial" w:hAnsi="Arial"/>
                <w:sz w:val="18"/>
                <w:szCs w:val="18"/>
                <w:color w:val="auto"/>
                <w:w w:val="99"/>
              </w:rPr>
              <w:t>(50)</w:t>
            </w:r>
          </w:p>
        </w:tc>
        <w:tc>
          <w:tcPr>
            <w:tcW w:w="300" w:type="dxa"/>
            <w:vAlign w:val="bottom"/>
          </w:tcPr>
          <w:p>
            <w:pPr>
              <w:spacing w:after="0"/>
              <w:rPr>
                <w:sz w:val="19"/>
                <w:szCs w:val="19"/>
                <w:color w:val="auto"/>
              </w:rPr>
            </w:pPr>
          </w:p>
        </w:tc>
        <w:tc>
          <w:tcPr>
            <w:tcW w:w="500" w:type="dxa"/>
            <w:vAlign w:val="bottom"/>
            <w:gridSpan w:val="3"/>
          </w:tcPr>
          <w:p>
            <w:pPr>
              <w:jc w:val="right"/>
              <w:ind w:right="60"/>
              <w:spacing w:after="0"/>
              <w:rPr>
                <w:sz w:val="20"/>
                <w:szCs w:val="20"/>
                <w:color w:val="auto"/>
              </w:rPr>
            </w:pPr>
            <w:r>
              <w:rPr>
                <w:rFonts w:ascii="Arial" w:cs="Arial" w:eastAsia="Arial" w:hAnsi="Arial"/>
                <w:sz w:val="18"/>
                <w:szCs w:val="18"/>
                <w:color w:val="auto"/>
              </w:rPr>
              <w:t>220</w:t>
            </w: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(519)</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5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Add: net income attributable to noncontrolling interests</w:t>
            </w: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00" w:type="dxa"/>
            <w:vAlign w:val="bottom"/>
            <w:gridSpan w:val="2"/>
            <w:shd w:val="clear" w:color="auto" w:fill="CCEEFF"/>
          </w:tcPr>
          <w:p>
            <w:pPr>
              <w:spacing w:after="0"/>
              <w:rPr>
                <w:sz w:val="18"/>
                <w:szCs w:val="18"/>
                <w:color w:val="auto"/>
              </w:rPr>
            </w:pPr>
          </w:p>
        </w:tc>
        <w:tc>
          <w:tcPr>
            <w:tcW w:w="4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520" w:type="dxa"/>
            <w:vAlign w:val="bottom"/>
            <w:gridSpan w:val="4"/>
          </w:tcPr>
          <w:p>
            <w:pPr>
              <w:jc w:val="right"/>
              <w:ind w:right="5860"/>
              <w:spacing w:after="0"/>
              <w:rPr>
                <w:sz w:val="20"/>
                <w:szCs w:val="20"/>
                <w:color w:val="auto"/>
              </w:rPr>
            </w:pPr>
            <w:r>
              <w:rPr>
                <w:rFonts w:ascii="Arial" w:cs="Arial" w:eastAsia="Arial" w:hAnsi="Arial"/>
                <w:sz w:val="18"/>
                <w:szCs w:val="18"/>
                <w:color w:val="auto"/>
              </w:rPr>
              <w:t>Net income (loss)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77</w:t>
            </w:r>
          </w:p>
        </w:tc>
        <w:tc>
          <w:tcPr>
            <w:tcW w:w="40" w:type="dxa"/>
            <w:vAlign w:val="bottom"/>
          </w:tcPr>
          <w:p>
            <w:pPr>
              <w:spacing w:after="0"/>
              <w:rPr>
                <w:sz w:val="19"/>
                <w:szCs w:val="19"/>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580" w:type="dxa"/>
            <w:vAlign w:val="bottom"/>
            <w:gridSpan w:val="2"/>
          </w:tcPr>
          <w:p>
            <w:pPr>
              <w:jc w:val="right"/>
              <w:ind w:right="240"/>
              <w:spacing w:after="0"/>
              <w:rPr>
                <w:sz w:val="20"/>
                <w:szCs w:val="20"/>
                <w:color w:val="auto"/>
              </w:rPr>
            </w:pPr>
            <w:r>
              <w:rPr>
                <w:rFonts w:ascii="Arial" w:cs="Arial" w:eastAsia="Arial" w:hAnsi="Arial"/>
                <w:sz w:val="18"/>
                <w:szCs w:val="18"/>
                <w:color w:val="auto"/>
                <w:w w:val="99"/>
              </w:rPr>
              <w:t>(50)</w:t>
            </w:r>
          </w:p>
        </w:tc>
        <w:tc>
          <w:tcPr>
            <w:tcW w:w="300" w:type="dxa"/>
            <w:vAlign w:val="bottom"/>
          </w:tcPr>
          <w:p>
            <w:pPr>
              <w:spacing w:after="0"/>
              <w:rPr>
                <w:sz w:val="19"/>
                <w:szCs w:val="19"/>
                <w:color w:val="auto"/>
              </w:rPr>
            </w:pPr>
          </w:p>
        </w:tc>
        <w:tc>
          <w:tcPr>
            <w:tcW w:w="500" w:type="dxa"/>
            <w:vAlign w:val="bottom"/>
            <w:gridSpan w:val="3"/>
          </w:tcPr>
          <w:p>
            <w:pPr>
              <w:jc w:val="right"/>
              <w:ind w:right="60"/>
              <w:spacing w:after="0"/>
              <w:rPr>
                <w:sz w:val="20"/>
                <w:szCs w:val="20"/>
                <w:color w:val="auto"/>
              </w:rPr>
            </w:pPr>
            <w:r>
              <w:rPr>
                <w:rFonts w:ascii="Arial" w:cs="Arial" w:eastAsia="Arial" w:hAnsi="Arial"/>
                <w:sz w:val="18"/>
                <w:szCs w:val="18"/>
                <w:color w:val="auto"/>
                <w:w w:val="93"/>
              </w:rPr>
              <w:t>$ 289</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(519)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40" w:type="dxa"/>
            <w:vAlign w:val="bottom"/>
            <w:gridSpan w:val="2"/>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1"/>
        </w:trPr>
        <w:tc>
          <w:tcPr>
            <w:tcW w:w="20" w:type="dxa"/>
            <w:vAlign w:val="bottom"/>
          </w:tcPr>
          <w:p>
            <w:pPr>
              <w:spacing w:after="0"/>
              <w:rPr>
                <w:sz w:val="24"/>
                <w:szCs w:val="24"/>
                <w:color w:val="auto"/>
              </w:rPr>
            </w:pPr>
          </w:p>
        </w:tc>
        <w:tc>
          <w:tcPr>
            <w:tcW w:w="8920" w:type="dxa"/>
            <w:vAlign w:val="bottom"/>
            <w:gridSpan w:val="11"/>
          </w:tcPr>
          <w:p>
            <w:pPr>
              <w:ind w:left="440"/>
              <w:spacing w:after="0"/>
              <w:rPr>
                <w:sz w:val="20"/>
                <w:szCs w:val="20"/>
                <w:color w:val="auto"/>
              </w:rPr>
            </w:pPr>
            <w:r>
              <w:rPr>
                <w:rFonts w:ascii="Arial" w:cs="Arial" w:eastAsia="Arial" w:hAnsi="Arial"/>
                <w:sz w:val="18"/>
                <w:szCs w:val="18"/>
                <w:color w:val="auto"/>
                <w:w w:val="88"/>
              </w:rPr>
              <w:t>The following is a summary of total assets for our segments and Corporate and Other activities as of the dates indicated:</w:t>
            </w: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0"/>
        </w:trPr>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gridSpan w:val="3"/>
          </w:tcPr>
          <w:p>
            <w:pPr>
              <w:spacing w:after="0"/>
              <w:rPr>
                <w:sz w:val="20"/>
                <w:szCs w:val="20"/>
                <w:color w:val="auto"/>
              </w:rPr>
            </w:pPr>
            <w:r>
              <w:rPr>
                <w:rFonts w:ascii="Arial" w:cs="Arial" w:eastAsia="Arial" w:hAnsi="Arial"/>
                <w:sz w:val="14"/>
                <w:szCs w:val="14"/>
                <w:b w:val="1"/>
                <w:bCs w:val="1"/>
                <w:color w:val="auto"/>
              </w:rPr>
              <w:t>June 30,</w:t>
            </w:r>
          </w:p>
        </w:tc>
        <w:tc>
          <w:tcPr>
            <w:tcW w:w="320" w:type="dxa"/>
            <w:vAlign w:val="bottom"/>
          </w:tcPr>
          <w:p>
            <w:pPr>
              <w:spacing w:after="0"/>
              <w:rPr>
                <w:sz w:val="24"/>
                <w:szCs w:val="24"/>
                <w:color w:val="auto"/>
              </w:rPr>
            </w:pPr>
          </w:p>
        </w:tc>
        <w:tc>
          <w:tcPr>
            <w:tcW w:w="840" w:type="dxa"/>
            <w:vAlign w:val="bottom"/>
            <w:gridSpan w:val="5"/>
          </w:tcPr>
          <w:p>
            <w:pPr>
              <w:jc w:val="center"/>
              <w:ind w:right="20"/>
              <w:spacing w:after="0"/>
              <w:rPr>
                <w:sz w:val="20"/>
                <w:szCs w:val="20"/>
                <w:color w:val="auto"/>
              </w:rPr>
            </w:pPr>
            <w:r>
              <w:rPr>
                <w:rFonts w:ascii="Arial" w:cs="Arial" w:eastAsia="Arial" w:hAnsi="Arial"/>
                <w:sz w:val="14"/>
                <w:szCs w:val="14"/>
                <w:b w:val="1"/>
                <w:bCs w:val="1"/>
                <w:color w:val="auto"/>
                <w:w w:val="85"/>
              </w:rPr>
              <w:t>December 31,</w:t>
            </w: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34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2"/>
              </w:rPr>
              <w:t>(Amounts in millions)</w:t>
            </w:r>
          </w:p>
        </w:tc>
        <w:tc>
          <w:tcPr>
            <w:tcW w:w="5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4"/>
                <w:szCs w:val="14"/>
                <w:b w:val="1"/>
                <w:bCs w:val="1"/>
                <w:color w:val="auto"/>
              </w:rPr>
              <w:t>2010</w:t>
            </w:r>
          </w:p>
        </w:tc>
        <w:tc>
          <w:tcPr>
            <w:tcW w:w="3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2009</w:t>
            </w:r>
          </w:p>
        </w:tc>
        <w:tc>
          <w:tcPr>
            <w:tcW w:w="1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8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80" w:type="dxa"/>
            <w:vAlign w:val="bottom"/>
            <w:gridSpan w:val="3"/>
          </w:tcPr>
          <w:p>
            <w:pPr>
              <w:spacing w:after="0"/>
              <w:rPr>
                <w:sz w:val="20"/>
                <w:szCs w:val="20"/>
                <w:color w:val="auto"/>
              </w:rPr>
            </w:pPr>
            <w:r>
              <w:rPr>
                <w:rFonts w:ascii="Arial" w:cs="Arial" w:eastAsia="Arial" w:hAnsi="Arial"/>
                <w:sz w:val="18"/>
                <w:szCs w:val="18"/>
                <w:color w:val="auto"/>
              </w:rPr>
              <w:t>Retirement and Protection</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gridSpan w:val="3"/>
          </w:tcPr>
          <w:p>
            <w:pPr>
              <w:jc w:val="right"/>
              <w:ind w:right="300"/>
              <w:spacing w:after="0"/>
              <w:rPr>
                <w:sz w:val="20"/>
                <w:szCs w:val="20"/>
                <w:color w:val="auto"/>
              </w:rPr>
            </w:pPr>
            <w:r>
              <w:rPr>
                <w:rFonts w:ascii="Arial" w:cs="Arial" w:eastAsia="Arial" w:hAnsi="Arial"/>
                <w:sz w:val="18"/>
                <w:szCs w:val="18"/>
                <w:color w:val="auto"/>
              </w:rPr>
              <w:t>85,087</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81,497</w:t>
            </w: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International</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11,444</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12,143</w:t>
            </w: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80" w:type="dxa"/>
            <w:vAlign w:val="bottom"/>
            <w:gridSpan w:val="3"/>
          </w:tcPr>
          <w:p>
            <w:pPr>
              <w:spacing w:after="0"/>
              <w:rPr>
                <w:sz w:val="20"/>
                <w:szCs w:val="20"/>
                <w:color w:val="auto"/>
              </w:rPr>
            </w:pPr>
            <w:r>
              <w:rPr>
                <w:rFonts w:ascii="Arial" w:cs="Arial" w:eastAsia="Arial" w:hAnsi="Arial"/>
                <w:sz w:val="18"/>
                <w:szCs w:val="18"/>
                <w:color w:val="auto"/>
              </w:rPr>
              <w:t>U.S. Mortgage Insurance</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3"/>
          </w:tcPr>
          <w:p>
            <w:pPr>
              <w:jc w:val="right"/>
              <w:ind w:right="300"/>
              <w:spacing w:after="0"/>
              <w:rPr>
                <w:sz w:val="20"/>
                <w:szCs w:val="20"/>
                <w:color w:val="auto"/>
              </w:rPr>
            </w:pPr>
            <w:r>
              <w:rPr>
                <w:rFonts w:ascii="Arial" w:cs="Arial" w:eastAsia="Arial" w:hAnsi="Arial"/>
                <w:sz w:val="18"/>
                <w:szCs w:val="18"/>
                <w:color w:val="auto"/>
              </w:rPr>
              <w:t>3,564</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4,247</w:t>
            </w: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Corporate and Other</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10,257</w:t>
            </w: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10,300</w:t>
            </w: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080" w:type="dxa"/>
            <w:vAlign w:val="bottom"/>
            <w:gridSpan w:val="3"/>
          </w:tcPr>
          <w:p>
            <w:pPr>
              <w:ind w:left="440"/>
              <w:spacing w:after="0"/>
              <w:rPr>
                <w:sz w:val="20"/>
                <w:szCs w:val="20"/>
                <w:color w:val="auto"/>
              </w:rPr>
            </w:pPr>
            <w:r>
              <w:rPr>
                <w:rFonts w:ascii="Arial" w:cs="Arial" w:eastAsia="Arial" w:hAnsi="Arial"/>
                <w:sz w:val="18"/>
                <w:szCs w:val="18"/>
                <w:color w:val="auto"/>
              </w:rPr>
              <w:t>Total assets</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80" w:type="dxa"/>
            <w:vAlign w:val="bottom"/>
            <w:gridSpan w:val="6"/>
          </w:tcPr>
          <w:p>
            <w:pPr>
              <w:jc w:val="right"/>
              <w:ind w:right="300"/>
              <w:spacing w:after="0"/>
              <w:rPr>
                <w:sz w:val="20"/>
                <w:szCs w:val="20"/>
                <w:color w:val="auto"/>
              </w:rPr>
            </w:pPr>
            <w:r>
              <w:rPr>
                <w:rFonts w:ascii="Arial" w:cs="Arial" w:eastAsia="Arial" w:hAnsi="Arial"/>
                <w:sz w:val="18"/>
                <w:szCs w:val="18"/>
                <w:color w:val="auto"/>
              </w:rPr>
              <w:t>$ 110,352</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660" w:type="dxa"/>
            <w:vAlign w:val="bottom"/>
            <w:gridSpan w:val="3"/>
          </w:tcPr>
          <w:p>
            <w:pPr>
              <w:jc w:val="right"/>
              <w:ind w:right="20"/>
              <w:spacing w:after="0"/>
              <w:rPr>
                <w:sz w:val="20"/>
                <w:szCs w:val="20"/>
                <w:color w:val="auto"/>
              </w:rPr>
            </w:pPr>
            <w:r>
              <w:rPr>
                <w:rFonts w:ascii="Arial" w:cs="Arial" w:eastAsia="Arial" w:hAnsi="Arial"/>
                <w:sz w:val="18"/>
                <w:szCs w:val="18"/>
                <w:color w:val="auto"/>
                <w:w w:val="95"/>
              </w:rPr>
              <w:t>108,187</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40" w:type="dxa"/>
            <w:vAlign w:val="bottom"/>
            <w:gridSpan w:val="5"/>
            <w:vMerge w:val="restart"/>
          </w:tcPr>
          <w:p>
            <w:pPr>
              <w:jc w:val="right"/>
              <w:ind w:right="1740"/>
              <w:spacing w:after="0"/>
              <w:rPr>
                <w:sz w:val="20"/>
                <w:szCs w:val="20"/>
                <w:color w:val="auto"/>
              </w:rPr>
            </w:pPr>
            <w:r>
              <w:rPr>
                <w:rFonts w:ascii="Arial" w:cs="Arial" w:eastAsia="Arial" w:hAnsi="Arial"/>
                <w:sz w:val="18"/>
                <w:szCs w:val="18"/>
                <w:color w:val="auto"/>
              </w:rPr>
              <w:t>60</w:t>
            </w:r>
          </w:p>
        </w:tc>
        <w:tc>
          <w:tcPr>
            <w:tcW w:w="1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7540" w:type="dxa"/>
            <w:vAlign w:val="bottom"/>
            <w:gridSpan w:val="5"/>
            <w:vMerge w:val="continue"/>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NOTES TO CONDENSED CONSOLIDATED FINANCIAL STATEMENTS—(Continued)</w:t>
      </w:r>
    </w:p>
    <w:p>
      <w:pPr>
        <w:spacing w:after="0" w:line="21"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Noncontrolling Interests</w:t>
      </w:r>
    </w:p>
    <w:p>
      <w:pPr>
        <w:spacing w:after="0" w:line="96"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In July 2009, Genworth Canada, our indirect subsidiary, completed the initial public offering (the “Offering”) of its common shares. Of the 49.7 million common shares of Genworth Canada that were sold in the Offering, 5.1 million common shares were sold by Genworth Canada and 44.6 million common shares were sold by Brookfield Life Assurance Company Limited, our indirect wholly-owned subsidiary. Following completion of the Offering, we beneficially own 57.5% of the common shares of Genworth Canada.</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the six months ended June 30, 2010, dividends of $21 million were paid to the noncontrolling interests.</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320"/>
          </w:cols>
          <w:pgMar w:left="240" w:top="459" w:right="33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Management’s Discussion and Analysis of Financial Condition and Results of Operations</w:t>
      </w:r>
    </w:p>
    <w:p>
      <w:pPr>
        <w:spacing w:after="0" w:line="96"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i w:val="1"/>
          <w:iCs w:val="1"/>
          <w:color w:val="auto"/>
        </w:rPr>
        <w:t>The following discussion and analysis of our financial condition and results of operations should be read in conjunction with our unaudited condensed consolidated financial statements and related notes included herein.</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96" w:lineRule="exact"/>
        <w:rPr>
          <w:sz w:val="20"/>
          <w:szCs w:val="20"/>
          <w:color w:val="auto"/>
        </w:rPr>
      </w:pPr>
    </w:p>
    <w:p>
      <w:pPr>
        <w:ind w:right="140" w:firstLine="456"/>
        <w:spacing w:after="0" w:line="254" w:lineRule="auto"/>
        <w:rPr>
          <w:sz w:val="20"/>
          <w:szCs w:val="20"/>
          <w:color w:val="auto"/>
        </w:rPr>
      </w:pPr>
      <w:r>
        <w:rPr>
          <w:rFonts w:ascii="Arial" w:cs="Arial" w:eastAsia="Arial" w:hAnsi="Arial"/>
          <w:sz w:val="18"/>
          <w:szCs w:val="18"/>
          <w:color w:val="auto"/>
        </w:rPr>
        <w:t>This report contains certain “forward-looking statements” within the meaning of the Private Securities Litigation Reform Act of 1995. Forward-looking statements may be identified by words such as “expects,” “intends,” “anticipates,” “plans,” “believes,” “seeks,” “estimates,” “will” or words of similar meaning and include, but are not limited to, statements regarding the outlook for our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due to global political, economic, business, competitive, market, regulatory and other factors and risks, including the following:</w:t>
      </w:r>
    </w:p>
    <w:p>
      <w:pPr>
        <w:spacing w:after="0" w:line="63" w:lineRule="exact"/>
        <w:rPr>
          <w:sz w:val="20"/>
          <w:szCs w:val="20"/>
          <w:color w:val="auto"/>
        </w:rPr>
      </w:pPr>
    </w:p>
    <w:p>
      <w:pPr>
        <w:ind w:left="900" w:right="100" w:hanging="325"/>
        <w:spacing w:after="0" w:line="310" w:lineRule="auto"/>
        <w:tabs>
          <w:tab w:leader="none" w:pos="900" w:val="left"/>
        </w:tabs>
        <w:numPr>
          <w:ilvl w:val="0"/>
          <w:numId w:val="34"/>
        </w:numPr>
        <w:rPr>
          <w:rFonts w:ascii="Arial" w:cs="Arial" w:eastAsia="Arial" w:hAnsi="Arial"/>
          <w:sz w:val="15"/>
          <w:szCs w:val="15"/>
          <w:color w:val="auto"/>
        </w:rPr>
      </w:pPr>
      <w:r>
        <w:rPr>
          <w:rFonts w:ascii="Arial" w:cs="Arial" w:eastAsia="Arial" w:hAnsi="Arial"/>
          <w:sz w:val="15"/>
          <w:szCs w:val="15"/>
          <w:i w:val="1"/>
          <w:iCs w:val="1"/>
          <w:color w:val="auto"/>
        </w:rPr>
        <w:t>Risks relating to our businesses</w:t>
      </w:r>
      <w:r>
        <w:rPr>
          <w:rFonts w:ascii="Arial" w:cs="Arial" w:eastAsia="Arial" w:hAnsi="Arial"/>
          <w:sz w:val="15"/>
          <w:szCs w:val="15"/>
          <w:color w:val="auto"/>
        </w:rPr>
        <w:t>, including downturns and volatility in equity and credit markets, downgrades in our financial strength or credit</w:t>
      </w:r>
      <w:r>
        <w:rPr>
          <w:rFonts w:ascii="Arial" w:cs="Arial" w:eastAsia="Arial" w:hAnsi="Arial"/>
          <w:sz w:val="15"/>
          <w:szCs w:val="15"/>
          <w:i w:val="1"/>
          <w:iCs w:val="1"/>
          <w:color w:val="auto"/>
        </w:rPr>
        <w:t xml:space="preserve"> </w:t>
      </w:r>
      <w:r>
        <w:rPr>
          <w:rFonts w:ascii="Arial" w:cs="Arial" w:eastAsia="Arial" w:hAnsi="Arial"/>
          <w:sz w:val="15"/>
          <w:szCs w:val="15"/>
          <w:color w:val="auto"/>
        </w:rPr>
        <w:t>ratings, interest rate fluctuations and levels, adverse capital and credit market conditions, the valuation of fixed maturity, equity and trading securities, defaults, downgrade or other events impacting the value of our fixed maturity securities portfolio, defaults on our commercial mortgage loans or investments in commercial mortgage-backed securities, goodwill impairments, the soundness of other financial institutions, inability to access our credit facilities, an adverse change in risk-based capital and other regulatory requirements, insufficiency of reserves, legal constraints on dividend distributions by our subsidiaries, competition, availability, affordability and adequacy of reinsurance, default by counterparties, loss of key distribution partners, regulatory restrictions on our operations and changes in applicable laws and regulations, legal or regulatory investigations or actions, the failure or any compromise of the security of our computer systems and the occurrence of natural or man-made disasters or a pandemic;</w:t>
      </w:r>
    </w:p>
    <w:p>
      <w:pPr>
        <w:spacing w:after="0" w:line="27" w:lineRule="exact"/>
        <w:rPr>
          <w:rFonts w:ascii="Arial" w:cs="Arial" w:eastAsia="Arial" w:hAnsi="Arial"/>
          <w:sz w:val="15"/>
          <w:szCs w:val="15"/>
          <w:color w:val="auto"/>
        </w:rPr>
      </w:pPr>
    </w:p>
    <w:p>
      <w:pPr>
        <w:ind w:left="900" w:right="40" w:hanging="325"/>
        <w:spacing w:after="0" w:line="255"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i w:val="1"/>
          <w:iCs w:val="1"/>
          <w:color w:val="auto"/>
        </w:rPr>
        <w:t>Risks relating to our Retirement and Protection segment</w:t>
      </w:r>
      <w:r>
        <w:rPr>
          <w:rFonts w:ascii="Arial" w:cs="Arial" w:eastAsia="Arial" w:hAnsi="Arial"/>
          <w:sz w:val="18"/>
          <w:szCs w:val="18"/>
          <w:color w:val="auto"/>
        </w:rPr>
        <w:t>, including changes in morbidity and mortality, accelerated amortization of deferred</w:t>
      </w:r>
      <w:r>
        <w:rPr>
          <w:rFonts w:ascii="Arial" w:cs="Arial" w:eastAsia="Arial" w:hAnsi="Arial"/>
          <w:sz w:val="18"/>
          <w:szCs w:val="18"/>
          <w:i w:val="1"/>
          <w:iCs w:val="1"/>
          <w:color w:val="auto"/>
        </w:rPr>
        <w:t xml:space="preserve"> </w:t>
      </w:r>
      <w:r>
        <w:rPr>
          <w:rFonts w:ascii="Arial" w:cs="Arial" w:eastAsia="Arial" w:hAnsi="Arial"/>
          <w:sz w:val="18"/>
          <w:szCs w:val="18"/>
          <w:color w:val="auto"/>
        </w:rPr>
        <w:t>acquisition costs and present value of future profits, reputational risks as a result of rate increases on certain in-force long-term care insurance products, medical advances, such as genetic research and diagnostic imaging, and related legislation, unexpected changes in persistency rates, ability to continue to implement actions to mitigate the impact of statutory reserve requirements and the failure of demand for long-term care insurance to increase;</w:t>
      </w:r>
    </w:p>
    <w:p>
      <w:pPr>
        <w:spacing w:after="0" w:line="61" w:lineRule="exact"/>
        <w:rPr>
          <w:rFonts w:ascii="Arial" w:cs="Arial" w:eastAsia="Arial" w:hAnsi="Arial"/>
          <w:sz w:val="18"/>
          <w:szCs w:val="18"/>
          <w:color w:val="auto"/>
        </w:rPr>
      </w:pPr>
    </w:p>
    <w:p>
      <w:pPr>
        <w:ind w:left="900" w:right="80" w:hanging="325"/>
        <w:spacing w:after="0" w:line="298" w:lineRule="auto"/>
        <w:tabs>
          <w:tab w:leader="none" w:pos="900" w:val="left"/>
        </w:tabs>
        <w:numPr>
          <w:ilvl w:val="0"/>
          <w:numId w:val="34"/>
        </w:numPr>
        <w:rPr>
          <w:rFonts w:ascii="Arial" w:cs="Arial" w:eastAsia="Arial" w:hAnsi="Arial"/>
          <w:sz w:val="16"/>
          <w:szCs w:val="16"/>
          <w:color w:val="auto"/>
        </w:rPr>
      </w:pPr>
      <w:r>
        <w:rPr>
          <w:rFonts w:ascii="Arial" w:cs="Arial" w:eastAsia="Arial" w:hAnsi="Arial"/>
          <w:sz w:val="16"/>
          <w:szCs w:val="16"/>
          <w:i w:val="1"/>
          <w:iCs w:val="1"/>
          <w:color w:val="auto"/>
        </w:rPr>
        <w:t>Risks relating to our International segment</w:t>
      </w:r>
      <w:r>
        <w:rPr>
          <w:rFonts w:ascii="Arial" w:cs="Arial" w:eastAsia="Arial" w:hAnsi="Arial"/>
          <w:sz w:val="16"/>
          <w:szCs w:val="16"/>
          <w:color w:val="auto"/>
        </w:rPr>
        <w:t>, including political and economic instability, foreign exchange rate fluctuations, unexpected changes in</w:t>
      </w:r>
      <w:r>
        <w:rPr>
          <w:rFonts w:ascii="Arial" w:cs="Arial" w:eastAsia="Arial" w:hAnsi="Arial"/>
          <w:sz w:val="16"/>
          <w:szCs w:val="16"/>
          <w:i w:val="1"/>
          <w:iCs w:val="1"/>
          <w:color w:val="auto"/>
        </w:rPr>
        <w:t xml:space="preserve"> </w:t>
      </w:r>
      <w:r>
        <w:rPr>
          <w:rFonts w:ascii="Arial" w:cs="Arial" w:eastAsia="Arial" w:hAnsi="Arial"/>
          <w:sz w:val="16"/>
          <w:szCs w:val="16"/>
          <w:color w:val="auto"/>
        </w:rPr>
        <w:t>unemployment rates, unexpected increases in mortgage insurance default rates or severity of defaults, the significant portion of high loan-to-value insured international mortgage loans which generally result in more and larger claims than lower loan-to-value loans, competition with government-owned and government-sponsored enterprises offering mortgage insurance and changes in regulations;</w:t>
      </w:r>
    </w:p>
    <w:p>
      <w:pPr>
        <w:spacing w:after="0" w:line="31" w:lineRule="exact"/>
        <w:rPr>
          <w:rFonts w:ascii="Arial" w:cs="Arial" w:eastAsia="Arial" w:hAnsi="Arial"/>
          <w:sz w:val="16"/>
          <w:szCs w:val="16"/>
          <w:color w:val="auto"/>
        </w:rPr>
      </w:pPr>
    </w:p>
    <w:p>
      <w:pPr>
        <w:ind w:left="900" w:hanging="325"/>
        <w:spacing w:after="0" w:line="288" w:lineRule="auto"/>
        <w:tabs>
          <w:tab w:leader="none" w:pos="900" w:val="left"/>
        </w:tabs>
        <w:numPr>
          <w:ilvl w:val="0"/>
          <w:numId w:val="34"/>
        </w:numPr>
        <w:rPr>
          <w:rFonts w:ascii="Arial" w:cs="Arial" w:eastAsia="Arial" w:hAnsi="Arial"/>
          <w:sz w:val="16"/>
          <w:szCs w:val="16"/>
          <w:color w:val="auto"/>
        </w:rPr>
      </w:pPr>
      <w:r>
        <w:rPr>
          <w:rFonts w:ascii="Arial" w:cs="Arial" w:eastAsia="Arial" w:hAnsi="Arial"/>
          <w:sz w:val="16"/>
          <w:szCs w:val="16"/>
          <w:i w:val="1"/>
          <w:iCs w:val="1"/>
          <w:color w:val="auto"/>
        </w:rPr>
        <w:t>Risks relating to our U.S. Mortgage Insurance segment</w:t>
      </w:r>
      <w:r>
        <w:rPr>
          <w:rFonts w:ascii="Arial" w:cs="Arial" w:eastAsia="Arial" w:hAnsi="Arial"/>
          <w:sz w:val="16"/>
          <w:szCs w:val="16"/>
          <w:color w:val="auto"/>
        </w:rPr>
        <w:t>, including increases in mortgage insurance default rates or severity of defaults, uncertain</w:t>
      </w:r>
      <w:r>
        <w:rPr>
          <w:rFonts w:ascii="Arial" w:cs="Arial" w:eastAsia="Arial" w:hAnsi="Arial"/>
          <w:sz w:val="16"/>
          <w:szCs w:val="16"/>
          <w:i w:val="1"/>
          <w:iCs w:val="1"/>
          <w:color w:val="auto"/>
        </w:rPr>
        <w:t xml:space="preserve"> </w:t>
      </w:r>
      <w:r>
        <w:rPr>
          <w:rFonts w:ascii="Arial" w:cs="Arial" w:eastAsia="Arial" w:hAnsi="Arial"/>
          <w:sz w:val="16"/>
          <w:szCs w:val="16"/>
          <w:color w:val="auto"/>
        </w:rPr>
        <w:t>results of continued investigations of insured U.S. mortgage loans, possible rescissions of coverage and the results of objections to our rescissions, the extent to which loan modifications and other similar programs may provide benefits to us, unexpected changes in unemployment rates, further deterioration in economic conditions or a further decline in home prices, changes to the role or structure of Federal National Mortgage Association (“Fannie Mae”) and Federal Home Loan Mortgage Corporation (“Freddie Mac”), competition with government-owned and government-sponsored enterprises offering mortgage insurance (including the Federal Housing Administration (“FHA”)), changes in regulations that affect our U.S. mortgage insurance business, the influence of Fannie Mae, Freddie Mac and a small number of large mortgage lenders and investors, decreases in the volume of high loan-to-value mortgage originations or increases in mortgage insurance cancellations, increases in the use of alternatives to private mortgage insurance and reductions by</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00"/>
          </w:cols>
          <w:pgMar w:left="240" w:top="459" w:right="2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left="920" w:right="560"/>
        <w:spacing w:after="0" w:line="259" w:lineRule="auto"/>
        <w:rPr>
          <w:sz w:val="20"/>
          <w:szCs w:val="20"/>
          <w:color w:val="auto"/>
        </w:rPr>
      </w:pPr>
      <w:r>
        <w:rPr>
          <w:rFonts w:ascii="Arial" w:cs="Arial" w:eastAsia="Arial" w:hAnsi="Arial"/>
          <w:sz w:val="18"/>
          <w:szCs w:val="18"/>
          <w:color w:val="auto"/>
        </w:rPr>
        <w:t>lenders in the level of coverage they select, the impact of the use of reinsurance with reinsurance companies affiliated with mortgage lending customers, legal actions under Real Estate Settlement Procedures Act of 1974 (“RESPA”) and potential liabilities in connection with our U.S. contract underwriting services;</w:t>
      </w:r>
    </w:p>
    <w:p>
      <w:pPr>
        <w:spacing w:after="0" w:line="59" w:lineRule="exact"/>
        <w:rPr>
          <w:sz w:val="20"/>
          <w:szCs w:val="20"/>
          <w:color w:val="auto"/>
        </w:rPr>
      </w:pPr>
    </w:p>
    <w:p>
      <w:pPr>
        <w:ind w:left="900" w:right="20" w:hanging="325"/>
        <w:spacing w:after="0" w:line="298" w:lineRule="auto"/>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i w:val="1"/>
          <w:iCs w:val="1"/>
          <w:color w:val="auto"/>
        </w:rPr>
        <w:t>Other risks</w:t>
      </w:r>
      <w:r>
        <w:rPr>
          <w:rFonts w:ascii="Arial" w:cs="Arial" w:eastAsia="Arial" w:hAnsi="Arial"/>
          <w:sz w:val="16"/>
          <w:szCs w:val="16"/>
          <w:color w:val="auto"/>
        </w:rPr>
        <w:t>, including the possibility that in certain circumstances we will be obligated to make payments to General Electric Company (“GE”) under</w:t>
      </w:r>
      <w:r>
        <w:rPr>
          <w:rFonts w:ascii="Arial" w:cs="Arial" w:eastAsia="Arial" w:hAnsi="Arial"/>
          <w:sz w:val="16"/>
          <w:szCs w:val="16"/>
          <w:i w:val="1"/>
          <w:iCs w:val="1"/>
          <w:color w:val="auto"/>
        </w:rPr>
        <w:t xml:space="preserve"> </w:t>
      </w:r>
      <w:r>
        <w:rPr>
          <w:rFonts w:ascii="Arial" w:cs="Arial" w:eastAsia="Arial" w:hAnsi="Arial"/>
          <w:sz w:val="16"/>
          <w:szCs w:val="16"/>
          <w:color w:val="auto"/>
        </w:rPr>
        <w:t>the tax matters agreement with GE even if our corresponding tax savings are never realized and payments could be accelerated in the event of certain changes in control and provisions of the certificate of incorporation and bylaws and the tax matters agreement with GE may discourage takeover attempts and business combinations that stockholders might consider in their best interests; and</w:t>
      </w:r>
    </w:p>
    <w:p>
      <w:pPr>
        <w:spacing w:after="0" w:line="31" w:lineRule="exact"/>
        <w:rPr>
          <w:rFonts w:ascii="Arial" w:cs="Arial" w:eastAsia="Arial" w:hAnsi="Arial"/>
          <w:sz w:val="16"/>
          <w:szCs w:val="16"/>
          <w:color w:val="auto"/>
        </w:rPr>
      </w:pPr>
    </w:p>
    <w:p>
      <w:pPr>
        <w:ind w:left="900" w:hanging="325"/>
        <w:spacing w:after="0"/>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i w:val="1"/>
          <w:iCs w:val="1"/>
          <w:color w:val="auto"/>
        </w:rPr>
        <w:t>Risks relating to our common stock</w:t>
      </w:r>
      <w:r>
        <w:rPr>
          <w:rFonts w:ascii="Arial" w:cs="Arial" w:eastAsia="Arial" w:hAnsi="Arial"/>
          <w:sz w:val="18"/>
          <w:szCs w:val="18"/>
          <w:color w:val="auto"/>
        </w:rPr>
        <w:t>, including the suspension of dividends and stock price fluctuation.</w:t>
      </w:r>
    </w:p>
    <w:p>
      <w:pPr>
        <w:spacing w:after="0" w:line="171" w:lineRule="exact"/>
        <w:rPr>
          <w:sz w:val="20"/>
          <w:szCs w:val="20"/>
          <w:color w:val="auto"/>
        </w:rPr>
      </w:pPr>
    </w:p>
    <w:p>
      <w:pPr>
        <w:ind w:right="240" w:firstLine="456"/>
        <w:spacing w:after="0" w:line="332" w:lineRule="auto"/>
        <w:rPr>
          <w:sz w:val="20"/>
          <w:szCs w:val="20"/>
          <w:color w:val="auto"/>
        </w:rPr>
      </w:pPr>
      <w:r>
        <w:rPr>
          <w:rFonts w:ascii="Arial" w:cs="Arial" w:eastAsia="Arial" w:hAnsi="Arial"/>
          <w:sz w:val="16"/>
          <w:szCs w:val="16"/>
          <w:color w:val="auto"/>
        </w:rPr>
        <w:t>For additional information regarding the risks identified above, see “Item 1A. Risk Factors” in our 2009 Annual Report on Form 10-K. We undertake no obligation to publicly update any forward-looking statement, whether as a result of new information, future developments or otherwise.</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Our business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are a leading financial security company dedicated to providing insurance, wealth management, investment and financial solutions to more than</w:t>
      </w:r>
    </w:p>
    <w:p>
      <w:pPr>
        <w:spacing w:after="0" w:line="38"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color w:val="auto"/>
        </w:rPr>
        <w:t>15 million customers, with a presence in more than 25 countries. We have three operating segments: Retirement and Protection, International and U.S. Mortgage Insurance.</w:t>
      </w:r>
    </w:p>
    <w:p>
      <w:pPr>
        <w:spacing w:after="0" w:line="57" w:lineRule="exact"/>
        <w:rPr>
          <w:sz w:val="20"/>
          <w:szCs w:val="20"/>
          <w:color w:val="auto"/>
        </w:rPr>
      </w:pPr>
    </w:p>
    <w:p>
      <w:pPr>
        <w:ind w:left="900" w:right="20" w:hanging="325"/>
        <w:spacing w:after="0" w:line="288" w:lineRule="auto"/>
        <w:tabs>
          <w:tab w:leader="none" w:pos="900" w:val="left"/>
        </w:tabs>
        <w:numPr>
          <w:ilvl w:val="0"/>
          <w:numId w:val="3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Retirement and Protection. </w:t>
      </w:r>
      <w:r>
        <w:rPr>
          <w:rFonts w:ascii="Arial" w:cs="Arial" w:eastAsia="Arial" w:hAnsi="Arial"/>
          <w:sz w:val="16"/>
          <w:szCs w:val="16"/>
          <w:color w:val="auto"/>
        </w:rPr>
        <w:t>We offer and manage a variety of protection, wealth management and retirement income products. Our primary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protection products include: life, long-term care and Medicare supplement insurance. Additionally, we offer other senior supplemental products, as well as care coordination services for our long-term care policyholders. Our wealth management and retirement income products include: a variety of managed account programs and advisor services, financial planning services, fixed and variable deferred and immediate individual annuities and group variable annuities offered through retirement plans. For the three months ended June 30, 2010, our Retirement and Protection segment’s net income available to Genworth Financial, Inc.’s common stockholders and net operating income available to Genworth Financial, Inc.’s common stockholders were $81 million and $114 million, respectively. For the six months ended June 30, 2010, our Retirement and Protection segment’s net income available to Genworth Financial, Inc.’s common stockholders and net operating income available to Genworth Financial, Inc.’s common stockholders were $165 million and $236 million, respectively.</w:t>
      </w:r>
    </w:p>
    <w:p>
      <w:pPr>
        <w:spacing w:after="0" w:line="38" w:lineRule="exact"/>
        <w:rPr>
          <w:rFonts w:ascii="Arial" w:cs="Arial" w:eastAsia="Arial" w:hAnsi="Arial"/>
          <w:sz w:val="16"/>
          <w:szCs w:val="16"/>
          <w:color w:val="auto"/>
        </w:rPr>
      </w:pPr>
    </w:p>
    <w:p>
      <w:pPr>
        <w:ind w:left="900" w:hanging="325"/>
        <w:spacing w:after="0" w:line="286" w:lineRule="auto"/>
        <w:tabs>
          <w:tab w:leader="none" w:pos="900" w:val="left"/>
        </w:tabs>
        <w:numPr>
          <w:ilvl w:val="0"/>
          <w:numId w:val="3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International. </w:t>
      </w:r>
      <w:r>
        <w:rPr>
          <w:rFonts w:ascii="Arial" w:cs="Arial" w:eastAsia="Arial" w:hAnsi="Arial"/>
          <w:sz w:val="16"/>
          <w:szCs w:val="16"/>
          <w:color w:val="auto"/>
        </w:rPr>
        <w:t>We offer mortgage and lifestyle protection insurance products and related services in multiple markets. We are a leading provider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mortgage insurance products in Canada, Australia, Mexico and multiple European countries. Our products predominantly insure prime-based, individually underwritten residential mortgage loans, also known as flow mortgage insurance. On a limited basis, we also provide mortgage insurance on a structured, or bulk, basis that aids in the sale of mortgages to the capital markets and helps lenders manage capital and risk. Additionally, we offer services, analytical tools and technology that enable lenders to operate efficiently and manage risk. We are a leading provider of payment protection coverages in multiple European countries, Canada and Mexico. Our lifestyle protection insurance products help consumers meet specified payment obligations should they become unable to pay due to accident, illness, involuntary unemployment, disability or death. For the three months ended June 30, 2010, our International segment’s net income available to Genworth Financial, Inc.’s common stockholders and net operating income available to Genworth Financial, Inc.’s common stockholders were $107 million and $105 million, respectively. For the six months ended June 30, 2010, our International segment’s net income available to Genworth Financial, Inc.’s common stockholders and net operating income available to Genworth Financial, Inc.’s common stockholders were $202 million and $196 million, respectively.</w:t>
      </w:r>
    </w:p>
    <w:p>
      <w:pPr>
        <w:spacing w:after="0" w:line="46" w:lineRule="exact"/>
        <w:rPr>
          <w:rFonts w:ascii="Arial" w:cs="Arial" w:eastAsia="Arial" w:hAnsi="Arial"/>
          <w:sz w:val="16"/>
          <w:szCs w:val="16"/>
          <w:color w:val="auto"/>
        </w:rPr>
      </w:pPr>
    </w:p>
    <w:p>
      <w:pPr>
        <w:ind w:left="900" w:right="600" w:hanging="325"/>
        <w:spacing w:after="0" w:line="268" w:lineRule="auto"/>
        <w:tabs>
          <w:tab w:leader="none" w:pos="900" w:val="left"/>
        </w:tabs>
        <w:numPr>
          <w:ilvl w:val="0"/>
          <w:numId w:val="36"/>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U.S. Mortgage Insurance. </w:t>
      </w:r>
      <w:r>
        <w:rPr>
          <w:rFonts w:ascii="Arial" w:cs="Arial" w:eastAsia="Arial" w:hAnsi="Arial"/>
          <w:sz w:val="18"/>
          <w:szCs w:val="18"/>
          <w:color w:val="auto"/>
        </w:rPr>
        <w:t>In the U.S., we offer mortgage insurance products predominantly insuring prime-based, individually underwritten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residential mortgage loans, also known as flow mortgage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20"/>
          </w:cols>
          <w:pgMar w:left="240" w:top="459" w:right="2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20"/>
        <w:spacing w:after="0" w:line="291" w:lineRule="auto"/>
        <w:rPr>
          <w:sz w:val="20"/>
          <w:szCs w:val="20"/>
          <w:color w:val="auto"/>
        </w:rPr>
      </w:pPr>
      <w:r>
        <w:rPr>
          <w:rFonts w:ascii="Arial" w:cs="Arial" w:eastAsia="Arial" w:hAnsi="Arial"/>
          <w:sz w:val="16"/>
          <w:szCs w:val="16"/>
          <w:color w:val="auto"/>
        </w:rPr>
        <w:t>insurance. We selectively provide mortgage insurance on a structured, or bulk, basis with essentially all of our bulk writings prime-based. Additionally, we offer services, analytical tools and technology that enable lenders to operate efficiently and manage risk. For the three months ended June 30, 2010, our U.S. Mortgage Insurance segment’s net loss available to Genworth Financial, Inc.’s common stockholders and net operating loss available to Genworth Financial, Inc.’s common stockholders were $43 million and $40 million, respectively. For the six months ended June 30, 2010, our U.S. Mortgage Insurance segment’s net loss available to Genworth Financial, Inc.’s common stockholders and net operating loss available to Genworth Financial, Inc.’s common stockholders were both $76 million.</w:t>
      </w:r>
    </w:p>
    <w:p>
      <w:pPr>
        <w:spacing w:after="0" w:line="120"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We also have Corporate and Other activities which include debt financing expenses that are incurred at our holding company level, unallocated corporate income and expenses, eliminations of inter-segment transactions and the results of non-core businesses and non-strategic products that are managed outside of our operating segments. Our non-strategic products include our institutional and corporate-owned life insurance products. Institutional products consist of funding agreements, funding agreements backing notes (“FABNs”) and guaranteed investment contracts (“GICs”). For the three months ended June 30, 2010, our Corporate and Other activities’ net loss available to Genworth Financial, Inc.’s common stockholders and net operating loss available to Genworth Financial, Inc.’s common stockholders were $103 million and $61 million, respectively. For the six months ended June 30, 2010, our Corporate and Other activities’ net loss available to Genworth Financial, Inc.’s common stockholders and net operating loss available to Genworth Financial, Inc.’s common stockholders were $71 million and $124 million, respectively.</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trends and conditions</w:t>
      </w:r>
    </w:p>
    <w:p>
      <w:pPr>
        <w:spacing w:after="0" w:line="96" w:lineRule="exact"/>
        <w:rPr>
          <w:sz w:val="20"/>
          <w:szCs w:val="20"/>
          <w:color w:val="auto"/>
        </w:rPr>
      </w:pPr>
    </w:p>
    <w:p>
      <w:pPr>
        <w:ind w:right="360" w:firstLine="456"/>
        <w:spacing w:after="0" w:line="259" w:lineRule="auto"/>
        <w:rPr>
          <w:sz w:val="20"/>
          <w:szCs w:val="20"/>
          <w:color w:val="auto"/>
        </w:rPr>
      </w:pPr>
      <w:r>
        <w:rPr>
          <w:rFonts w:ascii="Arial" w:cs="Arial" w:eastAsia="Arial" w:hAnsi="Arial"/>
          <w:sz w:val="18"/>
          <w:szCs w:val="18"/>
          <w:color w:val="auto"/>
        </w:rPr>
        <w:t>Our business is, and we expect will continue to be, influenced by a number of industry-wide and product-specific trends and conditions. The following discussion of business trends and conditions should be read together with the trends discussed in our 2009 Annual Report on Form 10-K, which described additional business trends and conditions.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conditions and trends affecting our businesses</w:t>
      </w:r>
    </w:p>
    <w:p>
      <w:pPr>
        <w:spacing w:after="0" w:line="90"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i w:val="1"/>
          <w:iCs w:val="1"/>
          <w:color w:val="auto"/>
        </w:rPr>
        <w:t xml:space="preserve">Financial and economic environment. </w:t>
      </w:r>
      <w:r>
        <w:rPr>
          <w:rFonts w:ascii="Arial" w:cs="Arial" w:eastAsia="Arial" w:hAnsi="Arial"/>
          <w:sz w:val="16"/>
          <w:szCs w:val="16"/>
          <w:color w:val="auto"/>
        </w:rPr>
        <w:t>As a financial security company, the stability of both the financial markets and global economies in which we</w:t>
      </w:r>
      <w:r>
        <w:rPr>
          <w:rFonts w:ascii="Arial" w:cs="Arial" w:eastAsia="Arial" w:hAnsi="Arial"/>
          <w:sz w:val="16"/>
          <w:szCs w:val="16"/>
          <w:i w:val="1"/>
          <w:iCs w:val="1"/>
          <w:color w:val="auto"/>
        </w:rPr>
        <w:t xml:space="preserve"> </w:t>
      </w:r>
      <w:r>
        <w:rPr>
          <w:rFonts w:ascii="Arial" w:cs="Arial" w:eastAsia="Arial" w:hAnsi="Arial"/>
          <w:sz w:val="16"/>
          <w:szCs w:val="16"/>
          <w:color w:val="auto"/>
        </w:rPr>
        <w:t>operate impacts our sales, revenue growth and profitability trends of our businesses. Global financial markets improved during the first quarter of 2010 from the volatility experienced in 2009, with solid performance, lower volatility in equity markets, narrowing spreads and better credit performance in many sectors of the debt markets. However, in the second quarter of 2010, we saw a decline in equity markets and widening spreads primarily as a result of the perceived contagion risk related to the European sovereign debt crisis. In 2010, Canadian and Australian economies and housing markets improved. Despite continued stress in the U.S. housing market and variations in performance by sub-market, there were continued signs of stabilization. Europe remained a slow growth environment.</w:t>
      </w:r>
    </w:p>
    <w:p>
      <w:pPr>
        <w:spacing w:after="0" w:line="120"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Slow economic growth, coupled with uncertain financial market conditions, influenced, and may continue to influence, investment and spending decisions by both consumers and businesses as they adjust their consumption, debt and risk profiles in response to these conditions. As a result, our sales, revenues and profitability trends of certain insurance and investment products were adversely impacted during the first half of 2009. Since then, these trends have improved as investor confidence in the markets and the outlook for some consumers and businesses strengthened. Other factors such as government spending, monetary policies, regulatory initiatives, the volatility and strength of the capital markets, anticipated tax policy changes and the impact of U.S. healthcare and financial regulation reform can continue to affect economic and business outlooks and consumer behaviors moving forward.</w:t>
      </w:r>
    </w:p>
    <w:p>
      <w:pPr>
        <w:spacing w:after="0" w:line="120" w:lineRule="exact"/>
        <w:rPr>
          <w:sz w:val="20"/>
          <w:szCs w:val="20"/>
          <w:color w:val="auto"/>
        </w:rPr>
      </w:pPr>
    </w:p>
    <w:p>
      <w:pPr>
        <w:ind w:right="580" w:firstLine="456"/>
        <w:spacing w:after="0" w:line="268" w:lineRule="auto"/>
        <w:rPr>
          <w:sz w:val="20"/>
          <w:szCs w:val="20"/>
          <w:color w:val="auto"/>
        </w:rPr>
      </w:pPr>
      <w:r>
        <w:rPr>
          <w:rFonts w:ascii="Arial" w:cs="Arial" w:eastAsia="Arial" w:hAnsi="Arial"/>
          <w:sz w:val="18"/>
          <w:szCs w:val="18"/>
          <w:color w:val="auto"/>
        </w:rPr>
        <w:t>In response to market conditions, we adjusted our investment and asset-liability management strategies to reduce risk during strained economic and financial market conditions. In addition, we refined our product and</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459" w:right="2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distribution management strategies to best fit with our strengths, profitability targets and risk tolerance. These and other company actions were made to enhance our competitive position as well as our capital flexibility and liquidity. See “—Trends and conditions affecting our segments” below for a discussion regarding the impacts the financial markets and global economies have on our businesses.</w:t>
      </w:r>
    </w:p>
    <w:p>
      <w:pPr>
        <w:spacing w:after="0" w:line="140"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color w:val="auto"/>
        </w:rPr>
        <w:t>Since late 2008, the U.S. government, Federal Reserve and other legislative and regulatory bodies have taken a variety of other actions to stabilize the capital markets and provide needed liquidity to promote economic growth. These include various mortgage restructuring programs implemented or under consideration by the government-sponsored enterprises (“GSEs”), lenders, servicers and the U.S. government. Outside of the U.S., various governments took actions to stimulate economies, stabilize financial systems and improve market liquidity. In general, these actions have positively affected these countries and their markets; however, there can be no assurance as to the future level of impact of any of these actions on the economic and financial markets, including levels of volatility. A delayed economic recovery period or global recessionary setback could materially and adversely affect our business, financial condition and results of operations.</w:t>
      </w:r>
    </w:p>
    <w:p>
      <w:pPr>
        <w:spacing w:after="0" w:line="118"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i w:val="1"/>
          <w:iCs w:val="1"/>
          <w:color w:val="auto"/>
        </w:rPr>
        <w:t>Volatility in credit and investment markets</w:t>
      </w:r>
      <w:r>
        <w:rPr>
          <w:rFonts w:ascii="Arial" w:cs="Arial" w:eastAsia="Arial" w:hAnsi="Arial"/>
          <w:sz w:val="16"/>
          <w:szCs w:val="16"/>
          <w:color w:val="auto"/>
        </w:rPr>
        <w:t>. Market conditions showed continued signs of improvement in the first quarter of 2010 resulting in greater</w:t>
      </w:r>
      <w:r>
        <w:rPr>
          <w:rFonts w:ascii="Arial" w:cs="Arial" w:eastAsia="Arial" w:hAnsi="Arial"/>
          <w:sz w:val="16"/>
          <w:szCs w:val="16"/>
          <w:i w:val="1"/>
          <w:iCs w:val="1"/>
          <w:color w:val="auto"/>
        </w:rPr>
        <w:t xml:space="preserve"> </w:t>
      </w:r>
      <w:r>
        <w:rPr>
          <w:rFonts w:ascii="Arial" w:cs="Arial" w:eastAsia="Arial" w:hAnsi="Arial"/>
          <w:sz w:val="16"/>
          <w:szCs w:val="16"/>
          <w:color w:val="auto"/>
        </w:rPr>
        <w:t>investor confidence and positive, though inconsistent, equity and credit market performance. Continued strong demand for fixed-income products resulted in credit spread compression. However, during the first quarter of 2010, there was higher volatility in select sovereign bonds and related securities as concerns grew over the refinancing needs of Greece and certain other European countries. In the second quarter of 2010, the market moved away from riskier assets. This was generally a response to increased concerns regarding macro-economic risks in Europe and a slowing in the pace of recovery of the U.S. economy. During the second quarter of 2010, Treasury yields declined substantially as equity volatility increased and high yield bond spreads widened as the market demand grew for higher-quality assets. Nonetheless, investor liquidity was strong during the quarter and most investment grade bond issues were met with good demand. Investor appetite for asset-backed securities remained strong given limited supply, stable credit performance and structural protections embedded in the larger transactions brought to market. Although financial sector performance improved during the first half of 2010, high levels of unemployment and continued global economic uncertainty still weigh on certain markets.</w:t>
      </w:r>
    </w:p>
    <w:p>
      <w:pPr>
        <w:spacing w:after="0" w:line="12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While the marketplace is still experiencing declines in the performance of collateral underlying certain structured securities, corporate impairments continued their downward trend and were at moderate levels during the first half of 2010. We recorded net other-than-temporary impairments of $51 million and $131 million, respectively, during the three and six months ended June 30, 2010 which were lower than prior year levels and we expect losses to moderate further. Additionally, in the first half of 2010, losses related to limited partnerships decreased $116 million as compared to the first half of 2009 with limited partnership gains in the second quarter of 2010. Although economic conditions may continue to negatively impact certain investment valuations, the underlying collateral associated with assets that have not been impaired continues to perform.</w:t>
      </w:r>
    </w:p>
    <w:p>
      <w:pPr>
        <w:spacing w:after="0" w:line="120"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color w:val="auto"/>
        </w:rPr>
        <w:t>Looking ahead, we believe that the current credit environment provides us with opportunities to invest across a variety of asset classes to meet our yield requirements, as well as to continue our diversification and efforts to minimize risk within the investment portfolio. See “—Investments and Derivative Instruments” for additional information on our investment portfolio.</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Trends and conditions affecting our segments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Retirement and Protection</w:t>
      </w:r>
    </w:p>
    <w:p>
      <w:pPr>
        <w:spacing w:after="0" w:line="90"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i w:val="1"/>
          <w:iCs w:val="1"/>
          <w:color w:val="auto"/>
        </w:rPr>
        <w:t>Life insurance</w:t>
      </w:r>
      <w:r>
        <w:rPr>
          <w:rFonts w:ascii="Arial" w:cs="Arial" w:eastAsia="Arial" w:hAnsi="Arial"/>
          <w:sz w:val="18"/>
          <w:szCs w:val="18"/>
          <w:color w:val="auto"/>
        </w:rPr>
        <w:t>. Results of our life insurance business are impacted by sales, mortality, persistency, investment yields and statutory reserve requirements.</w:t>
      </w:r>
      <w:r>
        <w:rPr>
          <w:rFonts w:ascii="Arial" w:cs="Arial" w:eastAsia="Arial" w:hAnsi="Arial"/>
          <w:sz w:val="18"/>
          <w:szCs w:val="18"/>
          <w:i w:val="1"/>
          <w:iCs w:val="1"/>
          <w:color w:val="auto"/>
        </w:rPr>
        <w:t xml:space="preserve"> </w:t>
      </w:r>
      <w:r>
        <w:rPr>
          <w:rFonts w:ascii="Arial" w:cs="Arial" w:eastAsia="Arial" w:hAnsi="Arial"/>
          <w:sz w:val="18"/>
          <w:szCs w:val="18"/>
          <w:color w:val="auto"/>
        </w:rPr>
        <w:t>Additionally, sales of our products and persistency of our insurance in-force are dependent on competitive product features and pricing, distribution and customer service.</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00"/>
          </w:cols>
          <w:pgMar w:left="240" w:top="459" w:right="25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88" w:lineRule="auto"/>
        <w:rPr>
          <w:sz w:val="20"/>
          <w:szCs w:val="20"/>
          <w:color w:val="auto"/>
        </w:rPr>
      </w:pPr>
      <w:r>
        <w:rPr>
          <w:rFonts w:ascii="Arial" w:cs="Arial" w:eastAsia="Arial" w:hAnsi="Arial"/>
          <w:sz w:val="16"/>
          <w:szCs w:val="16"/>
          <w:color w:val="auto"/>
        </w:rPr>
        <w:t>The increase in life insurance sales we experienced during the second half of 2009 continued into the first half of 2010, in large part the result of strong adoption of our new term universal life insurance product. As anticipated, sales of our traditional term life insurance product have declined given the introduction late in 2009 of our new term universal life insurance product that was designed to replace our traditional term life insurance product. Our new term universal life insurance product is more capital efficient and we believe offers a similar or better value proposition to the consumer as our traditional term life insurance product, and is competitively priced for the main street and emerging affluent markets. We have experienced strong initial adoption of the product; however, the growth rate will ultimately depend upon the intensity and level of future distributor (existing brokerage general agents (“BGAs”) and other distributors) and consumer adoption. In our universal life insurance products, sales for the first half of 2010 were relatively stable given product changes made in 2009 to our new universal life insurance product that resulted in a more capital efficient product that is priced to achieve targeted returns. New premium sales may decline, remain flat or increase depending upon the ongoing distributor and consumer adoption and usage, as well as overall market conditions.</w:t>
      </w:r>
    </w:p>
    <w:p>
      <w:pPr>
        <w:spacing w:after="0" w:line="120" w:lineRule="exact"/>
        <w:rPr>
          <w:sz w:val="20"/>
          <w:szCs w:val="20"/>
          <w:color w:val="auto"/>
        </w:rPr>
      </w:pPr>
    </w:p>
    <w:p>
      <w:pPr>
        <w:ind w:right="300" w:firstLine="456"/>
        <w:spacing w:after="0" w:line="298" w:lineRule="auto"/>
        <w:rPr>
          <w:sz w:val="20"/>
          <w:szCs w:val="20"/>
          <w:color w:val="auto"/>
        </w:rPr>
      </w:pPr>
      <w:r>
        <w:rPr>
          <w:rFonts w:ascii="Arial" w:cs="Arial" w:eastAsia="Arial" w:hAnsi="Arial"/>
          <w:sz w:val="16"/>
          <w:szCs w:val="16"/>
          <w:color w:val="auto"/>
        </w:rPr>
        <w:t>Throughout 2009, we experienced favorable mortality results in our term life insurance products as compared to priced mortality. In 2010, mortality remained favorable although less so than in 2009. Additionally, we have experienced lower persistency as compared to pricing for 10-year term life insurance policies written in 1999 and 2000 as they reach their post-level rate period. Given the relatively high volume of 10-year term life policies written in 2000, we expect this trend to continue and then moderate as these policies have now reached their post-level rate period.</w:t>
      </w:r>
    </w:p>
    <w:p>
      <w:pPr>
        <w:spacing w:after="0" w:line="113"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Regulations XXX and AXXX require insurers to establish additional statutory reserves for term life insurance policies with long-term premium guarantees and certain universal life insurance policies with secondary guarantees, which increase the capital required to write these products beyond economic requirements. The solutions for the increased reserve requirements on some of our in-force books of business have become more limited and expensive; however, we have committed funding sources for approximately 95% of our anticipated peak level reserves required under Regulations XXX and AXXX so we believe unfunded reserve exposure is minimal. Additionally, we have made product modifications and introduced new products designed to reduce capital requirements and limit financing costs associated with existing products and thereby improve the profitability of new business. The new term universal life insurance product, discussed above, offers death benefit guarantee premiums that are competitive with traditional term insurance premiums for comparable durations and provides greater consumer flexibility typically associated with universal life coverage. We have also introduced product modifications to our universal life insurance products which provide shorter guarantee periods thereby reducing capital requirements.</w:t>
      </w:r>
    </w:p>
    <w:p>
      <w:pPr>
        <w:spacing w:after="0" w:line="120"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i w:val="1"/>
          <w:iCs w:val="1"/>
          <w:color w:val="auto"/>
        </w:rPr>
        <w:t xml:space="preserve">Long-term care insurance. </w:t>
      </w:r>
      <w:r>
        <w:rPr>
          <w:rFonts w:ascii="Arial" w:cs="Arial" w:eastAsia="Arial" w:hAnsi="Arial"/>
          <w:sz w:val="18"/>
          <w:szCs w:val="18"/>
          <w:color w:val="auto"/>
        </w:rPr>
        <w:t>Results of our long-term care insurance business are influenced by morbidity, persistency, investment yields, new product sales,</w:t>
      </w:r>
      <w:r>
        <w:rPr>
          <w:rFonts w:ascii="Arial" w:cs="Arial" w:eastAsia="Arial" w:hAnsi="Arial"/>
          <w:sz w:val="18"/>
          <w:szCs w:val="18"/>
          <w:i w:val="1"/>
          <w:iCs w:val="1"/>
          <w:color w:val="auto"/>
        </w:rPr>
        <w:t xml:space="preserve"> </w:t>
      </w:r>
      <w:r>
        <w:rPr>
          <w:rFonts w:ascii="Arial" w:cs="Arial" w:eastAsia="Arial" w:hAnsi="Arial"/>
          <w:sz w:val="18"/>
          <w:szCs w:val="18"/>
          <w:color w:val="auto"/>
        </w:rPr>
        <w:t>expenses and reinsurance.</w:t>
      </w:r>
    </w:p>
    <w:p>
      <w:pPr>
        <w:spacing w:after="0" w:line="132"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In recent years, industry-wide first-year annualized premiums of individual long-term care insurance have either declined or grown moderately. While our overall sales in 2009 were adversely impacted primarily by the general economic conditions and lower sales through our independent distribution and career force channels, in the second half of 2009 and continuing into the first half of 2010, we experienced improvements in our long-term care insurance sales. Recent improvements are due in part to the breadth of our distribution, and we have made progress on multiple growth initiatives with an emphasis on distribution effectiveness and broadening our offerings, including additional group long-term care insurance participation and linked-benefits products.</w:t>
      </w:r>
    </w:p>
    <w:p>
      <w:pPr>
        <w:spacing w:after="0" w:line="116" w:lineRule="exact"/>
        <w:rPr>
          <w:sz w:val="20"/>
          <w:szCs w:val="20"/>
          <w:color w:val="auto"/>
        </w:rPr>
      </w:pPr>
    </w:p>
    <w:p>
      <w:pPr>
        <w:ind w:right="140" w:firstLine="456"/>
        <w:spacing w:after="0" w:line="298" w:lineRule="auto"/>
        <w:rPr>
          <w:sz w:val="20"/>
          <w:szCs w:val="20"/>
          <w:color w:val="auto"/>
        </w:rPr>
      </w:pPr>
      <w:r>
        <w:rPr>
          <w:rFonts w:ascii="Arial" w:cs="Arial" w:eastAsia="Arial" w:hAnsi="Arial"/>
          <w:sz w:val="16"/>
          <w:szCs w:val="16"/>
          <w:color w:val="auto"/>
        </w:rPr>
        <w:t>In the first half of 2009, termination rates increased on the new and old blocks of business resulting in lower benefits and other changes in policy reserves that contributed positively to results of operations. However, during the second half of 2009 and continuing into the first half of 2010, termination rates have decreased to levels experienced historically resulting in higher benefits and other changes in policy reserves that contributed to lower results of operations. We have also experienced higher claims in older issued policies in recent periods which have negatively impacted our results of operations.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00"/>
          </w:cols>
          <w:pgMar w:left="240" w:top="459" w:right="25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0" w:firstLine="456"/>
        <w:spacing w:after="0" w:line="294" w:lineRule="auto"/>
        <w:rPr>
          <w:sz w:val="20"/>
          <w:szCs w:val="20"/>
          <w:color w:val="auto"/>
        </w:rPr>
      </w:pPr>
      <w:r>
        <w:rPr>
          <w:rFonts w:ascii="Arial" w:cs="Arial" w:eastAsia="Arial" w:hAnsi="Arial"/>
          <w:sz w:val="16"/>
          <w:szCs w:val="16"/>
          <w:color w:val="auto"/>
        </w:rPr>
        <w:t>We continue pursuing multiple growth initiatives, investing in case management, maintaining tight expense management, actively exploring alternative reinsurance strategies, executing effective investment strategies and considering other actions to improve profitability of the overall block, and in particular our older blocks of business, including potential future rate increases. In addition, changes in regulations or government programs, including certain aspects of healthcare reform, such as the Community Living Assistance Services and Supports (“CLASS”) Act, could impact our long-term care insurance business positively or negatively. As such, we continue to actively monitor regulatory developments.</w:t>
      </w:r>
    </w:p>
    <w:p>
      <w:pPr>
        <w:spacing w:after="0" w:line="116" w:lineRule="exact"/>
        <w:rPr>
          <w:sz w:val="20"/>
          <w:szCs w:val="20"/>
          <w:color w:val="auto"/>
        </w:rPr>
      </w:pPr>
    </w:p>
    <w:p>
      <w:pPr>
        <w:ind w:right="100" w:firstLine="456"/>
        <w:spacing w:after="0" w:line="294" w:lineRule="auto"/>
        <w:rPr>
          <w:sz w:val="20"/>
          <w:szCs w:val="20"/>
          <w:color w:val="auto"/>
        </w:rPr>
      </w:pPr>
      <w:r>
        <w:rPr>
          <w:rFonts w:ascii="Arial" w:cs="Arial" w:eastAsia="Arial" w:hAnsi="Arial"/>
          <w:sz w:val="16"/>
          <w:szCs w:val="16"/>
          <w:i w:val="1"/>
          <w:iCs w:val="1"/>
          <w:color w:val="auto"/>
        </w:rPr>
        <w:t xml:space="preserve">Wealth management. </w:t>
      </w:r>
      <w:r>
        <w:rPr>
          <w:rFonts w:ascii="Arial" w:cs="Arial" w:eastAsia="Arial" w:hAnsi="Arial"/>
          <w:sz w:val="16"/>
          <w:szCs w:val="16"/>
          <w:color w:val="auto"/>
        </w:rPr>
        <w:t>Results of our wealth management business are impacted by demand for asset management products and related support services,</w:t>
      </w:r>
      <w:r>
        <w:rPr>
          <w:rFonts w:ascii="Arial" w:cs="Arial" w:eastAsia="Arial" w:hAnsi="Arial"/>
          <w:sz w:val="16"/>
          <w:szCs w:val="16"/>
          <w:i w:val="1"/>
          <w:iCs w:val="1"/>
          <w:color w:val="auto"/>
        </w:rPr>
        <w:t xml:space="preserve"> </w:t>
      </w:r>
      <w:r>
        <w:rPr>
          <w:rFonts w:ascii="Arial" w:cs="Arial" w:eastAsia="Arial" w:hAnsi="Arial"/>
          <w:sz w:val="16"/>
          <w:szCs w:val="16"/>
          <w:color w:val="auto"/>
        </w:rPr>
        <w:t>investment performance and equity market conditions. The decline and volatility in the equity markets that began in 2008 negatively impacted the asset management industry overall, as well as our assets under management, net flows, the performance of certain mutual funds we offer and associated fee income. The recovery of equity and fixed income markets began in the second quarter of 2009 and continued throughout 2009 and into the first quarter of 2010, although we saw a reversal of this trend late in the second quarter of 2010.</w:t>
      </w:r>
    </w:p>
    <w:p>
      <w:pPr>
        <w:spacing w:after="0" w:line="116" w:lineRule="exact"/>
        <w:rPr>
          <w:sz w:val="20"/>
          <w:szCs w:val="20"/>
          <w:color w:val="auto"/>
        </w:rPr>
      </w:pPr>
    </w:p>
    <w:p>
      <w:pPr>
        <w:ind w:right="60" w:firstLine="456"/>
        <w:spacing w:after="0" w:line="318" w:lineRule="auto"/>
        <w:rPr>
          <w:sz w:val="20"/>
          <w:szCs w:val="20"/>
          <w:color w:val="auto"/>
        </w:rPr>
      </w:pPr>
      <w:r>
        <w:rPr>
          <w:rFonts w:ascii="Arial" w:cs="Arial" w:eastAsia="Arial" w:hAnsi="Arial"/>
          <w:sz w:val="15"/>
          <w:szCs w:val="15"/>
          <w:color w:val="auto"/>
        </w:rPr>
        <w:t>The market improvement over the second half of 2009 and first quarter of 2010, in addition to our introduction of new investment strategies, expansion of products and services we offer to our advisors and an increase in the number of advisors that do business with us collectively contributed to our higher sales, net flows and assets under management in the last three quarters of 2009 and the first half of 2010. Market declines and volatility in the second quarter of 2010 reduced sales and net flows over prior periods although net flows remained positive. Despite the market volatility, the business generated positive net flows since April 2009. Depending upon the direction of equity markets in the future, we could see a correlated impact on sales, net flows and assets under management.</w:t>
      </w:r>
    </w:p>
    <w:p>
      <w:pPr>
        <w:spacing w:after="0" w:line="100" w:lineRule="exact"/>
        <w:rPr>
          <w:sz w:val="20"/>
          <w:szCs w:val="20"/>
          <w:color w:val="auto"/>
        </w:rPr>
      </w:pPr>
    </w:p>
    <w:p>
      <w:pPr>
        <w:ind w:right="140" w:firstLine="456"/>
        <w:spacing w:after="0" w:line="294" w:lineRule="auto"/>
        <w:rPr>
          <w:sz w:val="20"/>
          <w:szCs w:val="20"/>
          <w:color w:val="auto"/>
        </w:rPr>
      </w:pPr>
      <w:r>
        <w:rPr>
          <w:rFonts w:ascii="Arial" w:cs="Arial" w:eastAsia="Arial" w:hAnsi="Arial"/>
          <w:sz w:val="16"/>
          <w:szCs w:val="16"/>
          <w:i w:val="1"/>
          <w:iCs w:val="1"/>
          <w:color w:val="auto"/>
        </w:rPr>
        <w:t xml:space="preserve">Retirement income. </w:t>
      </w:r>
      <w:r>
        <w:rPr>
          <w:rFonts w:ascii="Arial" w:cs="Arial" w:eastAsia="Arial" w:hAnsi="Arial"/>
          <w:sz w:val="16"/>
          <w:szCs w:val="16"/>
          <w:color w:val="auto"/>
        </w:rPr>
        <w:t>Results of our retirement income business are affected by investment performance, interest rate levels, slope of the interest rate yield</w:t>
      </w:r>
      <w:r>
        <w:rPr>
          <w:rFonts w:ascii="Arial" w:cs="Arial" w:eastAsia="Arial" w:hAnsi="Arial"/>
          <w:sz w:val="16"/>
          <w:szCs w:val="16"/>
          <w:i w:val="1"/>
          <w:iCs w:val="1"/>
          <w:color w:val="auto"/>
        </w:rPr>
        <w:t xml:space="preserve"> </w:t>
      </w:r>
      <w:r>
        <w:rPr>
          <w:rFonts w:ascii="Arial" w:cs="Arial" w:eastAsia="Arial" w:hAnsi="Arial"/>
          <w:sz w:val="16"/>
          <w:szCs w:val="16"/>
          <w:color w:val="auto"/>
        </w:rPr>
        <w:t>curve, net interest spreads, equity market conditions, mortality, policyholder lapses, new product sales and relative competitiveness of our offerings. Our competitive position within many of our distribution channels and our ability to grow this business depends on many factors, including product features and company ratings. Product features include current and minimum crediting rates on our spread-based products, surrender charges and guaranteed benefit features in variable annuity products which provide guaranteed death or living benefits to the consumer.</w:t>
      </w:r>
    </w:p>
    <w:p>
      <w:pPr>
        <w:spacing w:after="0" w:line="116"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Recent product changes and sales of annuity products reflect a more targeted growth strategy in order to achieve appropriate risk adjusted returns. We have scaled back certain product features and targeted certain market segments to reduce risk in our annuity products. In this connection, we have targeted distributors and producers and chosen sales personnel that align with this more focused strategy. Beginning in the second half of 2009, we expanded our distribution relationships with new financial institutions, independent financial planners and BGAs and we expect to continue to expand these distribution relationships and introduce new product offerings.</w:t>
      </w:r>
    </w:p>
    <w:p>
      <w:pPr>
        <w:spacing w:after="0" w:line="143"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In fixed annuities, sales may fluctuate as interest rates change and as we offer these products using a disciplined approach to meet targeted returns. We have introduced new deferred annuity products in the BGA channel and we have re-priced immediate annuities to maintain spreads and targeted returns. In 2009, spreads on fixed annuity products declined in connection with lower short-term rates and from holding higher cash balances to manage through challenging market conditions. Through the first half of 2010, we have reinvested a significant portion of the excess cash and are achieving improvements in spread-related income as a result of higher yields.</w:t>
      </w:r>
    </w:p>
    <w:p>
      <w:pPr>
        <w:spacing w:after="0" w:line="143" w:lineRule="exact"/>
        <w:rPr>
          <w:sz w:val="20"/>
          <w:szCs w:val="20"/>
          <w:color w:val="auto"/>
        </w:rPr>
      </w:pPr>
    </w:p>
    <w:p>
      <w:pPr>
        <w:ind w:right="260" w:firstLine="456"/>
        <w:spacing w:after="0" w:line="306" w:lineRule="auto"/>
        <w:rPr>
          <w:sz w:val="20"/>
          <w:szCs w:val="20"/>
          <w:color w:val="auto"/>
        </w:rPr>
      </w:pPr>
      <w:r>
        <w:rPr>
          <w:rFonts w:ascii="Arial" w:cs="Arial" w:eastAsia="Arial" w:hAnsi="Arial"/>
          <w:sz w:val="16"/>
          <w:szCs w:val="16"/>
          <w:color w:val="auto"/>
        </w:rPr>
        <w:t>In variable annuities, the improvement in the equity markets during the second half of 2009 and the first quarter of 2010 favorably impacted our results. However, the decline and volatility in the equity markets during the second quarter of 2010 adversely impacted our results. In the future, equity market performance and volatility could result in additional gains or losses in our variable annuity products and associated hedging program which</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00"/>
          </w:cols>
          <w:pgMar w:left="240" w:top="459" w:right="25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color w:val="auto"/>
        </w:rPr>
        <w:t>would impact our results. In addition, we continue to offer variable annuity products with living benefit features as described above. However, in response to the risk in equity markets, certain product features have been scaled back to reduce adverse selection risk and volatility while costs to the consumer have been increased. These product changes are similar to actions taken by many, but not all, of our competitors. We believe the benefits offered by these products remain attractive to consumers within our targeted markets.</w:t>
      </w:r>
    </w:p>
    <w:p>
      <w:pPr>
        <w:spacing w:after="0" w:line="22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International</w:t>
      </w:r>
    </w:p>
    <w:p>
      <w:pPr>
        <w:spacing w:after="0" w:line="90" w:lineRule="exact"/>
        <w:rPr>
          <w:sz w:val="20"/>
          <w:szCs w:val="20"/>
          <w:color w:val="auto"/>
        </w:rPr>
      </w:pPr>
    </w:p>
    <w:p>
      <w:pPr>
        <w:ind w:right="500" w:firstLine="456"/>
        <w:spacing w:after="0" w:line="259" w:lineRule="auto"/>
        <w:rPr>
          <w:sz w:val="20"/>
          <w:szCs w:val="20"/>
          <w:color w:val="auto"/>
        </w:rPr>
      </w:pPr>
      <w:r>
        <w:rPr>
          <w:rFonts w:ascii="Arial" w:cs="Arial" w:eastAsia="Arial" w:hAnsi="Arial"/>
          <w:sz w:val="18"/>
          <w:szCs w:val="18"/>
          <w:i w:val="1"/>
          <w:iCs w:val="1"/>
          <w:color w:val="auto"/>
        </w:rPr>
        <w:t xml:space="preserve">International mortgage insurance. </w:t>
      </w:r>
      <w:r>
        <w:rPr>
          <w:rFonts w:ascii="Arial" w:cs="Arial" w:eastAsia="Arial" w:hAnsi="Arial"/>
          <w:sz w:val="18"/>
          <w:szCs w:val="18"/>
          <w:color w:val="auto"/>
        </w:rPr>
        <w:t>Results of our international mortgage insurance business are affected by changes in regulatory environments,</w:t>
      </w:r>
      <w:r>
        <w:rPr>
          <w:rFonts w:ascii="Arial" w:cs="Arial" w:eastAsia="Arial" w:hAnsi="Arial"/>
          <w:sz w:val="18"/>
          <w:szCs w:val="18"/>
          <w:i w:val="1"/>
          <w:iCs w:val="1"/>
          <w:color w:val="auto"/>
        </w:rPr>
        <w:t xml:space="preserve"> </w:t>
      </w:r>
      <w:r>
        <w:rPr>
          <w:rFonts w:ascii="Arial" w:cs="Arial" w:eastAsia="Arial" w:hAnsi="Arial"/>
          <w:sz w:val="18"/>
          <w:szCs w:val="18"/>
          <w:color w:val="auto"/>
        </w:rPr>
        <w:t>employment and other economic and housing market trends, including interest rate trends, home price appreciation, mortgage origination volume, levels of mortgage delinquencies and movements in foreign currency exchange rates.</w:t>
      </w:r>
    </w:p>
    <w:p>
      <w:pPr>
        <w:spacing w:after="0" w:line="140" w:lineRule="exact"/>
        <w:rPr>
          <w:sz w:val="20"/>
          <w:szCs w:val="20"/>
          <w:color w:val="auto"/>
        </w:rPr>
      </w:pPr>
    </w:p>
    <w:p>
      <w:pPr>
        <w:ind w:right="260" w:firstLine="456"/>
        <w:spacing w:after="0" w:line="291" w:lineRule="auto"/>
        <w:rPr>
          <w:sz w:val="20"/>
          <w:szCs w:val="20"/>
          <w:color w:val="auto"/>
        </w:rPr>
      </w:pPr>
      <w:r>
        <w:rPr>
          <w:rFonts w:ascii="Arial" w:cs="Arial" w:eastAsia="Arial" w:hAnsi="Arial"/>
          <w:sz w:val="16"/>
          <w:szCs w:val="16"/>
          <w:color w:val="auto"/>
        </w:rPr>
        <w:t>Throughout 2009, we observed increased stability in international housing markets, particularly in Canada and Australia, as lower mortgage rates, improved housing affordability, certain government programs and improved consumer confidence resulted in increased home sales activity. As a result, home prices increased in these markets during 2009. In the first half of 2010, home price growth slowed in Canada and Australia. Additionally, while unemployment increased during the first half of 2009, we observed a modest decline in unemployment rates in these two markets during the second half of 2009 and we have seen this trend continue or strengthen in the first half of 2010. In certain of our European mortgage insurance markets, we have observed early signs of stabilization as unemployment growth and declines in home prices have moderated.</w:t>
      </w:r>
    </w:p>
    <w:p>
      <w:pPr>
        <w:spacing w:after="0" w:line="120" w:lineRule="exact"/>
        <w:rPr>
          <w:sz w:val="20"/>
          <w:szCs w:val="20"/>
          <w:color w:val="auto"/>
        </w:rPr>
      </w:pPr>
    </w:p>
    <w:p>
      <w:pPr>
        <w:jc w:val="both"/>
        <w:ind w:right="100" w:firstLine="456"/>
        <w:spacing w:after="0" w:line="306" w:lineRule="auto"/>
        <w:rPr>
          <w:sz w:val="20"/>
          <w:szCs w:val="20"/>
          <w:color w:val="auto"/>
        </w:rPr>
      </w:pPr>
      <w:r>
        <w:rPr>
          <w:rFonts w:ascii="Arial" w:cs="Arial" w:eastAsia="Arial" w:hAnsi="Arial"/>
          <w:sz w:val="16"/>
          <w:szCs w:val="16"/>
          <w:color w:val="auto"/>
        </w:rPr>
        <w:t>Canada and Australia comprise approximately 97% of our international mortgage insurance risk in-force with an estimated average effective loan-to-value ratio of 61% as of June 30, 2010. We expect that these established markets will continue to be key drivers of revenues and earnings in our international mortgage insurance business. Our entry and growth in developing international markets will remain disciplined and selective.</w:t>
      </w:r>
    </w:p>
    <w:p>
      <w:pPr>
        <w:spacing w:after="0" w:line="107"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In Canada, the Bank of Canada increased the overnight rate by 25 basis points in the second quarter of 2010, and has implemented another 25 basis points increase in July 2010. In Australia, as a sign of the relative health and stability of that economy, the Reserve Bank of Australia increased the cash rate by 150 basis points between September 30, 2009 and June 30, 2010. It is anticipated that both the Bank of Canada and the Reserve Bank of Australia may increase rates modestly in the second half of 2010.</w:t>
      </w:r>
    </w:p>
    <w:p>
      <w:pPr>
        <w:spacing w:after="0" w:line="143"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In Canada, we experienced higher than anticipated levels of flow new insurance written in the first half of 2010 driven by a larger mortgage market. A low interest rate environment in the first half of 2010 with rates forecasted to increase in the second half of the year and improved consumer confidence contributed to this increase. Additionally, implementation of the harmonized sales tax in July 2010 in British Columbia and Ontario, which had the potential to increase the cost of purchasing a home for certain buyers, contributed to higher levels of mortgage originations in 2010. We believe these factors accelerated purchase decisions into the first half of the year and may result in lower levels of mortgage originations and an associated decrease in our flow new insurance written in the second half of 2010.</w:t>
      </w:r>
    </w:p>
    <w:p>
      <w:pPr>
        <w:spacing w:after="0" w:line="144"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In Australia, as a result of low interest rates during the first nine months of 2009 and specific government programs, there was an increase in mortgage originations by first-time home buyers and an associated increase in our flow new insurance written. The Australian government extended its enhanced first-time home buyer program benefits through the end of 2009, although at reduced levels, and eliminated these enhanced benefits altogether effective January 1, 2010. As a result of lower levels of government support to first-time home buyers and increased interest rates beginning in the fourth quarter of 2009, there has been a decrease in mortgage originations and an associated decrease in our flow new insurance written in the first half of 2010. As some liquidity returned to the securitization market in Australia, we insured additional bulk transactions in the first half of 2010. We expect to continue to write modest levels of bulk new insurance written throughout 2010.</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459" w:right="2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During 2009, we significantly expanded our focus on, and the resources devoted to, loss mitigation initiatives, including programs that actively partner with our lenders to find solutions that cure delinquencies through actions such as loan modifications and keep borrowers in their homes. These programs benefit all parties as borrowers are able to remain in their homes, lenders maintain their relationship with the borrower and an earning asset, and we mitigate claim payments under the terms of our mortgage insurance policies. Additionally, in cases where no solution is found to cure the delinquency and keep the borrower in their home, we are actively partnering with our lenders to optimize the transition process and mitigate claim payments. As a result of our expanded focus, there was an increase in the number of loans subject to our loss mitigation initiatives, which we believe had a favorable impact on our results of operations. We have also seen improvements in our total losses as economies continue to improve, home prices continue to increase and unemployment levels decline. With ongoing improvement in the Canadian and Australian economies and housing markets, as well as the success we experienced with our loss mitigation initiatives outlined above, we expect our loss levels to continue to improve from the levels experienced during 2009.</w:t>
      </w:r>
    </w:p>
    <w:p>
      <w:pPr>
        <w:spacing w:after="0" w:line="120"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i w:val="1"/>
          <w:iCs w:val="1"/>
          <w:color w:val="auto"/>
        </w:rPr>
        <w:t xml:space="preserve">Lifestyle protection insurance. </w:t>
      </w:r>
      <w:r>
        <w:rPr>
          <w:rFonts w:ascii="Arial" w:cs="Arial" w:eastAsia="Arial" w:hAnsi="Arial"/>
          <w:sz w:val="18"/>
          <w:szCs w:val="18"/>
          <w:color w:val="auto"/>
        </w:rPr>
        <w:t>Growth and performance of our lifestyle protection insurance business is dependent in part on economic conditions,</w:t>
      </w:r>
      <w:r>
        <w:rPr>
          <w:rFonts w:ascii="Arial" w:cs="Arial" w:eastAsia="Arial" w:hAnsi="Arial"/>
          <w:sz w:val="18"/>
          <w:szCs w:val="18"/>
          <w:i w:val="1"/>
          <w:iCs w:val="1"/>
          <w:color w:val="auto"/>
        </w:rPr>
        <w:t xml:space="preserve"> </w:t>
      </w:r>
      <w:r>
        <w:rPr>
          <w:rFonts w:ascii="Arial" w:cs="Arial" w:eastAsia="Arial" w:hAnsi="Arial"/>
          <w:sz w:val="18"/>
          <w:szCs w:val="18"/>
          <w:color w:val="auto"/>
        </w:rPr>
        <w:t>including consumer lending levels, unemployment trends, client account penetration and mortality and morbidity trends. Additionally, the types and mix of our products will vary based on regulatory and consumer acceptance of our products.</w:t>
      </w:r>
    </w:p>
    <w:p>
      <w:pPr>
        <w:spacing w:after="0" w:line="140" w:lineRule="exact"/>
        <w:rPr>
          <w:sz w:val="20"/>
          <w:szCs w:val="20"/>
          <w:color w:val="auto"/>
        </w:rPr>
      </w:pPr>
    </w:p>
    <w:p>
      <w:pPr>
        <w:ind w:right="280" w:firstLine="456"/>
        <w:spacing w:after="0" w:line="298" w:lineRule="auto"/>
        <w:rPr>
          <w:sz w:val="20"/>
          <w:szCs w:val="20"/>
          <w:color w:val="auto"/>
        </w:rPr>
      </w:pPr>
      <w:r>
        <w:rPr>
          <w:rFonts w:ascii="Arial" w:cs="Arial" w:eastAsia="Arial" w:hAnsi="Arial"/>
          <w:sz w:val="16"/>
          <w:szCs w:val="16"/>
          <w:color w:val="auto"/>
        </w:rPr>
        <w:t>For the six months ended June 30, 2010, sales decreased primarily as a result of stagnating economies across Europe, which resulted in a decline in consumer lending where most of our insurance coverages attach as banks tightened lending criteria and consumer demand declined. Additionally, our ongoing focus on risk management led us to exit certain relationships or concentration of coverages. We are pursuing various growth initiatives to offset these market conditions; however, depending on the severity and length of these conditions, we could experience additional sales declines.</w:t>
      </w:r>
    </w:p>
    <w:p>
      <w:pPr>
        <w:spacing w:after="0" w:line="113"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In contrast to the first half of 2009, when unemployment rates increased rapidly, we have seen a slowdown in the rate of increase or stabilization in unemployment over the past several quarters broadly across Europe with regional variation. Consequently, we experienced a continued decline in new claim registrations on unemployment-related policies, particularly in Ireland and Spain since March 2009 and in Denmark since March 2010. We expect unemployment rates in Europe to increase slowly and peak in the second half of 2010. Increasing claims duration pressure from longer periods of persistent unemployment and accident and sickness claims is beginning to stabilize as a result of re-pricing actions and loss mitigation efforts.</w:t>
      </w:r>
    </w:p>
    <w:p>
      <w:pPr>
        <w:spacing w:after="0" w:line="116"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During 2009 and into 2010, significant progress was made in improving profitability through pricing, coverage or distribution contract changes on both new and eligible in-force policies. Collectively, these strategies will improve profitability and help to offset the impact of continued high unemployment as well as relatively low levels of consumer lending.</w:t>
      </w:r>
    </w:p>
    <w:p>
      <w:pPr>
        <w:spacing w:after="0" w:line="22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U.S. Mortgage Insurance</w:t>
      </w:r>
    </w:p>
    <w:p>
      <w:pPr>
        <w:spacing w:after="0" w:line="90"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Results of our U.S. mortgage insurance business are affected by unemployment and other economic and housing market trends, including interest rates, home prices, mortgage origination volume and practices and product mix, as well as the levels and aging of mortgage delinquencies including seasonal variations. These economic and housing market trends are in turn continuing to be adversely affected by the ongoing weak domestic economy and related levels of unemployment. However, home prices are beginning to stabilize or improve in many U.S. markets after a significant decline from their peak levels. Overall, we anticipate some additional modest declines in home values in 2010 and we expect unemployment levels may increase modestly by the end of 2010.</w:t>
      </w:r>
    </w:p>
    <w:p>
      <w:pPr>
        <w:spacing w:after="0" w:line="116" w:lineRule="exact"/>
        <w:rPr>
          <w:sz w:val="20"/>
          <w:szCs w:val="20"/>
          <w:color w:val="auto"/>
        </w:rPr>
      </w:pPr>
    </w:p>
    <w:p>
      <w:pPr>
        <w:jc w:val="both"/>
        <w:ind w:right="640" w:firstLine="456"/>
        <w:spacing w:after="0" w:line="259" w:lineRule="auto"/>
        <w:rPr>
          <w:sz w:val="20"/>
          <w:szCs w:val="20"/>
          <w:color w:val="auto"/>
        </w:rPr>
      </w:pPr>
      <w:r>
        <w:rPr>
          <w:rFonts w:ascii="Arial" w:cs="Arial" w:eastAsia="Arial" w:hAnsi="Arial"/>
          <w:sz w:val="18"/>
          <w:szCs w:val="18"/>
          <w:color w:val="auto"/>
        </w:rPr>
        <w:t>A weak housing market, tightened lending standards and the lack of liquidity in some mortgage securitization markets continued to drive a smaller mortgage origination market. However, in this smaller origination market, we have seen an increase in our market share in recent quarters. The mortgage insurance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420"/>
          </w:cols>
          <w:pgMar w:left="240" w:top="459" w:right="23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spacing w:after="0" w:line="287" w:lineRule="auto"/>
        <w:rPr>
          <w:sz w:val="20"/>
          <w:szCs w:val="20"/>
          <w:color w:val="auto"/>
        </w:rPr>
      </w:pPr>
      <w:r>
        <w:rPr>
          <w:rFonts w:ascii="Arial" w:cs="Arial" w:eastAsia="Arial" w:hAnsi="Arial"/>
          <w:sz w:val="16"/>
          <w:szCs w:val="16"/>
          <w:color w:val="auto"/>
        </w:rPr>
        <w:t>penetration rate and market size have been driven down by growth in FHA originations, associated with multiple pricing, underwriting and loan size factors, and the negative impact of GSE market fees and loan level pricing which can make private mortgage insurance solutions less competitive with the FHA solution. Going forward, this trend may limit the demand for private mortgage insurance. Alternatively, given potential adjustments in FHA policies and pricing, GSE pricing and housing and financial reform involving the GSEs and government programs, the industry expects to regain market share over time. Specifically, the mortgage insurance industry level of market penetration and eventual market size could be affected by any actions taken by the GSEs, the FHA or the U.S. government impacting housing policy or related reforms. The Housing and Economic Recovery Act of 2008 provides for changes to, among other things, the regulatory authority and oversight of the GSEs and the authority of the FHA including with respect to premium pricing, maximum loan limits and down payment requirements. The FHA is also seeking legislative authority to increase its annual premium rates. Such an increase is expected to increase the private mortgage insurance industry’s market share compared to that of the FHA. In addition, Fannie Mae and Freddie Mac remain the largest purchasers and guarantors of mortgage loans in the United States.</w:t>
      </w:r>
    </w:p>
    <w:p>
      <w:pPr>
        <w:spacing w:after="0" w:line="123"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We control the quality of new business through prudent underwriting guidelines, which we modify from time to time when circumstances warrant. For example, we announced in early 2010 the expansion of certain underwriting guidelines. We are also seeing the benefit of the previously announced rate increase of 20% on average for our flow products and a reduction in captive cession which equates to an effective pricing improvement of approximately 15%. We previously exited certain product lines, such as A minus, Alt-A and 100% loan-to-value products. We also continue to monitor our targeted declining market policy, which among various restrictions, limited coverages to loans with 90% loan-to-value and below and to adjust those markets accordingly as areas of the U.S. housing market begin to stabilize or improve. In the first quarter of 2010, we reduced the number of markets subject to our declining market policy to allow coverage of loans up to 95% loan-to-value in additional markets given improving housing market conditions, which may result in increased new business written.</w:t>
      </w:r>
    </w:p>
    <w:p>
      <w:pPr>
        <w:spacing w:after="0" w:line="118" w:lineRule="exact"/>
        <w:rPr>
          <w:sz w:val="20"/>
          <w:szCs w:val="20"/>
          <w:color w:val="auto"/>
        </w:rPr>
      </w:pPr>
    </w:p>
    <w:p>
      <w:pPr>
        <w:ind w:right="200" w:firstLine="456"/>
        <w:spacing w:after="0" w:line="255" w:lineRule="auto"/>
        <w:rPr>
          <w:sz w:val="20"/>
          <w:szCs w:val="20"/>
          <w:color w:val="auto"/>
        </w:rPr>
      </w:pPr>
      <w:r>
        <w:rPr>
          <w:rFonts w:ascii="Arial" w:cs="Arial" w:eastAsia="Arial" w:hAnsi="Arial"/>
          <w:sz w:val="18"/>
          <w:szCs w:val="18"/>
          <w:color w:val="auto"/>
        </w:rPr>
        <w:t>Overall pressure on the housing market has adversely affected the performance of our portfolio, particularly our 2005, 2006 and 2007 book years that we believe peaked in their delinquency development during the first quarter of 2010. While the impact was concentrated in certain states and product types, during 2009, the impact shifted to more traditional products reflecting elevated unemployment levels throughout the country. We have also seen an increase in the number of foreclosure starts and in the rate at which foreclosures progress to claim. As such, we have begun to see an increase in our paid claims as these loans go through foreclosure.</w:t>
      </w:r>
    </w:p>
    <w:p>
      <w:pPr>
        <w:spacing w:after="0" w:line="143"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However, as a result of the recent stabilization of home prices and unemployment levels and expanded efforts in the mortgage market to modify loans, we experienced a decrease in delinquencies in the first half of 2010. This decrease reflected a reduction in new delinquencies combined with increased cures from government and lender loan modification programs and other loss mitigation activities. However, aged delinquencies and foreclosures continued increasing through the second quarter of 2010, both of which pressure home prices in certain markets resulting in higher levels of default. If home values continue to decline and credit remains tight, the ability to cure a delinquent loan could be more difficult to achieve.</w:t>
      </w:r>
    </w:p>
    <w:p>
      <w:pPr>
        <w:spacing w:after="0" w:line="116" w:lineRule="exact"/>
        <w:rPr>
          <w:sz w:val="20"/>
          <w:szCs w:val="20"/>
          <w:color w:val="auto"/>
        </w:rPr>
      </w:pPr>
    </w:p>
    <w:p>
      <w:pPr>
        <w:ind w:firstLine="456"/>
        <w:spacing w:after="0" w:line="312" w:lineRule="auto"/>
        <w:rPr>
          <w:sz w:val="20"/>
          <w:szCs w:val="20"/>
          <w:color w:val="auto"/>
        </w:rPr>
      </w:pPr>
      <w:r>
        <w:rPr>
          <w:rFonts w:ascii="Arial" w:cs="Arial" w:eastAsia="Arial" w:hAnsi="Arial"/>
          <w:sz w:val="15"/>
          <w:szCs w:val="15"/>
          <w:color w:val="auto"/>
        </w:rPr>
        <w:t>Our loss mitigation activities, including those relating to workouts, loan modifications, pre-sales, rescissions and targeted settlements, net of reinstatements, have resulted in a reduction of expected losses of approximately $450 million during the six months ended June 30, 2010 compared to $333 million during the six months ended June 30, 2009. Workouts and loan modifications, which related to loans representing 3% of our primary risk in-force as of June 30, 2010, resulted in a reduction of loss exposure of approximately $267 million for the six months ended June 30, 2010 compared to $97 million for the six months ended June 30, 2009. Our workout and loan modification programs with various lender and service customers are designed to help borrowers in default regain current repayment status on their mortgage loans, which ultimately allowed many of these borrowers to remain in their homes. During the six months ended June 30, 2010, we executed loan restructurings and modifications with our lender partners that resulted in reduced monthly mortgage loan repayment amounts either</w:t>
      </w:r>
    </w:p>
    <w:p>
      <w:pPr>
        <w:spacing w:after="0" w:line="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459" w:right="23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through reductions of the underlying loans’ interest rates and/or through a lengthening of the loans’ principal amortization period. The loans that are subject to workouts and loan modifications that were completed could be subject to potential re-default by the underlying borrower at some future date. In addition, pre-sales and other non-cure workouts resulted in a reduction of loss exposure of approximately $28 million for the six months ended June 30, 2010 compared to $21 million for the six months ended June 30, 2009. As a result of investigation activities on certain insured delinquent loans, we found significant levels of misrepresentation and non-compliance with certain terms and conditions of our underlying master insurance policies, as well as fraud. These findings separately resulted in rescission actions that reduced our loss exposure at the time of rescission by approximately $155 million for the six months ended June 30, 2010 compared to $215 million for the six months ended June 30, 2009. Benefits from loss mitigation activities are shifting from rescissions to loan modifications where we expect a majority of our benefits to be achieved going forward. During 2010, we reached agreements with a servicer and a counterparty that further reduced our risk in-force exposure. Our investigations process and rescission actions, along with expanded loan modification efforts supported by various related lender and government programs, have benefited our results significantly and these benefits are expected to continue. At the same time, we continue to discuss with lenders any concerns with respect to our rescission practices and risk exposures in books of business. Going forward, however, there is no assurance regarding what specific level of benefits may result from modification, rescission or settlement activity. In addition, there are several programs related to the U.S. housing market being implemented by the U.S. government, GSEs, servicers and various lenders that we expect will mitigate losses on loans we insure. We are actively participating in and supporting these various programs. These programs are expected to limit increases in paid claims and we continue to pursue ways to support mortgage servicers in their efforts to increase the benefits from loss mitigation activities.</w:t>
      </w:r>
    </w:p>
    <w:p>
      <w:pPr>
        <w:spacing w:after="0" w:line="126" w:lineRule="exact"/>
        <w:rPr>
          <w:sz w:val="20"/>
          <w:szCs w:val="20"/>
          <w:color w:val="auto"/>
        </w:rPr>
      </w:pPr>
    </w:p>
    <w:p>
      <w:pPr>
        <w:ind w:right="160" w:firstLine="456"/>
        <w:spacing w:after="0" w:line="288" w:lineRule="auto"/>
        <w:rPr>
          <w:sz w:val="20"/>
          <w:szCs w:val="20"/>
          <w:color w:val="auto"/>
        </w:rPr>
      </w:pPr>
      <w:r>
        <w:rPr>
          <w:rFonts w:ascii="Arial" w:cs="Arial" w:eastAsia="Arial" w:hAnsi="Arial"/>
          <w:sz w:val="16"/>
          <w:szCs w:val="16"/>
          <w:color w:val="auto"/>
        </w:rPr>
        <w:t>We also participate in reinsurance programs in which we share portions of our premiums associated with flow insurance written on loans originated or purchased by lenders with captive insurance entities of these lenders in exchange for an agreed upon level of loss coverage above a specified attachment point. For the six months ended June 30, 2010, we recorded reinsurance recoveries of $89 million where cumulative losses have exceeded the attachment points in captive reinsurance arrangements, primarily related to our 2005, 2006 and 2007 book years. We have exhausted certain captive reinsurance tiers for these book years based on loss development trends. Once the captive reinsurance or trust assets are exhausted, we are responsible for additional losses incurred. We have begun to experience constraints on the recognition of captive benefit recovery due to the amount of funds held in certain captive trusts and the exhaustion of captive loss tiers for certain reinsurers. As of January 1, 2009, we no longer participate in excess loss of captive reinsurance transactions and we will only participate in quota share reinsurance arrangements. The majority of our excess of loss captive reinsurance arrangements are in runoff with no new books of business being added going forward; however, we will continue to benefit from captive reinsurance on our 2005, 2006 and 2007 book years.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Results of Operations</w:t>
      </w:r>
    </w:p>
    <w:p>
      <w:pPr>
        <w:spacing w:after="0" w:line="96" w:lineRule="exact"/>
        <w:rPr>
          <w:sz w:val="20"/>
          <w:szCs w:val="20"/>
          <w:color w:val="auto"/>
        </w:rPr>
      </w:pPr>
    </w:p>
    <w:p>
      <w:pPr>
        <w:ind w:right="180" w:firstLine="456"/>
        <w:spacing w:after="0" w:line="332" w:lineRule="auto"/>
        <w:rPr>
          <w:sz w:val="20"/>
          <w:szCs w:val="20"/>
          <w:color w:val="auto"/>
        </w:rPr>
      </w:pPr>
      <w:r>
        <w:rPr>
          <w:rFonts w:ascii="Arial" w:cs="Arial" w:eastAsia="Arial" w:hAnsi="Arial"/>
          <w:sz w:val="16"/>
          <w:szCs w:val="16"/>
          <w:color w:val="auto"/>
        </w:rPr>
        <w:t>The following is a discussion of our consolidated results of operations and should be read in conjunction with “—Business trends and conditions.” For a discussion of our segment results, see “—Results of Operations and Selected Financial and Operating Performance Measures by Segment.”</w:t>
      </w:r>
    </w:p>
    <w:p>
      <w:pPr>
        <w:spacing w:after="0" w:line="7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340"/>
          </w:cols>
          <w:pgMar w:left="240" w:top="459" w:right="31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2010 Compared to Three Months Ended June 30, 2009</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consolidated results of operations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gridSpan w:val="2"/>
          </w:tcPr>
          <w:p>
            <w:pPr>
              <w:jc w:val="center"/>
              <w:ind w:left="196"/>
              <w:spacing w:after="0"/>
              <w:rPr>
                <w:sz w:val="20"/>
                <w:szCs w:val="20"/>
                <w:color w:val="auto"/>
              </w:rPr>
            </w:pPr>
            <w:r>
              <w:rPr>
                <w:rFonts w:ascii="Arial" w:cs="Arial" w:eastAsia="Arial" w:hAnsi="Arial"/>
                <w:sz w:val="14"/>
                <w:szCs w:val="14"/>
                <w:b w:val="1"/>
                <w:bCs w:val="1"/>
                <w:color w:val="auto"/>
                <w:w w:val="84"/>
              </w:rPr>
              <w:t>Increase</w:t>
            </w:r>
          </w:p>
        </w:tc>
        <w:tc>
          <w:tcPr>
            <w:tcW w:w="3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2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80" w:type="dxa"/>
            <w:vAlign w:val="bottom"/>
            <w:gridSpan w:val="5"/>
          </w:tcPr>
          <w:p>
            <w:pPr>
              <w:jc w:val="right"/>
              <w:ind w:right="720"/>
              <w:spacing w:after="0" w:line="149" w:lineRule="exact"/>
              <w:rPr>
                <w:sz w:val="20"/>
                <w:szCs w:val="20"/>
                <w:color w:val="auto"/>
              </w:rPr>
            </w:pPr>
            <w:r>
              <w:rPr>
                <w:rFonts w:ascii="Arial" w:cs="Arial" w:eastAsia="Arial" w:hAnsi="Arial"/>
                <w:sz w:val="14"/>
                <w:szCs w:val="14"/>
                <w:b w:val="1"/>
                <w:bCs w:val="1"/>
                <w:color w:val="auto"/>
                <w:w w:val="90"/>
              </w:rPr>
              <w:t>Three months ended</w:t>
            </w:r>
          </w:p>
        </w:tc>
        <w:tc>
          <w:tcPr>
            <w:tcW w:w="100" w:type="dxa"/>
            <w:vAlign w:val="bottom"/>
          </w:tcPr>
          <w:p>
            <w:pPr>
              <w:spacing w:after="0"/>
              <w:rPr>
                <w:sz w:val="12"/>
                <w:szCs w:val="12"/>
                <w:color w:val="auto"/>
              </w:rPr>
            </w:pPr>
          </w:p>
        </w:tc>
        <w:tc>
          <w:tcPr>
            <w:tcW w:w="1420" w:type="dxa"/>
            <w:vAlign w:val="bottom"/>
            <w:gridSpan w:val="4"/>
          </w:tcPr>
          <w:p>
            <w:pPr>
              <w:jc w:val="center"/>
              <w:ind w:right="360"/>
              <w:spacing w:after="0" w:line="149" w:lineRule="exact"/>
              <w:rPr>
                <w:sz w:val="20"/>
                <w:szCs w:val="20"/>
                <w:color w:val="auto"/>
              </w:rPr>
            </w:pPr>
            <w:r>
              <w:rPr>
                <w:rFonts w:ascii="Arial" w:cs="Arial" w:eastAsia="Arial" w:hAnsi="Arial"/>
                <w:sz w:val="14"/>
                <w:szCs w:val="14"/>
                <w:b w:val="1"/>
                <w:bCs w:val="1"/>
                <w:color w:val="auto"/>
                <w:w w:val="82"/>
              </w:rPr>
              <w:t>percentage</w:t>
            </w:r>
          </w:p>
        </w:tc>
        <w:tc>
          <w:tcPr>
            <w:tcW w:w="0" w:type="dxa"/>
            <w:vAlign w:val="bottom"/>
          </w:tcPr>
          <w:p>
            <w:pPr>
              <w:spacing w:after="0"/>
              <w:rPr>
                <w:sz w:val="1"/>
                <w:szCs w:val="1"/>
                <w:color w:val="auto"/>
              </w:rPr>
            </w:pPr>
          </w:p>
        </w:tc>
      </w:tr>
      <w:tr>
        <w:trPr>
          <w:trHeight w:val="161"/>
        </w:trPr>
        <w:tc>
          <w:tcPr>
            <w:tcW w:w="780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June 30,</w:t>
            </w: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change</w:t>
            </w:r>
          </w:p>
        </w:tc>
        <w:tc>
          <w:tcPr>
            <w:tcW w:w="36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800" w:type="dxa"/>
            <w:vAlign w:val="bottom"/>
            <w:gridSpan w:val="5"/>
            <w:vMerge w:val="continue"/>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54"/>
              <w:spacing w:after="0" w:line="142" w:lineRule="exact"/>
              <w:rPr>
                <w:sz w:val="20"/>
                <w:szCs w:val="20"/>
                <w:color w:val="auto"/>
              </w:rPr>
            </w:pPr>
            <w:r>
              <w:rPr>
                <w:rFonts w:ascii="Arial" w:cs="Arial" w:eastAsia="Arial" w:hAnsi="Arial"/>
                <w:sz w:val="14"/>
                <w:szCs w:val="14"/>
                <w:b w:val="1"/>
                <w:bCs w:val="1"/>
                <w:color w:val="auto"/>
                <w:w w:val="83"/>
              </w:rPr>
              <w:t>2010</w:t>
            </w: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3"/>
              <w:spacing w:after="0" w:line="142" w:lineRule="exact"/>
              <w:rPr>
                <w:sz w:val="20"/>
                <w:szCs w:val="20"/>
                <w:color w:val="auto"/>
              </w:rPr>
            </w:pPr>
            <w:r>
              <w:rPr>
                <w:rFonts w:ascii="Arial" w:cs="Arial" w:eastAsia="Arial" w:hAnsi="Arial"/>
                <w:sz w:val="14"/>
                <w:szCs w:val="14"/>
                <w:b w:val="1"/>
                <w:bCs w:val="1"/>
                <w:color w:val="auto"/>
                <w:w w:val="89"/>
              </w:rPr>
              <w:t>2009</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gridSpan w:val="3"/>
            <w:shd w:val="clear" w:color="auto" w:fill="CCEEFF"/>
          </w:tcPr>
          <w:p>
            <w:pPr>
              <w:spacing w:after="0"/>
              <w:rPr>
                <w:sz w:val="20"/>
                <w:szCs w:val="20"/>
                <w:color w:val="auto"/>
              </w:rPr>
            </w:pPr>
            <w:r>
              <w:rPr>
                <w:rFonts w:ascii="Arial" w:cs="Arial" w:eastAsia="Arial" w:hAnsi="Arial"/>
                <w:sz w:val="18"/>
                <w:szCs w:val="18"/>
                <w:color w:val="auto"/>
              </w:rPr>
              <w:t>Revenues:</w:t>
            </w:r>
          </w:p>
        </w:tc>
        <w:tc>
          <w:tcPr>
            <w:tcW w:w="64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80" w:type="dxa"/>
            <w:vAlign w:val="bottom"/>
            <w:gridSpan w:val="4"/>
          </w:tcPr>
          <w:p>
            <w:pPr>
              <w:spacing w:after="0"/>
              <w:rPr>
                <w:sz w:val="20"/>
                <w:szCs w:val="20"/>
                <w:color w:val="auto"/>
              </w:rPr>
            </w:pPr>
            <w:r>
              <w:rPr>
                <w:rFonts w:ascii="Arial" w:cs="Arial" w:eastAsia="Arial" w:hAnsi="Arial"/>
                <w:sz w:val="18"/>
                <w:szCs w:val="18"/>
                <w:color w:val="auto"/>
              </w:rPr>
              <w:t>Premiums</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gridSpan w:val="2"/>
          </w:tcPr>
          <w:p>
            <w:pPr>
              <w:jc w:val="right"/>
              <w:ind w:right="452"/>
              <w:spacing w:after="0"/>
              <w:rPr>
                <w:sz w:val="20"/>
                <w:szCs w:val="20"/>
                <w:color w:val="auto"/>
              </w:rPr>
            </w:pPr>
            <w:r>
              <w:rPr>
                <w:rFonts w:ascii="Arial" w:cs="Arial" w:eastAsia="Arial" w:hAnsi="Arial"/>
                <w:sz w:val="18"/>
                <w:szCs w:val="18"/>
                <w:color w:val="auto"/>
                <w:w w:val="88"/>
              </w:rPr>
              <w:t>1,470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gridSpan w:val="2"/>
          </w:tcPr>
          <w:p>
            <w:pPr>
              <w:jc w:val="right"/>
              <w:ind w:right="500"/>
              <w:spacing w:after="0"/>
              <w:rPr>
                <w:sz w:val="20"/>
                <w:szCs w:val="20"/>
                <w:color w:val="auto"/>
              </w:rPr>
            </w:pPr>
            <w:r>
              <w:rPr>
                <w:rFonts w:ascii="Arial" w:cs="Arial" w:eastAsia="Arial" w:hAnsi="Arial"/>
                <w:sz w:val="18"/>
                <w:szCs w:val="18"/>
                <w:color w:val="auto"/>
                <w:w w:val="93"/>
              </w:rPr>
              <w:t>1,502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352"/>
              <w:spacing w:after="0"/>
              <w:rPr>
                <w:sz w:val="20"/>
                <w:szCs w:val="20"/>
                <w:color w:val="auto"/>
              </w:rPr>
            </w:pPr>
            <w:r>
              <w:rPr>
                <w:rFonts w:ascii="Arial" w:cs="Arial" w:eastAsia="Arial" w:hAnsi="Arial"/>
                <w:sz w:val="18"/>
                <w:szCs w:val="18"/>
                <w:color w:val="auto"/>
              </w:rPr>
              <w:t>(32)</w:t>
            </w: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823</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781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4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80" w:type="dxa"/>
            <w:vAlign w:val="bottom"/>
            <w:gridSpan w:val="4"/>
          </w:tcPr>
          <w:p>
            <w:pPr>
              <w:spacing w:after="0"/>
              <w:rPr>
                <w:sz w:val="20"/>
                <w:szCs w:val="20"/>
                <w:color w:val="auto"/>
              </w:rPr>
            </w:pPr>
            <w:r>
              <w:rPr>
                <w:rFonts w:ascii="Arial" w:cs="Arial" w:eastAsia="Arial" w:hAnsi="Arial"/>
                <w:sz w:val="18"/>
                <w:szCs w:val="18"/>
                <w:color w:val="auto"/>
              </w:rPr>
              <w:t>Net investment gains (losses)</w:t>
            </w:r>
          </w:p>
        </w:tc>
        <w:tc>
          <w:tcPr>
            <w:tcW w:w="120" w:type="dxa"/>
            <w:vAlign w:val="bottom"/>
          </w:tcPr>
          <w:p>
            <w:pPr>
              <w:spacing w:after="0"/>
              <w:rPr>
                <w:sz w:val="18"/>
                <w:szCs w:val="18"/>
                <w:color w:val="auto"/>
              </w:rPr>
            </w:pPr>
          </w:p>
        </w:tc>
        <w:tc>
          <w:tcPr>
            <w:tcW w:w="940" w:type="dxa"/>
            <w:vAlign w:val="bottom"/>
            <w:gridSpan w:val="2"/>
          </w:tcPr>
          <w:p>
            <w:pPr>
              <w:jc w:val="right"/>
              <w:ind w:right="392"/>
              <w:spacing w:after="0"/>
              <w:rPr>
                <w:sz w:val="20"/>
                <w:szCs w:val="20"/>
                <w:color w:val="auto"/>
              </w:rPr>
            </w:pPr>
            <w:r>
              <w:rPr>
                <w:rFonts w:ascii="Arial" w:cs="Arial" w:eastAsia="Arial" w:hAnsi="Arial"/>
                <w:sz w:val="18"/>
                <w:szCs w:val="18"/>
                <w:color w:val="auto"/>
              </w:rPr>
              <w:t>(139)</w:t>
            </w:r>
          </w:p>
        </w:tc>
        <w:tc>
          <w:tcPr>
            <w:tcW w:w="100" w:type="dxa"/>
            <w:vAlign w:val="bottom"/>
          </w:tcPr>
          <w:p>
            <w:pPr>
              <w:spacing w:after="0"/>
              <w:rPr>
                <w:sz w:val="18"/>
                <w:szCs w:val="18"/>
                <w:color w:val="auto"/>
              </w:rPr>
            </w:pPr>
          </w:p>
        </w:tc>
        <w:tc>
          <w:tcPr>
            <w:tcW w:w="940" w:type="dxa"/>
            <w:vAlign w:val="bottom"/>
            <w:gridSpan w:val="2"/>
          </w:tcPr>
          <w:p>
            <w:pPr>
              <w:jc w:val="right"/>
              <w:ind w:right="440"/>
              <w:spacing w:after="0"/>
              <w:rPr>
                <w:sz w:val="20"/>
                <w:szCs w:val="20"/>
                <w:color w:val="auto"/>
              </w:rPr>
            </w:pPr>
            <w:r>
              <w:rPr>
                <w:rFonts w:ascii="Arial" w:cs="Arial" w:eastAsia="Arial" w:hAnsi="Arial"/>
                <w:sz w:val="18"/>
                <w:szCs w:val="18"/>
                <w:color w:val="auto"/>
              </w:rPr>
              <w:t>(53)</w:t>
            </w:r>
          </w:p>
        </w:tc>
        <w:tc>
          <w:tcPr>
            <w:tcW w:w="100" w:type="dxa"/>
            <w:vAlign w:val="bottom"/>
          </w:tcPr>
          <w:p>
            <w:pPr>
              <w:spacing w:after="0"/>
              <w:rPr>
                <w:sz w:val="18"/>
                <w:szCs w:val="18"/>
                <w:color w:val="auto"/>
              </w:rPr>
            </w:pPr>
          </w:p>
        </w:tc>
        <w:tc>
          <w:tcPr>
            <w:tcW w:w="800" w:type="dxa"/>
            <w:vAlign w:val="bottom"/>
            <w:gridSpan w:val="2"/>
          </w:tcPr>
          <w:p>
            <w:pPr>
              <w:jc w:val="right"/>
              <w:ind w:right="352"/>
              <w:spacing w:after="0"/>
              <w:rPr>
                <w:sz w:val="20"/>
                <w:szCs w:val="20"/>
                <w:color w:val="auto"/>
              </w:rPr>
            </w:pPr>
            <w:r>
              <w:rPr>
                <w:rFonts w:ascii="Arial" w:cs="Arial" w:eastAsia="Arial" w:hAnsi="Arial"/>
                <w:sz w:val="18"/>
                <w:szCs w:val="18"/>
                <w:color w:val="auto"/>
              </w:rPr>
              <w:t>(86)</w:t>
            </w: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w w:val="92"/>
              </w:rPr>
              <w:t>(162)%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256</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253</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4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520" w:type="dxa"/>
            <w:vAlign w:val="bottom"/>
            <w:gridSpan w:val="3"/>
            <w:vMerge w:val="restart"/>
          </w:tcPr>
          <w:p>
            <w:pPr>
              <w:ind w:left="160"/>
              <w:spacing w:after="0"/>
              <w:rPr>
                <w:sz w:val="20"/>
                <w:szCs w:val="20"/>
                <w:color w:val="auto"/>
              </w:rPr>
            </w:pPr>
            <w:r>
              <w:rPr>
                <w:rFonts w:ascii="Arial" w:cs="Arial" w:eastAsia="Arial" w:hAnsi="Arial"/>
                <w:sz w:val="18"/>
                <w:szCs w:val="18"/>
                <w:color w:val="auto"/>
              </w:rPr>
              <w:t>Total revenues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rPr>
              <w:t>(3)%</w:t>
            </w: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520" w:type="dxa"/>
            <w:vAlign w:val="bottom"/>
            <w:gridSpan w:val="3"/>
            <w:vMerge w:val="continue"/>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gridSpan w:val="2"/>
          </w:tcPr>
          <w:p>
            <w:pPr>
              <w:jc w:val="right"/>
              <w:ind w:right="452"/>
              <w:spacing w:after="0"/>
              <w:rPr>
                <w:sz w:val="20"/>
                <w:szCs w:val="20"/>
                <w:color w:val="auto"/>
              </w:rPr>
            </w:pPr>
            <w:r>
              <w:rPr>
                <w:rFonts w:ascii="Arial" w:cs="Arial" w:eastAsia="Arial" w:hAnsi="Arial"/>
                <w:sz w:val="18"/>
                <w:szCs w:val="18"/>
                <w:color w:val="auto"/>
                <w:w w:val="88"/>
              </w:rPr>
              <w:t>2,410</w:t>
            </w:r>
          </w:p>
        </w:tc>
        <w:tc>
          <w:tcPr>
            <w:tcW w:w="100" w:type="dxa"/>
            <w:vAlign w:val="bottom"/>
          </w:tcPr>
          <w:p>
            <w:pPr>
              <w:spacing w:after="0"/>
              <w:rPr>
                <w:sz w:val="20"/>
                <w:szCs w:val="20"/>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8"/>
                <w:szCs w:val="18"/>
                <w:color w:val="auto"/>
                <w:w w:val="93"/>
              </w:rPr>
              <w:t>2,483</w:t>
            </w:r>
          </w:p>
        </w:tc>
        <w:tc>
          <w:tcPr>
            <w:tcW w:w="100" w:type="dxa"/>
            <w:vAlign w:val="bottom"/>
          </w:tcPr>
          <w:p>
            <w:pPr>
              <w:spacing w:after="0"/>
              <w:rPr>
                <w:sz w:val="20"/>
                <w:szCs w:val="20"/>
                <w:color w:val="auto"/>
              </w:rPr>
            </w:pPr>
          </w:p>
        </w:tc>
        <w:tc>
          <w:tcPr>
            <w:tcW w:w="800" w:type="dxa"/>
            <w:vAlign w:val="bottom"/>
            <w:gridSpan w:val="2"/>
          </w:tcPr>
          <w:p>
            <w:pPr>
              <w:jc w:val="right"/>
              <w:ind w:right="352"/>
              <w:spacing w:after="0"/>
              <w:rPr>
                <w:sz w:val="20"/>
                <w:szCs w:val="20"/>
                <w:color w:val="auto"/>
              </w:rPr>
            </w:pPr>
            <w:r>
              <w:rPr>
                <w:rFonts w:ascii="Arial" w:cs="Arial" w:eastAsia="Arial" w:hAnsi="Arial"/>
                <w:sz w:val="18"/>
                <w:szCs w:val="18"/>
                <w:color w:val="auto"/>
              </w:rPr>
              <w:t>(73)</w:t>
            </w:r>
          </w:p>
        </w:tc>
        <w:tc>
          <w:tcPr>
            <w:tcW w:w="62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80" w:type="dxa"/>
            <w:vAlign w:val="bottom"/>
            <w:gridSpan w:val="4"/>
          </w:tcPr>
          <w:p>
            <w:pPr>
              <w:spacing w:after="0"/>
              <w:rPr>
                <w:sz w:val="20"/>
                <w:szCs w:val="20"/>
                <w:color w:val="auto"/>
              </w:rPr>
            </w:pPr>
            <w:r>
              <w:rPr>
                <w:rFonts w:ascii="Arial" w:cs="Arial" w:eastAsia="Arial" w:hAnsi="Arial"/>
                <w:sz w:val="18"/>
                <w:szCs w:val="18"/>
                <w:color w:val="auto"/>
              </w:rPr>
              <w:t>Benefits and other changes in policy reserves</w:t>
            </w:r>
          </w:p>
        </w:tc>
        <w:tc>
          <w:tcPr>
            <w:tcW w:w="120" w:type="dxa"/>
            <w:vAlign w:val="bottom"/>
          </w:tcPr>
          <w:p>
            <w:pPr>
              <w:spacing w:after="0"/>
              <w:rPr>
                <w:sz w:val="18"/>
                <w:szCs w:val="18"/>
                <w:color w:val="auto"/>
              </w:rPr>
            </w:pPr>
          </w:p>
        </w:tc>
        <w:tc>
          <w:tcPr>
            <w:tcW w:w="940" w:type="dxa"/>
            <w:vAlign w:val="bottom"/>
            <w:gridSpan w:val="2"/>
          </w:tcPr>
          <w:p>
            <w:pPr>
              <w:jc w:val="right"/>
              <w:ind w:right="452"/>
              <w:spacing w:after="0"/>
              <w:rPr>
                <w:sz w:val="20"/>
                <w:szCs w:val="20"/>
                <w:color w:val="auto"/>
              </w:rPr>
            </w:pPr>
            <w:r>
              <w:rPr>
                <w:rFonts w:ascii="Arial" w:cs="Arial" w:eastAsia="Arial" w:hAnsi="Arial"/>
                <w:sz w:val="18"/>
                <w:szCs w:val="18"/>
                <w:color w:val="auto"/>
                <w:w w:val="88"/>
              </w:rPr>
              <w:t>1,340</w:t>
            </w:r>
          </w:p>
        </w:tc>
        <w:tc>
          <w:tcPr>
            <w:tcW w:w="100" w:type="dxa"/>
            <w:vAlign w:val="bottom"/>
          </w:tcPr>
          <w:p>
            <w:pPr>
              <w:spacing w:after="0"/>
              <w:rPr>
                <w:sz w:val="18"/>
                <w:szCs w:val="18"/>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8"/>
                <w:szCs w:val="18"/>
                <w:color w:val="auto"/>
                <w:w w:val="93"/>
              </w:rPr>
              <w:t>1,492</w:t>
            </w:r>
          </w:p>
        </w:tc>
        <w:tc>
          <w:tcPr>
            <w:tcW w:w="100" w:type="dxa"/>
            <w:vAlign w:val="bottom"/>
          </w:tcPr>
          <w:p>
            <w:pPr>
              <w:spacing w:after="0"/>
              <w:rPr>
                <w:sz w:val="18"/>
                <w:szCs w:val="18"/>
                <w:color w:val="auto"/>
              </w:rPr>
            </w:pPr>
          </w:p>
        </w:tc>
        <w:tc>
          <w:tcPr>
            <w:tcW w:w="800" w:type="dxa"/>
            <w:vAlign w:val="bottom"/>
            <w:gridSpan w:val="2"/>
          </w:tcPr>
          <w:p>
            <w:pPr>
              <w:jc w:val="right"/>
              <w:ind w:right="352"/>
              <w:spacing w:after="0"/>
              <w:rPr>
                <w:sz w:val="20"/>
                <w:szCs w:val="20"/>
                <w:color w:val="auto"/>
              </w:rPr>
            </w:pPr>
            <w:r>
              <w:rPr>
                <w:rFonts w:ascii="Arial" w:cs="Arial" w:eastAsia="Arial" w:hAnsi="Arial"/>
                <w:sz w:val="18"/>
                <w:szCs w:val="18"/>
                <w:color w:val="auto"/>
                <w:w w:val="85"/>
              </w:rPr>
              <w:t>(152)</w:t>
            </w: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Interest credited</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211</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263</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52"/>
              <w:spacing w:after="0"/>
              <w:rPr>
                <w:sz w:val="20"/>
                <w:szCs w:val="20"/>
                <w:color w:val="auto"/>
              </w:rPr>
            </w:pPr>
            <w:r>
              <w:rPr>
                <w:rFonts w:ascii="Arial" w:cs="Arial" w:eastAsia="Arial" w:hAnsi="Arial"/>
                <w:sz w:val="18"/>
                <w:szCs w:val="18"/>
                <w:color w:val="auto"/>
              </w:rPr>
              <w:t>(52)</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80" w:type="dxa"/>
            <w:vAlign w:val="bottom"/>
            <w:gridSpan w:val="4"/>
          </w:tcPr>
          <w:p>
            <w:pPr>
              <w:spacing w:after="0"/>
              <w:rPr>
                <w:sz w:val="20"/>
                <w:szCs w:val="20"/>
                <w:color w:val="auto"/>
              </w:rPr>
            </w:pPr>
            <w:r>
              <w:rPr>
                <w:rFonts w:ascii="Arial" w:cs="Arial" w:eastAsia="Arial" w:hAnsi="Arial"/>
                <w:sz w:val="18"/>
                <w:szCs w:val="18"/>
                <w:color w:val="auto"/>
              </w:rPr>
              <w:t>Acquisition and operating expenses, net of deferrals</w:t>
            </w:r>
          </w:p>
        </w:tc>
        <w:tc>
          <w:tcPr>
            <w:tcW w:w="120" w:type="dxa"/>
            <w:vAlign w:val="bottom"/>
          </w:tcPr>
          <w:p>
            <w:pPr>
              <w:spacing w:after="0"/>
              <w:rPr>
                <w:sz w:val="18"/>
                <w:szCs w:val="18"/>
                <w:color w:val="auto"/>
              </w:rPr>
            </w:pPr>
          </w:p>
        </w:tc>
        <w:tc>
          <w:tcPr>
            <w:tcW w:w="940" w:type="dxa"/>
            <w:vAlign w:val="bottom"/>
            <w:gridSpan w:val="2"/>
          </w:tcPr>
          <w:p>
            <w:pPr>
              <w:jc w:val="right"/>
              <w:ind w:right="452"/>
              <w:spacing w:after="0"/>
              <w:rPr>
                <w:sz w:val="20"/>
                <w:szCs w:val="20"/>
                <w:color w:val="auto"/>
              </w:rPr>
            </w:pPr>
            <w:r>
              <w:rPr>
                <w:rFonts w:ascii="Arial" w:cs="Arial" w:eastAsia="Arial" w:hAnsi="Arial"/>
                <w:sz w:val="18"/>
                <w:szCs w:val="18"/>
                <w:color w:val="auto"/>
              </w:rPr>
              <w:t>499</w:t>
            </w:r>
          </w:p>
        </w:tc>
        <w:tc>
          <w:tcPr>
            <w:tcW w:w="100" w:type="dxa"/>
            <w:vAlign w:val="bottom"/>
          </w:tcPr>
          <w:p>
            <w:pPr>
              <w:spacing w:after="0"/>
              <w:rPr>
                <w:sz w:val="18"/>
                <w:szCs w:val="18"/>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8"/>
                <w:szCs w:val="18"/>
                <w:color w:val="auto"/>
              </w:rPr>
              <w:t>456</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43</w:t>
            </w:r>
          </w:p>
        </w:tc>
        <w:tc>
          <w:tcPr>
            <w:tcW w:w="48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179</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212</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52"/>
              <w:spacing w:after="0"/>
              <w:rPr>
                <w:sz w:val="20"/>
                <w:szCs w:val="20"/>
                <w:color w:val="auto"/>
              </w:rPr>
            </w:pPr>
            <w:r>
              <w:rPr>
                <w:rFonts w:ascii="Arial" w:cs="Arial" w:eastAsia="Arial" w:hAnsi="Arial"/>
                <w:sz w:val="18"/>
                <w:szCs w:val="18"/>
                <w:color w:val="auto"/>
              </w:rPr>
              <w:t>(33)</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80" w:type="dxa"/>
            <w:vAlign w:val="bottom"/>
            <w:gridSpan w:val="4"/>
          </w:tcPr>
          <w:p>
            <w:pPr>
              <w:spacing w:after="0"/>
              <w:rPr>
                <w:sz w:val="20"/>
                <w:szCs w:val="20"/>
                <w:color w:val="auto"/>
              </w:rPr>
            </w:pPr>
            <w:r>
              <w:rPr>
                <w:rFonts w:ascii="Arial" w:cs="Arial" w:eastAsia="Arial" w:hAnsi="Arial"/>
                <w:sz w:val="18"/>
                <w:szCs w:val="18"/>
                <w:color w:val="auto"/>
              </w:rPr>
              <w:t>Interest expense</w:t>
            </w:r>
          </w:p>
        </w:tc>
        <w:tc>
          <w:tcPr>
            <w:tcW w:w="120" w:type="dxa"/>
            <w:vAlign w:val="bottom"/>
          </w:tcPr>
          <w:p>
            <w:pPr>
              <w:spacing w:after="0"/>
              <w:rPr>
                <w:sz w:val="18"/>
                <w:szCs w:val="18"/>
                <w:color w:val="auto"/>
              </w:rPr>
            </w:pPr>
          </w:p>
        </w:tc>
        <w:tc>
          <w:tcPr>
            <w:tcW w:w="940" w:type="dxa"/>
            <w:vAlign w:val="bottom"/>
            <w:gridSpan w:val="2"/>
          </w:tcPr>
          <w:p>
            <w:pPr>
              <w:jc w:val="right"/>
              <w:ind w:right="452"/>
              <w:spacing w:after="0"/>
              <w:rPr>
                <w:sz w:val="20"/>
                <w:szCs w:val="20"/>
                <w:color w:val="auto"/>
              </w:rPr>
            </w:pPr>
            <w:r>
              <w:rPr>
                <w:rFonts w:ascii="Arial" w:cs="Arial" w:eastAsia="Arial" w:hAnsi="Arial"/>
                <w:sz w:val="18"/>
                <w:szCs w:val="18"/>
                <w:color w:val="auto"/>
              </w:rPr>
              <w:t>109</w:t>
            </w:r>
          </w:p>
        </w:tc>
        <w:tc>
          <w:tcPr>
            <w:tcW w:w="100" w:type="dxa"/>
            <w:vAlign w:val="bottom"/>
          </w:tcPr>
          <w:p>
            <w:pPr>
              <w:spacing w:after="0"/>
              <w:rPr>
                <w:sz w:val="18"/>
                <w:szCs w:val="18"/>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18"/>
                <w:szCs w:val="18"/>
                <w:color w:val="auto"/>
              </w:rPr>
            </w:pPr>
          </w:p>
        </w:tc>
        <w:tc>
          <w:tcPr>
            <w:tcW w:w="800" w:type="dxa"/>
            <w:vAlign w:val="bottom"/>
            <w:gridSpan w:val="2"/>
          </w:tcPr>
          <w:p>
            <w:pPr>
              <w:jc w:val="right"/>
              <w:ind w:right="352"/>
              <w:spacing w:after="0"/>
              <w:rPr>
                <w:sz w:val="20"/>
                <w:szCs w:val="20"/>
                <w:color w:val="auto"/>
              </w:rPr>
            </w:pPr>
            <w:r>
              <w:rPr>
                <w:rFonts w:ascii="Arial" w:cs="Arial" w:eastAsia="Arial" w:hAnsi="Arial"/>
                <w:sz w:val="18"/>
                <w:szCs w:val="18"/>
                <w:color w:val="auto"/>
              </w:rPr>
              <w:t>(5)</w:t>
            </w: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80" w:type="dxa"/>
            <w:vAlign w:val="bottom"/>
          </w:tcPr>
          <w:p>
            <w:pPr>
              <w:spacing w:after="0"/>
              <w:rPr>
                <w:sz w:val="2"/>
                <w:szCs w:val="2"/>
                <w:color w:val="auto"/>
              </w:rPr>
            </w:pPr>
          </w:p>
        </w:tc>
        <w:tc>
          <w:tcPr>
            <w:tcW w:w="64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52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Total benefits and expenses</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w w:val="88"/>
              </w:rPr>
              <w:t>2,338</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93"/>
              </w:rPr>
              <w:t>2,537</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52"/>
              <w:spacing w:after="0"/>
              <w:rPr>
                <w:sz w:val="20"/>
                <w:szCs w:val="20"/>
                <w:color w:val="auto"/>
              </w:rPr>
            </w:pPr>
            <w:r>
              <w:rPr>
                <w:rFonts w:ascii="Arial" w:cs="Arial" w:eastAsia="Arial" w:hAnsi="Arial"/>
                <w:sz w:val="18"/>
                <w:szCs w:val="18"/>
                <w:color w:val="auto"/>
                <w:w w:val="85"/>
              </w:rPr>
              <w:t>(199)</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7800" w:type="dxa"/>
            <w:vAlign w:val="bottom"/>
            <w:gridSpan w:val="5"/>
            <w:vMerge w:val="restart"/>
          </w:tcPr>
          <w:p>
            <w:pPr>
              <w:spacing w:after="0"/>
              <w:rPr>
                <w:sz w:val="20"/>
                <w:szCs w:val="20"/>
                <w:color w:val="auto"/>
              </w:rPr>
            </w:pPr>
            <w:r>
              <w:rPr>
                <w:rFonts w:ascii="Arial" w:cs="Arial" w:eastAsia="Arial" w:hAnsi="Arial"/>
                <w:sz w:val="18"/>
                <w:szCs w:val="18"/>
                <w:color w:val="auto"/>
              </w:rPr>
              <w:t>Income (loss) before income taxes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line="20" w:lineRule="exact"/>
              <w:rPr>
                <w:sz w:val="1"/>
                <w:szCs w:val="1"/>
                <w:color w:val="auto"/>
              </w:rPr>
            </w:pPr>
          </w:p>
        </w:tc>
      </w:tr>
      <w:tr>
        <w:trPr>
          <w:trHeight w:val="221"/>
        </w:trPr>
        <w:tc>
          <w:tcPr>
            <w:tcW w:w="7800" w:type="dxa"/>
            <w:vAlign w:val="bottom"/>
            <w:gridSpan w:val="5"/>
            <w:vMerge w:val="continue"/>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gridSpan w:val="2"/>
          </w:tcPr>
          <w:p>
            <w:pPr>
              <w:jc w:val="right"/>
              <w:ind w:right="452"/>
              <w:spacing w:after="0"/>
              <w:rPr>
                <w:sz w:val="20"/>
                <w:szCs w:val="20"/>
                <w:color w:val="auto"/>
              </w:rPr>
            </w:pPr>
            <w:r>
              <w:rPr>
                <w:rFonts w:ascii="Arial" w:cs="Arial" w:eastAsia="Arial" w:hAnsi="Arial"/>
                <w:sz w:val="18"/>
                <w:szCs w:val="18"/>
                <w:color w:val="auto"/>
              </w:rPr>
              <w:t>72</w:t>
            </w:r>
          </w:p>
        </w:tc>
        <w:tc>
          <w:tcPr>
            <w:tcW w:w="100" w:type="dxa"/>
            <w:vAlign w:val="bottom"/>
          </w:tcPr>
          <w:p>
            <w:pPr>
              <w:spacing w:after="0"/>
              <w:rPr>
                <w:sz w:val="19"/>
                <w:szCs w:val="19"/>
                <w:color w:val="auto"/>
              </w:rPr>
            </w:pPr>
          </w:p>
        </w:tc>
        <w:tc>
          <w:tcPr>
            <w:tcW w:w="940" w:type="dxa"/>
            <w:vAlign w:val="bottom"/>
            <w:gridSpan w:val="2"/>
          </w:tcPr>
          <w:p>
            <w:pPr>
              <w:jc w:val="right"/>
              <w:ind w:right="440"/>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99"/>
              </w:rPr>
              <w:t>126</w:t>
            </w:r>
          </w:p>
        </w:tc>
        <w:tc>
          <w:tcPr>
            <w:tcW w:w="480" w:type="dxa"/>
            <w:vAlign w:val="bottom"/>
          </w:tcPr>
          <w:p>
            <w:pPr>
              <w:spacing w:after="0"/>
              <w:rPr>
                <w:sz w:val="19"/>
                <w:szCs w:val="19"/>
                <w:color w:val="auto"/>
              </w:rPr>
            </w:pPr>
          </w:p>
        </w:tc>
        <w:tc>
          <w:tcPr>
            <w:tcW w:w="6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Benefit for income taxes</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92"/>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52"/>
              <w:spacing w:after="0"/>
              <w:rPr>
                <w:sz w:val="20"/>
                <w:szCs w:val="20"/>
                <w:color w:val="auto"/>
              </w:rPr>
            </w:pPr>
            <w:r>
              <w:rPr>
                <w:rFonts w:ascii="Arial" w:cs="Arial" w:eastAsia="Arial" w:hAnsi="Arial"/>
                <w:sz w:val="18"/>
                <w:szCs w:val="18"/>
                <w:color w:val="auto"/>
              </w:rPr>
              <w:t>(1)</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0"/>
        </w:trPr>
        <w:tc>
          <w:tcPr>
            <w:tcW w:w="7800" w:type="dxa"/>
            <w:vAlign w:val="bottom"/>
            <w:gridSpan w:val="5"/>
            <w:vMerge w:val="restart"/>
          </w:tcPr>
          <w:p>
            <w:pPr>
              <w:spacing w:after="0"/>
              <w:rPr>
                <w:sz w:val="20"/>
                <w:szCs w:val="20"/>
                <w:color w:val="auto"/>
              </w:rPr>
            </w:pPr>
            <w:r>
              <w:rPr>
                <w:rFonts w:ascii="Arial" w:cs="Arial" w:eastAsia="Arial" w:hAnsi="Arial"/>
                <w:sz w:val="18"/>
                <w:szCs w:val="18"/>
                <w:color w:val="auto"/>
              </w:rPr>
              <w:t>Net income (loss)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line="20" w:lineRule="exact"/>
              <w:rPr>
                <w:sz w:val="1"/>
                <w:szCs w:val="1"/>
                <w:color w:val="auto"/>
              </w:rPr>
            </w:pPr>
          </w:p>
        </w:tc>
      </w:tr>
      <w:tr>
        <w:trPr>
          <w:trHeight w:val="221"/>
        </w:trPr>
        <w:tc>
          <w:tcPr>
            <w:tcW w:w="7800" w:type="dxa"/>
            <w:vAlign w:val="bottom"/>
            <w:gridSpan w:val="5"/>
            <w:vMerge w:val="continue"/>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gridSpan w:val="2"/>
          </w:tcPr>
          <w:p>
            <w:pPr>
              <w:jc w:val="right"/>
              <w:ind w:right="452"/>
              <w:spacing w:after="0"/>
              <w:rPr>
                <w:sz w:val="20"/>
                <w:szCs w:val="20"/>
                <w:color w:val="auto"/>
              </w:rPr>
            </w:pPr>
            <w:r>
              <w:rPr>
                <w:rFonts w:ascii="Arial" w:cs="Arial" w:eastAsia="Arial" w:hAnsi="Arial"/>
                <w:sz w:val="18"/>
                <w:szCs w:val="18"/>
                <w:color w:val="auto"/>
              </w:rPr>
              <w:t>77</w:t>
            </w:r>
          </w:p>
        </w:tc>
        <w:tc>
          <w:tcPr>
            <w:tcW w:w="100" w:type="dxa"/>
            <w:vAlign w:val="bottom"/>
          </w:tcPr>
          <w:p>
            <w:pPr>
              <w:spacing w:after="0"/>
              <w:rPr>
                <w:sz w:val="19"/>
                <w:szCs w:val="19"/>
                <w:color w:val="auto"/>
              </w:rPr>
            </w:pPr>
          </w:p>
        </w:tc>
        <w:tc>
          <w:tcPr>
            <w:tcW w:w="940" w:type="dxa"/>
            <w:vAlign w:val="bottom"/>
            <w:gridSpan w:val="2"/>
          </w:tcPr>
          <w:p>
            <w:pPr>
              <w:jc w:val="right"/>
              <w:ind w:right="440"/>
              <w:spacing w:after="0"/>
              <w:rPr>
                <w:sz w:val="20"/>
                <w:szCs w:val="20"/>
                <w:color w:val="auto"/>
              </w:rPr>
            </w:pPr>
            <w:r>
              <w:rPr>
                <w:rFonts w:ascii="Arial" w:cs="Arial" w:eastAsia="Arial" w:hAnsi="Arial"/>
                <w:sz w:val="18"/>
                <w:szCs w:val="18"/>
                <w:color w:val="auto"/>
              </w:rPr>
              <w:t>(50)</w:t>
            </w:r>
          </w:p>
        </w:tc>
        <w:tc>
          <w:tcPr>
            <w:tcW w:w="1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99"/>
              </w:rPr>
              <w:t>127</w:t>
            </w:r>
          </w:p>
        </w:tc>
        <w:tc>
          <w:tcPr>
            <w:tcW w:w="480" w:type="dxa"/>
            <w:vAlign w:val="bottom"/>
          </w:tcPr>
          <w:p>
            <w:pPr>
              <w:spacing w:after="0"/>
              <w:rPr>
                <w:sz w:val="19"/>
                <w:szCs w:val="19"/>
                <w:color w:val="auto"/>
              </w:rPr>
            </w:pPr>
          </w:p>
        </w:tc>
        <w:tc>
          <w:tcPr>
            <w:tcW w:w="6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35</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4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0"/>
        </w:trPr>
        <w:tc>
          <w:tcPr>
            <w:tcW w:w="7800" w:type="dxa"/>
            <w:vAlign w:val="bottom"/>
            <w:gridSpan w:val="5"/>
            <w:vMerge w:val="restart"/>
          </w:tcPr>
          <w:p>
            <w:pPr>
              <w:spacing w:after="0"/>
              <w:rPr>
                <w:sz w:val="20"/>
                <w:szCs w:val="20"/>
                <w:color w:val="auto"/>
              </w:rPr>
            </w:pPr>
            <w:r>
              <w:rPr>
                <w:rFonts w:ascii="Arial" w:cs="Arial" w:eastAsia="Arial" w:hAnsi="Arial"/>
                <w:sz w:val="18"/>
                <w:szCs w:val="18"/>
                <w:color w:val="auto"/>
              </w:rPr>
              <w:t>Net income (loss) available to Genworth Financial, Inc.’s common stockholders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184%</w:t>
            </w:r>
          </w:p>
        </w:tc>
        <w:tc>
          <w:tcPr>
            <w:tcW w:w="0" w:type="dxa"/>
            <w:vAlign w:val="bottom"/>
          </w:tcPr>
          <w:p>
            <w:pPr>
              <w:spacing w:after="0" w:line="20" w:lineRule="exact"/>
              <w:rPr>
                <w:sz w:val="1"/>
                <w:szCs w:val="1"/>
                <w:color w:val="auto"/>
              </w:rPr>
            </w:pPr>
          </w:p>
        </w:tc>
      </w:tr>
      <w:tr>
        <w:trPr>
          <w:trHeight w:val="222"/>
        </w:trPr>
        <w:tc>
          <w:tcPr>
            <w:tcW w:w="7800" w:type="dxa"/>
            <w:vAlign w:val="bottom"/>
            <w:gridSpan w:val="5"/>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gridSpan w:val="2"/>
          </w:tcPr>
          <w:p>
            <w:pPr>
              <w:jc w:val="right"/>
              <w:ind w:right="452"/>
              <w:spacing w:after="0"/>
              <w:rPr>
                <w:sz w:val="20"/>
                <w:szCs w:val="20"/>
                <w:color w:val="auto"/>
              </w:rPr>
            </w:pPr>
            <w:r>
              <w:rPr>
                <w:rFonts w:ascii="Arial" w:cs="Arial" w:eastAsia="Arial" w:hAnsi="Arial"/>
                <w:sz w:val="18"/>
                <w:szCs w:val="18"/>
                <w:color w:val="auto"/>
              </w:rPr>
              <w:t>42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gridSpan w:val="2"/>
          </w:tcPr>
          <w:p>
            <w:pPr>
              <w:jc w:val="right"/>
              <w:ind w:right="440"/>
              <w:spacing w:after="0"/>
              <w:rPr>
                <w:sz w:val="20"/>
                <w:szCs w:val="20"/>
                <w:color w:val="auto"/>
              </w:rPr>
            </w:pPr>
            <w:r>
              <w:rPr>
                <w:rFonts w:ascii="Arial" w:cs="Arial" w:eastAsia="Arial" w:hAnsi="Arial"/>
                <w:sz w:val="18"/>
                <w:szCs w:val="18"/>
                <w:color w:val="auto"/>
              </w:rPr>
              <w:t>(50)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320" w:type="dxa"/>
            <w:vAlign w:val="bottom"/>
          </w:tcPr>
          <w:p>
            <w:pPr>
              <w:jc w:val="right"/>
              <w:spacing w:after="0"/>
              <w:rPr>
                <w:sz w:val="20"/>
                <w:szCs w:val="20"/>
                <w:color w:val="auto"/>
              </w:rPr>
            </w:pPr>
            <w:r>
              <w:rPr>
                <w:rFonts w:ascii="Arial" w:cs="Arial" w:eastAsia="Arial" w:hAnsi="Arial"/>
                <w:sz w:val="18"/>
                <w:szCs w:val="18"/>
                <w:color w:val="auto"/>
              </w:rPr>
              <w:t>92</w:t>
            </w:r>
          </w:p>
        </w:tc>
        <w:tc>
          <w:tcPr>
            <w:tcW w:w="480" w:type="dxa"/>
            <w:vAlign w:val="bottom"/>
          </w:tcPr>
          <w:p>
            <w:pPr>
              <w:spacing w:after="0"/>
              <w:rPr>
                <w:sz w:val="19"/>
                <w:szCs w:val="19"/>
                <w:color w:val="auto"/>
              </w:rPr>
            </w:pPr>
          </w:p>
        </w:tc>
        <w:tc>
          <w:tcPr>
            <w:tcW w:w="6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vMerge w:val="restart"/>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880" w:type="dxa"/>
            <w:vAlign w:val="bottom"/>
            <w:tcBorders>
              <w:bottom w:val="single" w:sz="8" w:color="auto"/>
            </w:tcBorders>
          </w:tcPr>
          <w:p>
            <w:pPr>
              <w:spacing w:after="0"/>
              <w:rPr>
                <w:sz w:val="8"/>
                <w:szCs w:val="8"/>
                <w:color w:val="auto"/>
              </w:rPr>
            </w:pPr>
          </w:p>
        </w:tc>
        <w:tc>
          <w:tcPr>
            <w:tcW w:w="180" w:type="dxa"/>
            <w:vAlign w:val="bottom"/>
          </w:tcPr>
          <w:p>
            <w:pPr>
              <w:spacing w:after="0"/>
              <w:rPr>
                <w:sz w:val="8"/>
                <w:szCs w:val="8"/>
                <w:color w:val="auto"/>
              </w:rPr>
            </w:pPr>
          </w:p>
        </w:tc>
        <w:tc>
          <w:tcPr>
            <w:tcW w:w="6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420" w:type="dxa"/>
            <w:vAlign w:val="bottom"/>
          </w:tcPr>
          <w:p>
            <w:pPr>
              <w:spacing w:after="0"/>
              <w:rPr>
                <w:sz w:val="8"/>
                <w:szCs w:val="8"/>
                <w:color w:val="auto"/>
              </w:rPr>
            </w:pPr>
          </w:p>
        </w:tc>
        <w:tc>
          <w:tcPr>
            <w:tcW w:w="5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20" w:type="dxa"/>
            <w:vAlign w:val="bottom"/>
            <w:vMerge w:val="continue"/>
          </w:tcPr>
          <w:p>
            <w:pPr>
              <w:spacing w:after="0"/>
              <w:rPr>
                <w:sz w:val="11"/>
                <w:szCs w:val="11"/>
                <w:color w:val="auto"/>
              </w:rPr>
            </w:pPr>
          </w:p>
        </w:tc>
        <w:tc>
          <w:tcPr>
            <w:tcW w:w="260" w:type="dxa"/>
            <w:vAlign w:val="bottom"/>
          </w:tcPr>
          <w:p>
            <w:pPr>
              <w:spacing w:after="0"/>
              <w:rPr>
                <w:sz w:val="20"/>
                <w:szCs w:val="20"/>
                <w:color w:val="auto"/>
              </w:rPr>
            </w:pPr>
            <w:r>
              <w:rPr>
                <w:rFonts w:ascii="Arial" w:cs="Arial" w:eastAsia="Arial" w:hAnsi="Arial"/>
                <w:sz w:val="11"/>
                <w:szCs w:val="11"/>
                <w:color w:val="auto"/>
              </w:rPr>
              <w:t>(1)</w:t>
            </w:r>
          </w:p>
        </w:tc>
        <w:tc>
          <w:tcPr>
            <w:tcW w:w="7520" w:type="dxa"/>
            <w:vAlign w:val="bottom"/>
            <w:gridSpan w:val="3"/>
            <w:vMerge w:val="restart"/>
          </w:tcPr>
          <w:p>
            <w:pPr>
              <w:ind w:left="180"/>
              <w:spacing w:after="0"/>
              <w:rPr>
                <w:sz w:val="20"/>
                <w:szCs w:val="20"/>
                <w:color w:val="auto"/>
              </w:rPr>
            </w:pPr>
            <w:r>
              <w:rPr>
                <w:rFonts w:ascii="Arial" w:cs="Arial" w:eastAsia="Arial" w:hAnsi="Arial"/>
                <w:sz w:val="18"/>
                <w:szCs w:val="18"/>
                <w:color w:val="auto"/>
              </w:rPr>
              <w:t>We define “NM” as not meaningful for increases or decreases greater than 200%.</w:t>
            </w:r>
          </w:p>
        </w:tc>
        <w:tc>
          <w:tcPr>
            <w:tcW w:w="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260" w:type="dxa"/>
            <w:vAlign w:val="bottom"/>
          </w:tcPr>
          <w:p>
            <w:pPr>
              <w:spacing w:after="0"/>
              <w:rPr>
                <w:sz w:val="8"/>
                <w:szCs w:val="8"/>
                <w:color w:val="auto"/>
              </w:rPr>
            </w:pPr>
          </w:p>
        </w:tc>
        <w:tc>
          <w:tcPr>
            <w:tcW w:w="752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420" w:type="dxa"/>
            <w:vAlign w:val="bottom"/>
          </w:tcPr>
          <w:p>
            <w:pPr>
              <w:spacing w:after="0"/>
              <w:rPr>
                <w:sz w:val="8"/>
                <w:szCs w:val="8"/>
                <w:color w:val="auto"/>
              </w:rPr>
            </w:pPr>
          </w:p>
        </w:tc>
        <w:tc>
          <w:tcPr>
            <w:tcW w:w="5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56" w:lineRule="exact"/>
        <w:rPr>
          <w:sz w:val="20"/>
          <w:szCs w:val="20"/>
          <w:color w:val="auto"/>
        </w:rPr>
      </w:pPr>
    </w:p>
    <w:p>
      <w:pPr>
        <w:ind w:right="460" w:firstLine="456"/>
        <w:spacing w:after="0" w:line="332" w:lineRule="auto"/>
        <w:rPr>
          <w:sz w:val="20"/>
          <w:szCs w:val="20"/>
          <w:color w:val="auto"/>
        </w:rPr>
      </w:pPr>
      <w:r>
        <w:rPr>
          <w:rFonts w:ascii="Arial" w:cs="Arial" w:eastAsia="Arial" w:hAnsi="Arial"/>
          <w:sz w:val="16"/>
          <w:szCs w:val="16"/>
          <w:i w:val="1"/>
          <w:iCs w:val="1"/>
          <w:color w:val="auto"/>
        </w:rPr>
        <w:t xml:space="preserve">Premiums. </w:t>
      </w:r>
      <w:r>
        <w:rPr>
          <w:rFonts w:ascii="Arial" w:cs="Arial" w:eastAsia="Arial" w:hAnsi="Arial"/>
          <w:sz w:val="16"/>
          <w:szCs w:val="16"/>
          <w:color w:val="auto"/>
        </w:rPr>
        <w:t>Premiums consist primarily of premiums earned on insurance products for life, long-term care and Medicare supplement insurance, single</w:t>
      </w:r>
      <w:r>
        <w:rPr>
          <w:rFonts w:ascii="Arial" w:cs="Arial" w:eastAsia="Arial" w:hAnsi="Arial"/>
          <w:sz w:val="16"/>
          <w:szCs w:val="16"/>
          <w:i w:val="1"/>
          <w:iCs w:val="1"/>
          <w:color w:val="auto"/>
        </w:rPr>
        <w:t xml:space="preserve"> </w:t>
      </w:r>
      <w:r>
        <w:rPr>
          <w:rFonts w:ascii="Arial" w:cs="Arial" w:eastAsia="Arial" w:hAnsi="Arial"/>
          <w:sz w:val="16"/>
          <w:szCs w:val="16"/>
          <w:color w:val="auto"/>
        </w:rPr>
        <w:t>premium immediate annuities and structured settlements with life contingencies, lifestyle protection insurance and mortgage insurance.</w:t>
      </w:r>
    </w:p>
    <w:p>
      <w:pPr>
        <w:spacing w:after="0" w:line="4" w:lineRule="exact"/>
        <w:rPr>
          <w:sz w:val="20"/>
          <w:szCs w:val="20"/>
          <w:color w:val="auto"/>
        </w:rPr>
      </w:pPr>
    </w:p>
    <w:p>
      <w:pPr>
        <w:ind w:left="900" w:hanging="325"/>
        <w:spacing w:after="0" w:line="332" w:lineRule="auto"/>
        <w:tabs>
          <w:tab w:leader="none" w:pos="900" w:val="left"/>
        </w:tabs>
        <w:numPr>
          <w:ilvl w:val="0"/>
          <w:numId w:val="37"/>
        </w:numPr>
        <w:rPr>
          <w:rFonts w:ascii="Arial" w:cs="Arial" w:eastAsia="Arial" w:hAnsi="Arial"/>
          <w:sz w:val="16"/>
          <w:szCs w:val="16"/>
          <w:color w:val="auto"/>
        </w:rPr>
      </w:pPr>
      <w:r>
        <w:rPr>
          <w:rFonts w:ascii="Arial" w:cs="Arial" w:eastAsia="Arial" w:hAnsi="Arial"/>
          <w:sz w:val="16"/>
          <w:szCs w:val="16"/>
          <w:color w:val="auto"/>
        </w:rPr>
        <w:t>Our Retirement and Protection segment decreased $7 million primarily related to a $9 million decrease in our life insurance business and a $6 million decrease in our retirement income business, partially offset by an $8 million increase in our long-term care insurance business.</w:t>
      </w:r>
    </w:p>
    <w:p>
      <w:pPr>
        <w:spacing w:after="0" w:line="4" w:lineRule="exact"/>
        <w:rPr>
          <w:rFonts w:ascii="Arial" w:cs="Arial" w:eastAsia="Arial" w:hAnsi="Arial"/>
          <w:sz w:val="16"/>
          <w:szCs w:val="16"/>
          <w:color w:val="auto"/>
        </w:rPr>
      </w:pPr>
    </w:p>
    <w:p>
      <w:pPr>
        <w:ind w:left="900" w:right="40" w:hanging="325"/>
        <w:spacing w:after="0" w:line="259" w:lineRule="auto"/>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Our International segment decreased $13 million as a result of a decrease of $40 million in our lifestyle protection insurance business, partially offset by a $27 million increase in our international mortgage insurance business. The three months ended June 30, 2010 included an increase of $25 million attributable to changes in foreign exchange rates.</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Our U.S. Mortgage Insurance segment decreased $11 million.</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 xml:space="preserve">Net investment income. </w:t>
      </w:r>
      <w:r>
        <w:rPr>
          <w:rFonts w:ascii="Arial" w:cs="Arial" w:eastAsia="Arial" w:hAnsi="Arial"/>
          <w:sz w:val="18"/>
          <w:szCs w:val="18"/>
          <w:color w:val="auto"/>
        </w:rPr>
        <w:t>Net investment income represents the income earned on our investments.</w:t>
      </w:r>
    </w:p>
    <w:p>
      <w:pPr>
        <w:spacing w:after="0" w:line="90" w:lineRule="exact"/>
        <w:rPr>
          <w:sz w:val="20"/>
          <w:szCs w:val="20"/>
          <w:color w:val="auto"/>
        </w:rPr>
      </w:pPr>
    </w:p>
    <w:p>
      <w:pPr>
        <w:ind w:left="900" w:right="120" w:hanging="325"/>
        <w:spacing w:after="0" w:line="298" w:lineRule="auto"/>
        <w:tabs>
          <w:tab w:leader="none" w:pos="900" w:val="left"/>
        </w:tabs>
        <w:numPr>
          <w:ilvl w:val="0"/>
          <w:numId w:val="38"/>
        </w:numPr>
        <w:rPr>
          <w:rFonts w:ascii="Arial" w:cs="Arial" w:eastAsia="Arial" w:hAnsi="Arial"/>
          <w:sz w:val="16"/>
          <w:szCs w:val="16"/>
          <w:color w:val="auto"/>
        </w:rPr>
      </w:pPr>
      <w:r>
        <w:rPr>
          <w:rFonts w:ascii="Arial" w:cs="Arial" w:eastAsia="Arial" w:hAnsi="Arial"/>
          <w:sz w:val="16"/>
          <w:szCs w:val="16"/>
          <w:color w:val="auto"/>
        </w:rPr>
        <w:t>Weighted-average investment yields increased to 4.8% for the three months ended June 30, 2010 from 4.6% for the three months ended June 30, 2009. The increase in weighted-average investment yields was primarily attributable to lower losses on limited partnerships. Net investment income for the three months ended June 30, 2010 included $10 million of gains related to limited partnerships accounted for under the equity method as compared to $33 million of losses in the three months ended June 30, 2009.</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459" w:right="23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20" w:right="200"/>
        <w:spacing w:after="0" w:line="259" w:lineRule="auto"/>
        <w:rPr>
          <w:sz w:val="20"/>
          <w:szCs w:val="20"/>
          <w:color w:val="auto"/>
        </w:rPr>
      </w:pPr>
      <w:r>
        <w:rPr>
          <w:rFonts w:ascii="Arial" w:cs="Arial" w:eastAsia="Arial" w:hAnsi="Arial"/>
          <w:sz w:val="18"/>
          <w:szCs w:val="18"/>
          <w:color w:val="auto"/>
        </w:rPr>
        <w:t>Additionally, there was an increase in net investment income related to the consolidation of certain securitization entities as of January 1, 2010. These increases were partially offset by a decrease in investment income related to policy loans from a bankruptcy-related lapse in 2009 and lower yields on floating rate investments.</w:t>
      </w:r>
    </w:p>
    <w:p>
      <w:pPr>
        <w:spacing w:after="0" w:line="59" w:lineRule="exact"/>
        <w:rPr>
          <w:sz w:val="20"/>
          <w:szCs w:val="20"/>
          <w:color w:val="auto"/>
        </w:rPr>
      </w:pPr>
    </w:p>
    <w:p>
      <w:pPr>
        <w:ind w:left="900" w:right="440" w:hanging="325"/>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three months ended June 30, 2010 included an increase of $11 million attributable to changes in foreign exchange rates in our International segment.</w:t>
      </w:r>
    </w:p>
    <w:p>
      <w:pPr>
        <w:spacing w:after="0" w:line="132" w:lineRule="exact"/>
        <w:rPr>
          <w:sz w:val="20"/>
          <w:szCs w:val="20"/>
          <w:color w:val="auto"/>
        </w:rPr>
      </w:pPr>
    </w:p>
    <w:p>
      <w:pPr>
        <w:ind w:right="500" w:firstLine="456"/>
        <w:spacing w:after="0" w:line="259" w:lineRule="auto"/>
        <w:rPr>
          <w:sz w:val="20"/>
          <w:szCs w:val="20"/>
          <w:color w:val="auto"/>
        </w:rPr>
      </w:pPr>
      <w:r>
        <w:rPr>
          <w:rFonts w:ascii="Arial" w:cs="Arial" w:eastAsia="Arial" w:hAnsi="Arial"/>
          <w:sz w:val="18"/>
          <w:szCs w:val="18"/>
          <w:i w:val="1"/>
          <w:iCs w:val="1"/>
          <w:color w:val="auto"/>
        </w:rPr>
        <w:t xml:space="preserve">Net investment gains (losses). </w:t>
      </w:r>
      <w:r>
        <w:rPr>
          <w:rFonts w:ascii="Arial" w:cs="Arial" w:eastAsia="Arial" w:hAnsi="Arial"/>
          <w:sz w:val="18"/>
          <w:szCs w:val="18"/>
          <w:color w:val="auto"/>
        </w:rPr>
        <w:t>Net investment gains (losses) consist of realized gains and losses from the sale or impairment of our investments and</w:t>
      </w:r>
      <w:r>
        <w:rPr>
          <w:rFonts w:ascii="Arial" w:cs="Arial" w:eastAsia="Arial" w:hAnsi="Arial"/>
          <w:sz w:val="18"/>
          <w:szCs w:val="18"/>
          <w:i w:val="1"/>
          <w:iCs w:val="1"/>
          <w:color w:val="auto"/>
        </w:rPr>
        <w:t xml:space="preserve"> </w:t>
      </w:r>
      <w:r>
        <w:rPr>
          <w:rFonts w:ascii="Arial" w:cs="Arial" w:eastAsia="Arial" w:hAnsi="Arial"/>
          <w:sz w:val="18"/>
          <w:szCs w:val="18"/>
          <w:color w:val="auto"/>
        </w:rPr>
        <w:t>unrealized and realized gains and losses from our trading securities and derivative instruments. For further discussion of the change in net investment gains (losses), see the comparison for this line item under “—Investments and Derivative Instruments.”</w:t>
      </w:r>
    </w:p>
    <w:p>
      <w:pPr>
        <w:spacing w:after="0" w:line="59" w:lineRule="exact"/>
        <w:rPr>
          <w:sz w:val="20"/>
          <w:szCs w:val="20"/>
          <w:color w:val="auto"/>
        </w:rPr>
      </w:pPr>
    </w:p>
    <w:p>
      <w:pPr>
        <w:ind w:left="900" w:hanging="325"/>
        <w:spacing w:after="0" w:line="288" w:lineRule="auto"/>
        <w:tabs>
          <w:tab w:leader="none" w:pos="900" w:val="left"/>
        </w:tabs>
        <w:numPr>
          <w:ilvl w:val="0"/>
          <w:numId w:val="40"/>
        </w:numPr>
        <w:rPr>
          <w:rFonts w:ascii="Arial" w:cs="Arial" w:eastAsia="Arial" w:hAnsi="Arial"/>
          <w:sz w:val="16"/>
          <w:szCs w:val="16"/>
          <w:color w:val="auto"/>
        </w:rPr>
      </w:pPr>
      <w:r>
        <w:rPr>
          <w:rFonts w:ascii="Arial" w:cs="Arial" w:eastAsia="Arial" w:hAnsi="Arial"/>
          <w:sz w:val="16"/>
          <w:szCs w:val="16"/>
          <w:color w:val="auto"/>
        </w:rPr>
        <w:t>We recorded $51 million of net other-than-temporary impairments for the three months ended June 30, 2010 as compared to $152 million for the three months ended June 30, 2009. Of total impairments, for the three months ended June 30, 2010 and 2009, $43 million and $109 million, respectively, related to structured securities, including $23 million and $66 million, respectively, related to sub-prime and Alt-A residential mortgage-backed and asset-backed securities. For the three months ended June 30, 2010, we recorded $5 million of impairments related to commercial mortgage loans and $4 million related to limited partnership investments. For the three months ended June 30, 2009, we recorded a $36 million impairment related to a retained interest in securitized assets based on revised assumptions regarding cash flows from the assets underlying this securitization transaction. We concluded the value of our retained interest was zero and recognized the full impairment in the prior year. We also recorded $5 million of impairments related to financial hybrid securities primarily from banks in the U.K., Ireland and the Netherlands during the three months ended June 30, 2009.</w:t>
      </w:r>
    </w:p>
    <w:p>
      <w:pPr>
        <w:spacing w:after="0" w:line="38" w:lineRule="exact"/>
        <w:rPr>
          <w:rFonts w:ascii="Arial" w:cs="Arial" w:eastAsia="Arial" w:hAnsi="Arial"/>
          <w:sz w:val="16"/>
          <w:szCs w:val="16"/>
          <w:color w:val="auto"/>
        </w:rPr>
      </w:pPr>
    </w:p>
    <w:p>
      <w:pPr>
        <w:ind w:left="900" w:hanging="325"/>
        <w:spacing w:after="0" w:line="287" w:lineRule="auto"/>
        <w:tabs>
          <w:tab w:leader="none" w:pos="900" w:val="left"/>
        </w:tabs>
        <w:numPr>
          <w:ilvl w:val="0"/>
          <w:numId w:val="40"/>
        </w:numPr>
        <w:rPr>
          <w:rFonts w:ascii="Arial" w:cs="Arial" w:eastAsia="Arial" w:hAnsi="Arial"/>
          <w:sz w:val="16"/>
          <w:szCs w:val="16"/>
          <w:color w:val="auto"/>
        </w:rPr>
      </w:pPr>
      <w:r>
        <w:rPr>
          <w:rFonts w:ascii="Arial" w:cs="Arial" w:eastAsia="Arial" w:hAnsi="Arial"/>
          <w:sz w:val="16"/>
          <w:szCs w:val="16"/>
          <w:color w:val="auto"/>
        </w:rPr>
        <w:t>Net investment losses related to derivatives of $38 million in the second quarter of 2010 were primarily related to $31 million of losses from the change in value of our credit default swaps due to widening credit spreads, $21 million of losses from the change in value of the embedded derivative liabilities exceeding the change in value of the derivative instruments used for mitigating the risk of embedded derivative liabilities associated with our variable annuity products with guaranteed minimum withdrawal benefits (“GMWBs”) and $9 million of losses related to a derivative strategy to mitigate the interest rate risk associated with our statutory capital position. These losses were partially offset by $15 million of ineffectiveness gains from our cash flow hedge programs related to our long-term care insurance business, $4 million of gains from other non-qualified interest rate swaps, $2 million of gains related to embedded derivatives associated with certain reinsurance agreements and $2 million of gains from foreign currency options and forward contracts. Net investment gains related to derivatives of $114 million in the second quarter of 2009 were primarily related to gains in embedded derivative liabilities associated with our variable annuity products with GMWBs exceeding the change in value of derivative instruments used for mitigating this risk.</w:t>
      </w:r>
    </w:p>
    <w:p>
      <w:pPr>
        <w:spacing w:after="0" w:line="41" w:lineRule="exact"/>
        <w:rPr>
          <w:rFonts w:ascii="Arial" w:cs="Arial" w:eastAsia="Arial" w:hAnsi="Arial"/>
          <w:sz w:val="16"/>
          <w:szCs w:val="16"/>
          <w:color w:val="auto"/>
        </w:rPr>
      </w:pPr>
    </w:p>
    <w:p>
      <w:pPr>
        <w:ind w:left="900" w:right="220" w:hanging="325"/>
        <w:spacing w:after="0" w:line="256" w:lineRule="auto"/>
        <w:tabs>
          <w:tab w:leader="none" w:pos="9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We also recorded $47 million of net losses related to securitization entities in the second quarter of 2010 primarily associated with derivatives and $18 million of losses related to commercial mortgage loans from a lower of cost or market adjustment on loans held-for-sale and an increase in the allowance. Net gains related to the sale of available-for-sale securities were $17 million in the second quarter of 2010 compared to losses of $27 million in the second quarter of 2009.</w:t>
      </w:r>
    </w:p>
    <w:p>
      <w:pPr>
        <w:spacing w:after="0" w:line="143" w:lineRule="exact"/>
        <w:rPr>
          <w:sz w:val="20"/>
          <w:szCs w:val="20"/>
          <w:color w:val="auto"/>
        </w:rPr>
      </w:pPr>
    </w:p>
    <w:p>
      <w:pPr>
        <w:ind w:right="200" w:firstLine="456"/>
        <w:spacing w:after="0" w:line="306" w:lineRule="auto"/>
        <w:rPr>
          <w:sz w:val="20"/>
          <w:szCs w:val="20"/>
          <w:color w:val="auto"/>
        </w:rPr>
      </w:pPr>
      <w:r>
        <w:rPr>
          <w:rFonts w:ascii="Arial" w:cs="Arial" w:eastAsia="Arial" w:hAnsi="Arial"/>
          <w:sz w:val="16"/>
          <w:szCs w:val="16"/>
          <w:i w:val="1"/>
          <w:iCs w:val="1"/>
          <w:color w:val="auto"/>
        </w:rPr>
        <w:t xml:space="preserve">Insurance and investment product fees and other. </w:t>
      </w:r>
      <w:r>
        <w:rPr>
          <w:rFonts w:ascii="Arial" w:cs="Arial" w:eastAsia="Arial" w:hAnsi="Arial"/>
          <w:sz w:val="16"/>
          <w:szCs w:val="16"/>
          <w:color w:val="auto"/>
        </w:rPr>
        <w:t>Insurance and investment product fees and other consist primarily of fees assessed against policyholder</w:t>
      </w:r>
      <w:r>
        <w:rPr>
          <w:rFonts w:ascii="Arial" w:cs="Arial" w:eastAsia="Arial" w:hAnsi="Arial"/>
          <w:sz w:val="16"/>
          <w:szCs w:val="16"/>
          <w:i w:val="1"/>
          <w:iCs w:val="1"/>
          <w:color w:val="auto"/>
        </w:rPr>
        <w:t xml:space="preserve"> </w:t>
      </w:r>
      <w:r>
        <w:rPr>
          <w:rFonts w:ascii="Arial" w:cs="Arial" w:eastAsia="Arial" w:hAnsi="Arial"/>
          <w:sz w:val="16"/>
          <w:szCs w:val="16"/>
          <w:color w:val="auto"/>
        </w:rPr>
        <w:t>and contractholder account values, surrender charges, cost of insurance assessed on universal life insurance policies, advisory and administration service fees assessed on investment contractholder account values, broker/dealer commission revenues and other fees.</w:t>
      </w:r>
    </w:p>
    <w:p>
      <w:pPr>
        <w:spacing w:after="0" w:line="26" w:lineRule="exact"/>
        <w:rPr>
          <w:sz w:val="20"/>
          <w:szCs w:val="20"/>
          <w:color w:val="auto"/>
        </w:rPr>
      </w:pPr>
    </w:p>
    <w:p>
      <w:pPr>
        <w:ind w:left="900" w:right="240" w:hanging="325"/>
        <w:spacing w:after="0" w:line="332" w:lineRule="auto"/>
        <w:tabs>
          <w:tab w:leader="none" w:pos="900" w:val="left"/>
        </w:tabs>
        <w:numPr>
          <w:ilvl w:val="0"/>
          <w:numId w:val="41"/>
        </w:numPr>
        <w:rPr>
          <w:rFonts w:ascii="Arial" w:cs="Arial" w:eastAsia="Arial" w:hAnsi="Arial"/>
          <w:sz w:val="16"/>
          <w:szCs w:val="16"/>
          <w:color w:val="auto"/>
        </w:rPr>
      </w:pPr>
      <w:r>
        <w:rPr>
          <w:rFonts w:ascii="Arial" w:cs="Arial" w:eastAsia="Arial" w:hAnsi="Arial"/>
          <w:sz w:val="16"/>
          <w:szCs w:val="16"/>
          <w:color w:val="auto"/>
        </w:rPr>
        <w:t>Our Retirement and Protection segment increased $50 million largely driven by an increase of $23 million in our wealth management business, an increase of $13 million in our life insurance business and an increase of $11 million in our retirement income business.</w:t>
      </w:r>
    </w:p>
    <w:p>
      <w:pPr>
        <w:spacing w:after="0" w:line="4" w:lineRule="exact"/>
        <w:rPr>
          <w:rFonts w:ascii="Arial" w:cs="Arial" w:eastAsia="Arial" w:hAnsi="Arial"/>
          <w:sz w:val="16"/>
          <w:szCs w:val="16"/>
          <w:color w:val="auto"/>
        </w:rPr>
      </w:pPr>
    </w:p>
    <w:p>
      <w:pPr>
        <w:ind w:left="900" w:hanging="325"/>
        <w:spacing w:after="0"/>
        <w:tabs>
          <w:tab w:leader="none" w:pos="9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Corporate and Other activities decreased $44 million.</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20"/>
          </w:cols>
          <w:pgMar w:left="240" w:top="459" w:right="23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firstLine="456"/>
        <w:spacing w:after="0" w:line="335" w:lineRule="auto"/>
        <w:rPr>
          <w:sz w:val="20"/>
          <w:szCs w:val="20"/>
          <w:color w:val="auto"/>
        </w:rPr>
      </w:pPr>
      <w:r>
        <w:rPr>
          <w:rFonts w:ascii="Arial" w:cs="Arial" w:eastAsia="Arial" w:hAnsi="Arial"/>
          <w:sz w:val="15"/>
          <w:szCs w:val="15"/>
          <w:i w:val="1"/>
          <w:iCs w:val="1"/>
          <w:color w:val="auto"/>
        </w:rPr>
        <w:t xml:space="preserve">Benefits and other changes in policy reserves. </w:t>
      </w:r>
      <w:r>
        <w:rPr>
          <w:rFonts w:ascii="Arial" w:cs="Arial" w:eastAsia="Arial" w:hAnsi="Arial"/>
          <w:sz w:val="15"/>
          <w:szCs w:val="15"/>
          <w:color w:val="auto"/>
        </w:rPr>
        <w:t>Benefits and other changes in policy reserves consist primarily of benefits paid and reserve activity related to</w:t>
      </w:r>
      <w:r>
        <w:rPr>
          <w:rFonts w:ascii="Arial" w:cs="Arial" w:eastAsia="Arial" w:hAnsi="Arial"/>
          <w:sz w:val="15"/>
          <w:szCs w:val="15"/>
          <w:i w:val="1"/>
          <w:iCs w:val="1"/>
          <w:color w:val="auto"/>
        </w:rPr>
        <w:t xml:space="preserve"> </w:t>
      </w:r>
      <w:r>
        <w:rPr>
          <w:rFonts w:ascii="Arial" w:cs="Arial" w:eastAsia="Arial" w:hAnsi="Arial"/>
          <w:sz w:val="15"/>
          <w:szCs w:val="15"/>
          <w:color w:val="auto"/>
        </w:rPr>
        <w:t>current claims and future policy benefits on insurance and investment products for life, long-term care and Medicare supplement insurance, structured settlements and single premium immediate annuities with life contingencies, lifestyle protection insurance and claim costs incurred related to mortgage insurance products.</w:t>
      </w:r>
    </w:p>
    <w:p>
      <w:pPr>
        <w:spacing w:after="0" w:line="7" w:lineRule="exact"/>
        <w:rPr>
          <w:sz w:val="20"/>
          <w:szCs w:val="20"/>
          <w:color w:val="auto"/>
        </w:rPr>
      </w:pPr>
    </w:p>
    <w:p>
      <w:pPr>
        <w:ind w:left="900" w:right="260" w:hanging="325"/>
        <w:spacing w:after="0" w:line="332" w:lineRule="auto"/>
        <w:tabs>
          <w:tab w:leader="none" w:pos="900" w:val="left"/>
        </w:tabs>
        <w:numPr>
          <w:ilvl w:val="0"/>
          <w:numId w:val="42"/>
        </w:numPr>
        <w:rPr>
          <w:rFonts w:ascii="Arial" w:cs="Arial" w:eastAsia="Arial" w:hAnsi="Arial"/>
          <w:sz w:val="16"/>
          <w:szCs w:val="16"/>
          <w:color w:val="auto"/>
        </w:rPr>
      </w:pPr>
      <w:r>
        <w:rPr>
          <w:rFonts w:ascii="Arial" w:cs="Arial" w:eastAsia="Arial" w:hAnsi="Arial"/>
          <w:sz w:val="16"/>
          <w:szCs w:val="16"/>
          <w:color w:val="auto"/>
        </w:rPr>
        <w:t>Our Retirement and Protection segment increased $66 million primarily attributable to a $33 million increase in our life insurance business, a $23 million increase in our long-term care insurance business and a $10 million increase in our retirement income business.</w:t>
      </w:r>
    </w:p>
    <w:p>
      <w:pPr>
        <w:spacing w:after="0" w:line="4" w:lineRule="exact"/>
        <w:rPr>
          <w:rFonts w:ascii="Arial" w:cs="Arial" w:eastAsia="Arial" w:hAnsi="Arial"/>
          <w:sz w:val="16"/>
          <w:szCs w:val="16"/>
          <w:color w:val="auto"/>
        </w:rPr>
      </w:pPr>
    </w:p>
    <w:p>
      <w:pPr>
        <w:ind w:left="900" w:right="60" w:hanging="325"/>
        <w:spacing w:after="0" w:line="259" w:lineRule="auto"/>
        <w:tabs>
          <w:tab w:leader="none" w:pos="9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Our International segment decreased $63 million as a result of a decrease of $44 million in our lifestyle protection insurance business and a decrease of $19 million in our international mortgage insurance business. The three months ended June 30, 2010 included an increase of $10 million attributable to changes in foreign exchange rates.</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Our U.S. Mortgage Insurance segment decreased $155 million.</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 xml:space="preserve">Interest credited. </w:t>
      </w:r>
      <w:r>
        <w:rPr>
          <w:rFonts w:ascii="Arial" w:cs="Arial" w:eastAsia="Arial" w:hAnsi="Arial"/>
          <w:sz w:val="18"/>
          <w:szCs w:val="18"/>
          <w:color w:val="auto"/>
        </w:rPr>
        <w:t>Interest credited represents interest credited on behalf of policyholder and contractholder general account balances.</w:t>
      </w:r>
    </w:p>
    <w:p>
      <w:pPr>
        <w:spacing w:after="0" w:line="90" w:lineRule="exact"/>
        <w:rPr>
          <w:sz w:val="20"/>
          <w:szCs w:val="20"/>
          <w:color w:val="auto"/>
        </w:rPr>
      </w:pPr>
    </w:p>
    <w:p>
      <w:pPr>
        <w:ind w:left="900" w:hanging="325"/>
        <w:spacing w:after="0"/>
        <w:tabs>
          <w:tab w:leader="none" w:pos="9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Our Retirement and Protection segment decreased $8 million principally related to our retirement income business.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Corporate and Other activities decreased $44 million.</w:t>
      </w:r>
    </w:p>
    <w:p>
      <w:pPr>
        <w:spacing w:after="0" w:line="171"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i w:val="1"/>
          <w:iCs w:val="1"/>
          <w:color w:val="auto"/>
        </w:rPr>
        <w:t xml:space="preserve">Acquisition and operating expenses, net of deferrals. </w:t>
      </w:r>
      <w:r>
        <w:rPr>
          <w:rFonts w:ascii="Arial" w:cs="Arial" w:eastAsia="Arial" w:hAnsi="Arial"/>
          <w:sz w:val="18"/>
          <w:szCs w:val="18"/>
          <w:color w:val="auto"/>
        </w:rPr>
        <w:t>Acquisition and operating expenses, net of deferrals, represent costs and expenses related to the</w:t>
      </w:r>
      <w:r>
        <w:rPr>
          <w:rFonts w:ascii="Arial" w:cs="Arial" w:eastAsia="Arial" w:hAnsi="Arial"/>
          <w:sz w:val="18"/>
          <w:szCs w:val="18"/>
          <w:i w:val="1"/>
          <w:iCs w:val="1"/>
          <w:color w:val="auto"/>
        </w:rPr>
        <w:t xml:space="preserve"> </w:t>
      </w:r>
      <w:r>
        <w:rPr>
          <w:rFonts w:ascii="Arial" w:cs="Arial" w:eastAsia="Arial" w:hAnsi="Arial"/>
          <w:sz w:val="18"/>
          <w:szCs w:val="18"/>
          <w:color w:val="auto"/>
        </w:rPr>
        <w:t>acquisition and ongoing maintenance of insurance and investment contracts, including commissions, policy issuance expenses and other underwriting and general operating costs. These costs and expenses are net of amounts that are capitalized and deferred, which are primarily costs and expenses that vary with and are primarily related to the sale and issuance of our insurance policies and investment contracts, such as first-year commissions in excess of ultimate renewal commissions and other policy issuance expenses.</w:t>
      </w:r>
    </w:p>
    <w:p>
      <w:pPr>
        <w:spacing w:after="0" w:line="62" w:lineRule="exact"/>
        <w:rPr>
          <w:sz w:val="20"/>
          <w:szCs w:val="20"/>
          <w:color w:val="auto"/>
        </w:rPr>
      </w:pPr>
    </w:p>
    <w:p>
      <w:pPr>
        <w:ind w:left="900" w:right="100" w:hanging="325"/>
        <w:spacing w:after="0" w:line="332" w:lineRule="auto"/>
        <w:tabs>
          <w:tab w:leader="none" w:pos="900" w:val="left"/>
        </w:tabs>
        <w:numPr>
          <w:ilvl w:val="0"/>
          <w:numId w:val="44"/>
        </w:numPr>
        <w:rPr>
          <w:rFonts w:ascii="Arial" w:cs="Arial" w:eastAsia="Arial" w:hAnsi="Arial"/>
          <w:sz w:val="16"/>
          <w:szCs w:val="16"/>
          <w:color w:val="auto"/>
        </w:rPr>
      </w:pPr>
      <w:r>
        <w:rPr>
          <w:rFonts w:ascii="Arial" w:cs="Arial" w:eastAsia="Arial" w:hAnsi="Arial"/>
          <w:sz w:val="16"/>
          <w:szCs w:val="16"/>
          <w:color w:val="auto"/>
        </w:rPr>
        <w:t>Our Retirement and Protection segment increased $41 million primarily attributable to a $17 million increase in our wealth management business, a $15 million increase in our long-term care insurance business and an $8 million increase in our life insurance business.</w:t>
      </w:r>
    </w:p>
    <w:p>
      <w:pPr>
        <w:spacing w:after="0" w:line="4" w:lineRule="exact"/>
        <w:rPr>
          <w:rFonts w:ascii="Arial" w:cs="Arial" w:eastAsia="Arial" w:hAnsi="Arial"/>
          <w:sz w:val="16"/>
          <w:szCs w:val="16"/>
          <w:color w:val="auto"/>
        </w:rPr>
      </w:pPr>
    </w:p>
    <w:p>
      <w:pPr>
        <w:ind w:left="900" w:right="20" w:hanging="325"/>
        <w:spacing w:after="0" w:line="268" w:lineRule="auto"/>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Our International segment increased $8 million related to an $11 million increase in our international mortgage insurance business, partially offset by a $3 million decrease in our lifestyle protection insurance business.</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Corporate and Other activities decreased $6 million.</w:t>
      </w:r>
    </w:p>
    <w:p>
      <w:pPr>
        <w:spacing w:after="0" w:line="171"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i w:val="1"/>
          <w:iCs w:val="1"/>
          <w:color w:val="auto"/>
        </w:rPr>
        <w:t xml:space="preserve">Amortization of deferred acquisition costs and intangibles. </w:t>
      </w:r>
      <w:r>
        <w:rPr>
          <w:rFonts w:ascii="Arial" w:cs="Arial" w:eastAsia="Arial" w:hAnsi="Arial"/>
          <w:sz w:val="18"/>
          <w:szCs w:val="18"/>
          <w:color w:val="auto"/>
        </w:rPr>
        <w:t>Amortization of deferred acquisition costs and intangibles consists primarily of the amortization</w:t>
      </w:r>
      <w:r>
        <w:rPr>
          <w:rFonts w:ascii="Arial" w:cs="Arial" w:eastAsia="Arial" w:hAnsi="Arial"/>
          <w:sz w:val="18"/>
          <w:szCs w:val="18"/>
          <w:i w:val="1"/>
          <w:iCs w:val="1"/>
          <w:color w:val="auto"/>
        </w:rPr>
        <w:t xml:space="preserve"> </w:t>
      </w:r>
      <w:r>
        <w:rPr>
          <w:rFonts w:ascii="Arial" w:cs="Arial" w:eastAsia="Arial" w:hAnsi="Arial"/>
          <w:sz w:val="18"/>
          <w:szCs w:val="18"/>
          <w:color w:val="auto"/>
        </w:rPr>
        <w:t>of acquisition costs that are capitalized, present value of future profits and capitalized software.</w:t>
      </w:r>
    </w:p>
    <w:p>
      <w:pPr>
        <w:spacing w:after="0" w:line="51" w:lineRule="exact"/>
        <w:rPr>
          <w:sz w:val="20"/>
          <w:szCs w:val="20"/>
          <w:color w:val="auto"/>
        </w:rPr>
      </w:pPr>
    </w:p>
    <w:p>
      <w:pPr>
        <w:ind w:left="900" w:right="40" w:hanging="325"/>
        <w:spacing w:after="0" w:line="332" w:lineRule="auto"/>
        <w:tabs>
          <w:tab w:leader="none" w:pos="900" w:val="left"/>
        </w:tabs>
        <w:numPr>
          <w:ilvl w:val="0"/>
          <w:numId w:val="45"/>
        </w:numPr>
        <w:rPr>
          <w:rFonts w:ascii="Arial" w:cs="Arial" w:eastAsia="Arial" w:hAnsi="Arial"/>
          <w:sz w:val="16"/>
          <w:szCs w:val="16"/>
          <w:color w:val="auto"/>
        </w:rPr>
      </w:pPr>
      <w:r>
        <w:rPr>
          <w:rFonts w:ascii="Arial" w:cs="Arial" w:eastAsia="Arial" w:hAnsi="Arial"/>
          <w:sz w:val="16"/>
          <w:szCs w:val="16"/>
          <w:color w:val="auto"/>
        </w:rPr>
        <w:t>Our Retirement and Protection segment decreased $34 million primarily attributable to a $44 million decrease in our retirement income business and a $5 million decrease in our long-term care insurance business, partially offset by a $15 million increase in our life insurance business.</w:t>
      </w:r>
    </w:p>
    <w:p>
      <w:pPr>
        <w:spacing w:after="0" w:line="4" w:lineRule="exact"/>
        <w:rPr>
          <w:rFonts w:ascii="Arial" w:cs="Arial" w:eastAsia="Arial" w:hAnsi="Arial"/>
          <w:sz w:val="16"/>
          <w:szCs w:val="16"/>
          <w:color w:val="auto"/>
        </w:rPr>
      </w:pPr>
    </w:p>
    <w:p>
      <w:pPr>
        <w:ind w:left="900" w:right="340" w:hanging="325"/>
        <w:spacing w:after="0" w:line="259" w:lineRule="auto"/>
        <w:tabs>
          <w:tab w:leader="none" w:pos="9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Our International segment was relatively flat as a $7 million increase in our international mortgage insurance business was offset by a $6 million decrease in our lifestyle protection insurance business. The three months ended June 30, 2010 included an increase of $2 million attributable to changes in foreign exchange rates.</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00"/>
          </w:cols>
          <w:pgMar w:left="240" w:top="459" w:right="25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represents interest related to our borrowings that are incurred at our holding company level and our non-recourse funding</w:t>
      </w:r>
      <w:r>
        <w:rPr>
          <w:rFonts w:ascii="Arial" w:cs="Arial" w:eastAsia="Arial" w:hAnsi="Arial"/>
          <w:sz w:val="18"/>
          <w:szCs w:val="18"/>
          <w:i w:val="1"/>
          <w:iCs w:val="1"/>
          <w:color w:val="auto"/>
        </w:rPr>
        <w:t xml:space="preserve"> </w:t>
      </w:r>
      <w:r>
        <w:rPr>
          <w:rFonts w:ascii="Arial" w:cs="Arial" w:eastAsia="Arial" w:hAnsi="Arial"/>
          <w:sz w:val="18"/>
          <w:szCs w:val="18"/>
          <w:color w:val="auto"/>
        </w:rPr>
        <w:t>obligations and interest expense related to certain reinsurance arrangements being accounted for as deposits.</w:t>
      </w:r>
    </w:p>
    <w:p>
      <w:pPr>
        <w:spacing w:after="0" w:line="51" w:lineRule="exact"/>
        <w:rPr>
          <w:sz w:val="20"/>
          <w:szCs w:val="20"/>
          <w:color w:val="auto"/>
        </w:rPr>
      </w:pPr>
    </w:p>
    <w:p>
      <w:pPr>
        <w:ind w:left="900" w:hanging="325"/>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Our Retirement and Protection segment increased $5 million primarily related to our life insurance business.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Our International segment decreased $14 million related to our lifestyle protection insurance business.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Corporate and Other activities increased $4 million.</w:t>
      </w:r>
    </w:p>
    <w:p>
      <w:pPr>
        <w:spacing w:after="0" w:line="171"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i w:val="1"/>
          <w:iCs w:val="1"/>
          <w:color w:val="auto"/>
        </w:rPr>
        <w:t>Benefit for income taxes</w:t>
      </w:r>
      <w:r>
        <w:rPr>
          <w:rFonts w:ascii="Arial" w:cs="Arial" w:eastAsia="Arial" w:hAnsi="Arial"/>
          <w:sz w:val="16"/>
          <w:szCs w:val="16"/>
          <w:color w:val="auto"/>
        </w:rPr>
        <w:t>. The effective tax rate decreased to (6.9)% for the three months ended June 30, 2010 from 7.4% for the three months ended</w:t>
      </w:r>
      <w:r>
        <w:rPr>
          <w:rFonts w:ascii="Arial" w:cs="Arial" w:eastAsia="Arial" w:hAnsi="Arial"/>
          <w:sz w:val="16"/>
          <w:szCs w:val="16"/>
          <w:i w:val="1"/>
          <w:iCs w:val="1"/>
          <w:color w:val="auto"/>
        </w:rPr>
        <w:t xml:space="preserve"> </w:t>
      </w:r>
      <w:r>
        <w:rPr>
          <w:rFonts w:ascii="Arial" w:cs="Arial" w:eastAsia="Arial" w:hAnsi="Arial"/>
          <w:sz w:val="16"/>
          <w:szCs w:val="16"/>
          <w:color w:val="auto"/>
        </w:rPr>
        <w:t>June 30, 2009. This decrease in the effective tax rate was primarily attributable to the favorable impact of newly enacted Australian tax legislation, tax benefits related to lower taxed foreign income and tax favored investments benefits recognized in the current year and from the effects of interim tax accounting standards in the prior year. The three months ended June 30, 2010 included an increase of $7 million attributable to changes in foreign exchange rates.</w:t>
      </w:r>
    </w:p>
    <w:p>
      <w:pPr>
        <w:spacing w:after="0" w:line="113" w:lineRule="exact"/>
        <w:rPr>
          <w:sz w:val="20"/>
          <w:szCs w:val="20"/>
          <w:color w:val="auto"/>
        </w:rPr>
      </w:pPr>
    </w:p>
    <w:p>
      <w:pPr>
        <w:ind w:right="420" w:firstLine="456"/>
        <w:spacing w:after="0" w:line="335" w:lineRule="auto"/>
        <w:rPr>
          <w:sz w:val="20"/>
          <w:szCs w:val="20"/>
          <w:color w:val="auto"/>
        </w:rPr>
      </w:pPr>
      <w:r>
        <w:rPr>
          <w:rFonts w:ascii="Arial" w:cs="Arial" w:eastAsia="Arial" w:hAnsi="Arial"/>
          <w:sz w:val="15"/>
          <w:szCs w:val="15"/>
          <w:i w:val="1"/>
          <w:iCs w:val="1"/>
          <w:color w:val="auto"/>
        </w:rPr>
        <w:t>Net income attributable to noncontrolling interests</w:t>
      </w:r>
      <w:r>
        <w:rPr>
          <w:rFonts w:ascii="Arial" w:cs="Arial" w:eastAsia="Arial" w:hAnsi="Arial"/>
          <w:sz w:val="15"/>
          <w:szCs w:val="15"/>
          <w:color w:val="auto"/>
        </w:rPr>
        <w:t>. Net income attributable to noncontrolling interests represents the portion of equity in a subsidiary</w:t>
      </w:r>
      <w:r>
        <w:rPr>
          <w:rFonts w:ascii="Arial" w:cs="Arial" w:eastAsia="Arial" w:hAnsi="Arial"/>
          <w:sz w:val="15"/>
          <w:szCs w:val="15"/>
          <w:i w:val="1"/>
          <w:iCs w:val="1"/>
          <w:color w:val="auto"/>
        </w:rPr>
        <w:t xml:space="preserve"> </w:t>
      </w:r>
      <w:r>
        <w:rPr>
          <w:rFonts w:ascii="Arial" w:cs="Arial" w:eastAsia="Arial" w:hAnsi="Arial"/>
          <w:sz w:val="15"/>
          <w:szCs w:val="15"/>
          <w:color w:val="auto"/>
        </w:rPr>
        <w:t>attributable to third parties. The increase related to the initial public offering of our Canadian mortgage insurance business in July 2009 which reduced our ownership percentage to 57.5%. The three months ended June 30, 2010 included an increase of $4 million attributable to changes in foreign exchange rates.</w:t>
      </w:r>
    </w:p>
    <w:p>
      <w:pPr>
        <w:spacing w:after="0" w:line="88" w:lineRule="exact"/>
        <w:rPr>
          <w:sz w:val="20"/>
          <w:szCs w:val="20"/>
          <w:color w:val="auto"/>
        </w:rPr>
      </w:pPr>
    </w:p>
    <w:p>
      <w:pPr>
        <w:ind w:right="20" w:firstLine="456"/>
        <w:spacing w:after="0" w:line="318" w:lineRule="auto"/>
        <w:rPr>
          <w:sz w:val="20"/>
          <w:szCs w:val="20"/>
          <w:color w:val="auto"/>
        </w:rPr>
      </w:pPr>
      <w:r>
        <w:rPr>
          <w:rFonts w:ascii="Arial" w:cs="Arial" w:eastAsia="Arial" w:hAnsi="Arial"/>
          <w:sz w:val="15"/>
          <w:szCs w:val="15"/>
          <w:i w:val="1"/>
          <w:iCs w:val="1"/>
          <w:color w:val="auto"/>
        </w:rPr>
        <w:t xml:space="preserve">Net income (loss) available to Genworth Financial, Inc.’s common stockholders. </w:t>
      </w:r>
      <w:r>
        <w:rPr>
          <w:rFonts w:ascii="Arial" w:cs="Arial" w:eastAsia="Arial" w:hAnsi="Arial"/>
          <w:sz w:val="15"/>
          <w:szCs w:val="15"/>
          <w:color w:val="auto"/>
        </w:rPr>
        <w:t>We reported net income available to Genworth Financial, Inc.’s common</w:t>
      </w:r>
      <w:r>
        <w:rPr>
          <w:rFonts w:ascii="Arial" w:cs="Arial" w:eastAsia="Arial" w:hAnsi="Arial"/>
          <w:sz w:val="15"/>
          <w:szCs w:val="15"/>
          <w:i w:val="1"/>
          <w:iCs w:val="1"/>
          <w:color w:val="auto"/>
        </w:rPr>
        <w:t xml:space="preserve"> </w:t>
      </w:r>
      <w:r>
        <w:rPr>
          <w:rFonts w:ascii="Arial" w:cs="Arial" w:eastAsia="Arial" w:hAnsi="Arial"/>
          <w:sz w:val="15"/>
          <w:szCs w:val="15"/>
          <w:color w:val="auto"/>
        </w:rPr>
        <w:t>stockholders in the current year compared to a net loss available to Genworth Financial, Inc.’s common stockholders in the prior year primarily related to a lower loss in our U.S. mortgage insurance business. For a discussion of our Retirement and Protection, International and U.S. Mortgage Insurance segments and Corporate and Other activities, see the “—Results of Operations and Selected Financial and Operating Performance Measures by Segment.” Included in net income available to Genworth Financial, Inc.’s common stockholders was an increase of $12 million, net of tax, attributable to changes in foreign exchange rates.</w:t>
      </w:r>
    </w:p>
    <w:p>
      <w:pPr>
        <w:spacing w:after="0" w:line="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380"/>
          </w:cols>
          <w:pgMar w:left="240" w:top="459" w:right="27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2010 Compared to Six Months Ended June 30, 2009</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consolidated results of operations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center"/>
              <w:ind w:left="137"/>
              <w:spacing w:after="0"/>
              <w:rPr>
                <w:sz w:val="20"/>
                <w:szCs w:val="20"/>
                <w:color w:val="auto"/>
              </w:rPr>
            </w:pPr>
            <w:r>
              <w:rPr>
                <w:rFonts w:ascii="Arial" w:cs="Arial" w:eastAsia="Arial" w:hAnsi="Arial"/>
                <w:sz w:val="14"/>
                <w:szCs w:val="14"/>
                <w:b w:val="1"/>
                <w:bCs w:val="1"/>
                <w:color w:val="auto"/>
                <w:w w:val="84"/>
              </w:rPr>
              <w:t>Increase</w:t>
            </w:r>
          </w:p>
        </w:tc>
        <w:tc>
          <w:tcPr>
            <w:tcW w:w="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00" w:type="dxa"/>
            <w:vAlign w:val="bottom"/>
            <w:gridSpan w:val="5"/>
          </w:tcPr>
          <w:p>
            <w:pPr>
              <w:jc w:val="right"/>
              <w:ind w:right="540"/>
              <w:spacing w:after="0" w:line="149" w:lineRule="exact"/>
              <w:rPr>
                <w:sz w:val="20"/>
                <w:szCs w:val="20"/>
                <w:color w:val="auto"/>
              </w:rPr>
            </w:pPr>
            <w:r>
              <w:rPr>
                <w:rFonts w:ascii="Arial" w:cs="Arial" w:eastAsia="Arial" w:hAnsi="Arial"/>
                <w:sz w:val="14"/>
                <w:szCs w:val="14"/>
                <w:b w:val="1"/>
                <w:bCs w:val="1"/>
                <w:color w:val="auto"/>
                <w:w w:val="94"/>
              </w:rPr>
              <w:t>Six months ended</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left="117"/>
              <w:spacing w:after="0" w:line="149" w:lineRule="exact"/>
              <w:rPr>
                <w:sz w:val="20"/>
                <w:szCs w:val="20"/>
                <w:color w:val="auto"/>
              </w:rPr>
            </w:pPr>
            <w:r>
              <w:rPr>
                <w:rFonts w:ascii="Arial" w:cs="Arial" w:eastAsia="Arial" w:hAnsi="Arial"/>
                <w:sz w:val="14"/>
                <w:szCs w:val="14"/>
                <w:b w:val="1"/>
                <w:bCs w:val="1"/>
                <w:color w:val="auto"/>
                <w:w w:val="82"/>
              </w:rPr>
              <w:t>percentage</w:t>
            </w: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78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June 30,</w:t>
            </w: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2"/>
          </w:tcPr>
          <w:p>
            <w:pPr>
              <w:jc w:val="center"/>
              <w:ind w:left="137"/>
              <w:spacing w:after="0"/>
              <w:rPr>
                <w:sz w:val="20"/>
                <w:szCs w:val="20"/>
                <w:color w:val="auto"/>
              </w:rPr>
            </w:pPr>
            <w:r>
              <w:rPr>
                <w:rFonts w:ascii="Arial" w:cs="Arial" w:eastAsia="Arial" w:hAnsi="Arial"/>
                <w:sz w:val="14"/>
                <w:szCs w:val="14"/>
                <w:b w:val="1"/>
                <w:bCs w:val="1"/>
                <w:color w:val="auto"/>
                <w:w w:val="81"/>
              </w:rPr>
              <w:t>change</w:t>
            </w:r>
          </w:p>
        </w:tc>
        <w:tc>
          <w:tcPr>
            <w:tcW w:w="30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84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ind w:right="34"/>
              <w:spacing w:after="0" w:line="142" w:lineRule="exact"/>
              <w:rPr>
                <w:sz w:val="20"/>
                <w:szCs w:val="20"/>
                <w:color w:val="auto"/>
              </w:rPr>
            </w:pPr>
            <w:r>
              <w:rPr>
                <w:rFonts w:ascii="Arial" w:cs="Arial" w:eastAsia="Arial" w:hAnsi="Arial"/>
                <w:sz w:val="14"/>
                <w:szCs w:val="14"/>
                <w:b w:val="1"/>
                <w:bCs w:val="1"/>
                <w:color w:val="auto"/>
                <w:w w:val="83"/>
              </w:rPr>
              <w:t>2010</w:t>
            </w: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ind w:right="33"/>
              <w:spacing w:after="0" w:line="142" w:lineRule="exact"/>
              <w:rPr>
                <w:sz w:val="20"/>
                <w:szCs w:val="20"/>
                <w:color w:val="auto"/>
              </w:rPr>
            </w:pPr>
            <w:r>
              <w:rPr>
                <w:rFonts w:ascii="Arial" w:cs="Arial" w:eastAsia="Arial" w:hAnsi="Arial"/>
                <w:sz w:val="14"/>
                <w:szCs w:val="14"/>
                <w:b w:val="1"/>
                <w:bCs w:val="1"/>
                <w:color w:val="auto"/>
                <w:w w:val="83"/>
              </w:rPr>
              <w:t>2009</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65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tcPr>
          <w:p>
            <w:pPr>
              <w:spacing w:after="0"/>
              <w:rPr>
                <w:sz w:val="20"/>
                <w:szCs w:val="20"/>
                <w:color w:val="auto"/>
              </w:rPr>
            </w:pPr>
            <w:r>
              <w:rPr>
                <w:rFonts w:ascii="Arial" w:cs="Arial" w:eastAsia="Arial" w:hAnsi="Arial"/>
                <w:sz w:val="18"/>
                <w:szCs w:val="18"/>
                <w:color w:val="auto"/>
              </w:rPr>
              <w:t>Premiums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8"/>
                <w:szCs w:val="18"/>
                <w:color w:val="auto"/>
                <w:w w:val="84"/>
              </w:rPr>
              <w:t>2,940</w:t>
            </w:r>
          </w:p>
        </w:tc>
        <w:tc>
          <w:tcPr>
            <w:tcW w:w="5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8"/>
                <w:szCs w:val="18"/>
                <w:color w:val="auto"/>
                <w:w w:val="84"/>
              </w:rPr>
              <w:t>3,004</w:t>
            </w:r>
          </w:p>
        </w:tc>
        <w:tc>
          <w:tcPr>
            <w:tcW w:w="28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440"/>
              <w:spacing w:after="0"/>
              <w:rPr>
                <w:sz w:val="20"/>
                <w:szCs w:val="20"/>
                <w:color w:val="auto"/>
              </w:rPr>
            </w:pPr>
            <w:r>
              <w:rPr>
                <w:rFonts w:ascii="Arial" w:cs="Arial" w:eastAsia="Arial" w:hAnsi="Arial"/>
                <w:sz w:val="18"/>
                <w:szCs w:val="18"/>
                <w:color w:val="auto"/>
              </w:rPr>
              <w:t>(64)</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1,588</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1,492</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96</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tcPr>
          <w:p>
            <w:pPr>
              <w:spacing w:after="0"/>
              <w:rPr>
                <w:sz w:val="20"/>
                <w:szCs w:val="20"/>
                <w:color w:val="auto"/>
              </w:rPr>
            </w:pPr>
            <w:r>
              <w:rPr>
                <w:rFonts w:ascii="Arial" w:cs="Arial" w:eastAsia="Arial" w:hAnsi="Arial"/>
                <w:sz w:val="18"/>
                <w:szCs w:val="18"/>
                <w:color w:val="auto"/>
              </w:rPr>
              <w:t>Net investment gains (losses)</w:t>
            </w:r>
          </w:p>
        </w:tc>
        <w:tc>
          <w:tcPr>
            <w:tcW w:w="100" w:type="dxa"/>
            <w:vAlign w:val="bottom"/>
          </w:tcPr>
          <w:p>
            <w:pPr>
              <w:spacing w:after="0"/>
              <w:rPr>
                <w:sz w:val="18"/>
                <w:szCs w:val="18"/>
                <w:color w:val="auto"/>
              </w:rPr>
            </w:pPr>
          </w:p>
        </w:tc>
        <w:tc>
          <w:tcPr>
            <w:tcW w:w="920" w:type="dxa"/>
            <w:vAlign w:val="bottom"/>
            <w:gridSpan w:val="2"/>
          </w:tcPr>
          <w:p>
            <w:pPr>
              <w:jc w:val="right"/>
              <w:ind w:right="392"/>
              <w:spacing w:after="0"/>
              <w:rPr>
                <w:sz w:val="20"/>
                <w:szCs w:val="20"/>
                <w:color w:val="auto"/>
              </w:rPr>
            </w:pPr>
            <w:r>
              <w:rPr>
                <w:rFonts w:ascii="Arial" w:cs="Arial" w:eastAsia="Arial" w:hAnsi="Arial"/>
                <w:sz w:val="18"/>
                <w:szCs w:val="18"/>
                <w:color w:val="auto"/>
              </w:rPr>
              <w:t>(209)</w:t>
            </w:r>
          </w:p>
        </w:tc>
        <w:tc>
          <w:tcPr>
            <w:tcW w:w="100" w:type="dxa"/>
            <w:vAlign w:val="bottom"/>
          </w:tcPr>
          <w:p>
            <w:pPr>
              <w:spacing w:after="0"/>
              <w:rPr>
                <w:sz w:val="18"/>
                <w:szCs w:val="18"/>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(823)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614</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512</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544</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(32)</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2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revenues</w:t>
            </w: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6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82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4,831</w:t>
            </w: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4,217</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614</w:t>
            </w:r>
          </w:p>
        </w:tc>
        <w:tc>
          <w:tcPr>
            <w:tcW w:w="56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tcPr>
          <w:p>
            <w:pPr>
              <w:spacing w:after="0"/>
              <w:rPr>
                <w:sz w:val="20"/>
                <w:szCs w:val="20"/>
                <w:color w:val="auto"/>
              </w:rPr>
            </w:pPr>
            <w:r>
              <w:rPr>
                <w:rFonts w:ascii="Arial" w:cs="Arial" w:eastAsia="Arial" w:hAnsi="Arial"/>
                <w:sz w:val="18"/>
                <w:szCs w:val="18"/>
                <w:color w:val="auto"/>
              </w:rPr>
              <w:t>Benefits and other changes in policy reserves</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2,655</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3,000</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440"/>
              <w:spacing w:after="0"/>
              <w:rPr>
                <w:sz w:val="20"/>
                <w:szCs w:val="20"/>
                <w:color w:val="auto"/>
              </w:rPr>
            </w:pPr>
            <w:r>
              <w:rPr>
                <w:rFonts w:ascii="Arial" w:cs="Arial" w:eastAsia="Arial" w:hAnsi="Arial"/>
                <w:sz w:val="18"/>
                <w:szCs w:val="18"/>
                <w:color w:val="auto"/>
              </w:rPr>
              <w:t>(345)</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w w:val="99"/>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credited</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424</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538</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(114)</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tcPr>
          <w:p>
            <w:pPr>
              <w:spacing w:after="0"/>
              <w:rPr>
                <w:sz w:val="20"/>
                <w:szCs w:val="20"/>
                <w:color w:val="auto"/>
              </w:rPr>
            </w:pPr>
            <w:r>
              <w:rPr>
                <w:rFonts w:ascii="Arial" w:cs="Arial" w:eastAsia="Arial" w:hAnsi="Arial"/>
                <w:sz w:val="18"/>
                <w:szCs w:val="18"/>
                <w:color w:val="auto"/>
              </w:rPr>
              <w:t>Acquisition and operating expenses, net of deferrals</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974</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897</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77</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363</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459</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(96)</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224</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210</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14</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benefits and expenses</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4,640</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5,104</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(464)</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
        </w:trPr>
        <w:tc>
          <w:tcPr>
            <w:tcW w:w="7840" w:type="dxa"/>
            <w:vAlign w:val="bottom"/>
            <w:gridSpan w:val="3"/>
            <w:vMerge w:val="restart"/>
          </w:tcPr>
          <w:p>
            <w:pPr>
              <w:spacing w:after="0"/>
              <w:rPr>
                <w:sz w:val="20"/>
                <w:szCs w:val="20"/>
                <w:color w:val="auto"/>
              </w:rPr>
            </w:pPr>
            <w:r>
              <w:rPr>
                <w:rFonts w:ascii="Arial" w:cs="Arial" w:eastAsia="Arial" w:hAnsi="Arial"/>
                <w:sz w:val="18"/>
                <w:szCs w:val="18"/>
                <w:color w:val="auto"/>
              </w:rPr>
              <w:t>Income (loss) before income taxes</w:t>
            </w: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6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w w:val="91"/>
              </w:rPr>
              <w:t>122%</w:t>
            </w:r>
          </w:p>
        </w:tc>
        <w:tc>
          <w:tcPr>
            <w:tcW w:w="0" w:type="dxa"/>
            <w:vAlign w:val="bottom"/>
          </w:tcPr>
          <w:p>
            <w:pPr>
              <w:spacing w:after="0" w:line="20" w:lineRule="exact"/>
              <w:rPr>
                <w:sz w:val="1"/>
                <w:szCs w:val="1"/>
                <w:color w:val="auto"/>
              </w:rPr>
            </w:pPr>
          </w:p>
        </w:tc>
      </w:tr>
      <w:tr>
        <w:trPr>
          <w:trHeight w:val="221"/>
        </w:trPr>
        <w:tc>
          <w:tcPr>
            <w:tcW w:w="7840" w:type="dxa"/>
            <w:vAlign w:val="bottom"/>
            <w:gridSpan w:val="3"/>
            <w:vMerge w:val="continue"/>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191</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(887)</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w w:val="84"/>
              </w:rPr>
              <w:t>1,078</w:t>
            </w:r>
          </w:p>
        </w:tc>
        <w:tc>
          <w:tcPr>
            <w:tcW w:w="5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 for income taxes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92"/>
              <w:spacing w:after="0"/>
              <w:rPr>
                <w:sz w:val="20"/>
                <w:szCs w:val="20"/>
                <w:color w:val="auto"/>
              </w:rPr>
            </w:pPr>
            <w:r>
              <w:rPr>
                <w:rFonts w:ascii="Arial" w:cs="Arial" w:eastAsia="Arial" w:hAnsi="Arial"/>
                <w:sz w:val="18"/>
                <w:szCs w:val="18"/>
                <w:color w:val="auto"/>
              </w:rPr>
              <w:t>(98)</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(368)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270</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0"/>
        </w:trPr>
        <w:tc>
          <w:tcPr>
            <w:tcW w:w="7840" w:type="dxa"/>
            <w:vAlign w:val="bottom"/>
            <w:gridSpan w:val="3"/>
            <w:vMerge w:val="restart"/>
          </w:tcPr>
          <w:p>
            <w:pPr>
              <w:spacing w:after="0"/>
              <w:rPr>
                <w:sz w:val="20"/>
                <w:szCs w:val="20"/>
                <w:color w:val="auto"/>
              </w:rPr>
            </w:pPr>
            <w:r>
              <w:rPr>
                <w:rFonts w:ascii="Arial" w:cs="Arial" w:eastAsia="Arial" w:hAnsi="Arial"/>
                <w:sz w:val="18"/>
                <w:szCs w:val="18"/>
                <w:color w:val="auto"/>
              </w:rPr>
              <w:t>Net income (loss)</w:t>
            </w: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6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w w:val="91"/>
              </w:rPr>
              <w:t>156%</w:t>
            </w:r>
          </w:p>
        </w:tc>
        <w:tc>
          <w:tcPr>
            <w:tcW w:w="0" w:type="dxa"/>
            <w:vAlign w:val="bottom"/>
          </w:tcPr>
          <w:p>
            <w:pPr>
              <w:spacing w:after="0" w:line="20" w:lineRule="exact"/>
              <w:rPr>
                <w:sz w:val="1"/>
                <w:szCs w:val="1"/>
                <w:color w:val="auto"/>
              </w:rPr>
            </w:pPr>
          </w:p>
        </w:tc>
      </w:tr>
      <w:tr>
        <w:trPr>
          <w:trHeight w:val="221"/>
        </w:trPr>
        <w:tc>
          <w:tcPr>
            <w:tcW w:w="7840" w:type="dxa"/>
            <w:vAlign w:val="bottom"/>
            <w:gridSpan w:val="3"/>
            <w:vMerge w:val="continue"/>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289</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(519)</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808</w:t>
            </w:r>
          </w:p>
        </w:tc>
        <w:tc>
          <w:tcPr>
            <w:tcW w:w="5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69</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0"/>
        </w:trPr>
        <w:tc>
          <w:tcPr>
            <w:tcW w:w="7840" w:type="dxa"/>
            <w:vAlign w:val="bottom"/>
            <w:gridSpan w:val="3"/>
            <w:vMerge w:val="restart"/>
          </w:tcPr>
          <w:p>
            <w:pPr>
              <w:spacing w:after="0"/>
              <w:rPr>
                <w:sz w:val="20"/>
                <w:szCs w:val="20"/>
                <w:color w:val="auto"/>
              </w:rPr>
            </w:pPr>
            <w:r>
              <w:rPr>
                <w:rFonts w:ascii="Arial" w:cs="Arial" w:eastAsia="Arial" w:hAnsi="Arial"/>
                <w:sz w:val="18"/>
                <w:szCs w:val="18"/>
                <w:color w:val="auto"/>
              </w:rPr>
              <w:t>Net income (loss) available to Genworth Financial, Inc.’s common stockholders</w:t>
            </w: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6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w w:val="91"/>
              </w:rPr>
              <w:t>142%</w:t>
            </w:r>
          </w:p>
        </w:tc>
        <w:tc>
          <w:tcPr>
            <w:tcW w:w="0" w:type="dxa"/>
            <w:vAlign w:val="bottom"/>
          </w:tcPr>
          <w:p>
            <w:pPr>
              <w:spacing w:after="0" w:line="20" w:lineRule="exact"/>
              <w:rPr>
                <w:sz w:val="1"/>
                <w:szCs w:val="1"/>
                <w:color w:val="auto"/>
              </w:rPr>
            </w:pPr>
          </w:p>
        </w:tc>
      </w:tr>
      <w:tr>
        <w:trPr>
          <w:trHeight w:val="222"/>
        </w:trPr>
        <w:tc>
          <w:tcPr>
            <w:tcW w:w="7840" w:type="dxa"/>
            <w:vAlign w:val="bottom"/>
            <w:gridSpan w:val="3"/>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220</w:t>
            </w:r>
          </w:p>
        </w:tc>
        <w:tc>
          <w:tcPr>
            <w:tcW w:w="5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(519)</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739</w:t>
            </w:r>
          </w:p>
        </w:tc>
        <w:tc>
          <w:tcPr>
            <w:tcW w:w="5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460" w:right="5260" w:hanging="452"/>
        <w:spacing w:after="0" w:line="352" w:lineRule="auto"/>
        <w:tabs>
          <w:tab w:leader="none" w:pos="449" w:val="left"/>
        </w:tabs>
        <w:numPr>
          <w:ilvl w:val="0"/>
          <w:numId w:val="47"/>
        </w:numPr>
        <w:rPr>
          <w:rFonts w:ascii="Arial" w:cs="Arial" w:eastAsia="Arial" w:hAnsi="Arial"/>
          <w:sz w:val="22"/>
          <w:szCs w:val="22"/>
          <w:color w:val="auto"/>
          <w:vertAlign w:val="superscript"/>
        </w:rPr>
      </w:pPr>
      <w:r>
        <w:rPr>
          <w:rFonts w:ascii="Arial" w:cs="Arial" w:eastAsia="Arial" w:hAnsi="Arial"/>
          <w:sz w:val="18"/>
          <w:szCs w:val="18"/>
          <w:color w:val="auto"/>
        </w:rPr>
        <w:t xml:space="preserve">We define “NM” as not meaningful for increases or decreases greater than 200%. </w:t>
      </w:r>
      <w:r>
        <w:rPr>
          <w:rFonts w:ascii="Arial" w:cs="Arial" w:eastAsia="Arial" w:hAnsi="Arial"/>
          <w:sz w:val="18"/>
          <w:szCs w:val="18"/>
          <w:i w:val="1"/>
          <w:iCs w:val="1"/>
          <w:color w:val="auto"/>
        </w:rPr>
        <w:t>Premiums</w:t>
      </w:r>
    </w:p>
    <w:p>
      <w:pPr>
        <w:ind w:left="900" w:right="300" w:hanging="325"/>
        <w:spacing w:after="0" w:line="332" w:lineRule="auto"/>
        <w:tabs>
          <w:tab w:leader="none" w:pos="900" w:val="left"/>
        </w:tabs>
        <w:numPr>
          <w:ilvl w:val="1"/>
          <w:numId w:val="47"/>
        </w:numPr>
        <w:rPr>
          <w:rFonts w:ascii="Arial" w:cs="Arial" w:eastAsia="Arial" w:hAnsi="Arial"/>
          <w:sz w:val="16"/>
          <w:szCs w:val="16"/>
          <w:color w:val="auto"/>
        </w:rPr>
      </w:pPr>
      <w:r>
        <w:rPr>
          <w:rFonts w:ascii="Arial" w:cs="Arial" w:eastAsia="Arial" w:hAnsi="Arial"/>
          <w:sz w:val="16"/>
          <w:szCs w:val="16"/>
          <w:color w:val="auto"/>
        </w:rPr>
        <w:t>Our Retirement and Protection segment decreased $18 million primarily related to a $23 million decrease in our life insurance business and a $17 million decrease in our retirement income business, partially offset by a $22 million increase in our long-term care insurance business.</w:t>
      </w:r>
    </w:p>
    <w:p>
      <w:pPr>
        <w:spacing w:after="0" w:line="4" w:lineRule="exact"/>
        <w:rPr>
          <w:rFonts w:ascii="Arial" w:cs="Arial" w:eastAsia="Arial" w:hAnsi="Arial"/>
          <w:sz w:val="16"/>
          <w:szCs w:val="16"/>
          <w:color w:val="auto"/>
        </w:rPr>
      </w:pPr>
    </w:p>
    <w:p>
      <w:pPr>
        <w:jc w:val="both"/>
        <w:ind w:left="900" w:right="100" w:hanging="325"/>
        <w:spacing w:after="0" w:line="259" w:lineRule="auto"/>
        <w:tabs>
          <w:tab w:leader="none" w:pos="900" w:val="left"/>
        </w:tabs>
        <w:numPr>
          <w:ilvl w:val="1"/>
          <w:numId w:val="47"/>
        </w:numPr>
        <w:rPr>
          <w:rFonts w:ascii="Arial" w:cs="Arial" w:eastAsia="Arial" w:hAnsi="Arial"/>
          <w:sz w:val="18"/>
          <w:szCs w:val="18"/>
          <w:color w:val="auto"/>
        </w:rPr>
      </w:pPr>
      <w:r>
        <w:rPr>
          <w:rFonts w:ascii="Arial" w:cs="Arial" w:eastAsia="Arial" w:hAnsi="Arial"/>
          <w:sz w:val="18"/>
          <w:szCs w:val="18"/>
          <w:color w:val="auto"/>
        </w:rPr>
        <w:t>Our International segment decreased $5 million as a result of a decrease of $64 million in our lifestyle protection insurance business, partially offset by a $59 million increase in our international mortgage insurance business. The six months ended June 30, 2010 included an increase of $93 million attributable to changes in foreign exchange rates.</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1"/>
          <w:numId w:val="47"/>
        </w:numPr>
        <w:rPr>
          <w:rFonts w:ascii="Arial" w:cs="Arial" w:eastAsia="Arial" w:hAnsi="Arial"/>
          <w:sz w:val="18"/>
          <w:szCs w:val="18"/>
          <w:color w:val="auto"/>
        </w:rPr>
      </w:pPr>
      <w:r>
        <w:rPr>
          <w:rFonts w:ascii="Arial" w:cs="Arial" w:eastAsia="Arial" w:hAnsi="Arial"/>
          <w:sz w:val="18"/>
          <w:szCs w:val="18"/>
          <w:color w:val="auto"/>
        </w:rPr>
        <w:t>Our U.S. Mortgage Insurance segment decreased $39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-1369060</wp:posOffset>
            </wp:positionV>
            <wp:extent cx="72898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32"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Net investment income</w:t>
      </w:r>
    </w:p>
    <w:p>
      <w:pPr>
        <w:spacing w:after="0" w:line="90" w:lineRule="exact"/>
        <w:rPr>
          <w:sz w:val="20"/>
          <w:szCs w:val="20"/>
          <w:color w:val="auto"/>
        </w:rPr>
      </w:pPr>
    </w:p>
    <w:p>
      <w:pPr>
        <w:ind w:left="900" w:right="40" w:hanging="325"/>
        <w:spacing w:after="0" w:line="255"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Weighted-average investment yields increased to 4.6% for the six months ended June 30, 2010 from 4.3% for the six months ended June 30, 2009. The increase in weighted-average investment yields was primarily attributable to lower losses on limited partnerships. Net investment income for the six months ended June 30, 2010 included $116 million of lower losses related to limited partnerships accounted for under the equity method as compared to the six months ended June 30, 2009. Additionally, there was an increase in net investment income related to the consolidation of certain securitization entities as of</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420"/>
          </w:cols>
          <w:pgMar w:left="240" w:top="459" w:right="23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20" w:right="100"/>
        <w:spacing w:after="0" w:line="268" w:lineRule="auto"/>
        <w:rPr>
          <w:sz w:val="20"/>
          <w:szCs w:val="20"/>
          <w:color w:val="auto"/>
        </w:rPr>
      </w:pPr>
      <w:r>
        <w:rPr>
          <w:rFonts w:ascii="Arial" w:cs="Arial" w:eastAsia="Arial" w:hAnsi="Arial"/>
          <w:sz w:val="18"/>
          <w:szCs w:val="18"/>
          <w:color w:val="auto"/>
        </w:rPr>
        <w:t>January 1, 2010. These increases were partially offset by a decrease in investment income related to policy loans from a bankruptcy-related lapse in 2009 and lower yields on floating rate investments.</w:t>
      </w:r>
    </w:p>
    <w:p>
      <w:pPr>
        <w:spacing w:after="0" w:line="51" w:lineRule="exact"/>
        <w:rPr>
          <w:sz w:val="20"/>
          <w:szCs w:val="20"/>
          <w:color w:val="auto"/>
        </w:rPr>
      </w:pPr>
    </w:p>
    <w:p>
      <w:pPr>
        <w:ind w:left="900" w:right="540" w:hanging="325"/>
        <w:spacing w:after="0" w:line="268" w:lineRule="auto"/>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six months ended June 30, 2010 included an increase of $32 million attributable to changes in foreign exchange rates in our International segment.</w:t>
      </w:r>
    </w:p>
    <w:p>
      <w:pPr>
        <w:spacing w:after="0" w:line="132" w:lineRule="exact"/>
        <w:rPr>
          <w:sz w:val="20"/>
          <w:szCs w:val="20"/>
          <w:color w:val="auto"/>
        </w:rPr>
      </w:pPr>
    </w:p>
    <w:p>
      <w:pPr>
        <w:ind w:right="620" w:firstLine="456"/>
        <w:spacing w:after="0" w:line="268" w:lineRule="auto"/>
        <w:rPr>
          <w:sz w:val="20"/>
          <w:szCs w:val="20"/>
          <w:color w:val="auto"/>
        </w:rPr>
      </w:pPr>
      <w:r>
        <w:rPr>
          <w:rFonts w:ascii="Arial" w:cs="Arial" w:eastAsia="Arial" w:hAnsi="Arial"/>
          <w:sz w:val="18"/>
          <w:szCs w:val="18"/>
          <w:i w:val="1"/>
          <w:iCs w:val="1"/>
          <w:color w:val="auto"/>
        </w:rPr>
        <w:t xml:space="preserve">Net investment gains (losses). </w:t>
      </w:r>
      <w:r>
        <w:rPr>
          <w:rFonts w:ascii="Arial" w:cs="Arial" w:eastAsia="Arial" w:hAnsi="Arial"/>
          <w:sz w:val="18"/>
          <w:szCs w:val="18"/>
          <w:color w:val="auto"/>
        </w:rPr>
        <w:t>For further discussion of the change in net investment gains (losses), see the comparison for this line item under “—</w:t>
      </w:r>
      <w:r>
        <w:rPr>
          <w:rFonts w:ascii="Arial" w:cs="Arial" w:eastAsia="Arial" w:hAnsi="Arial"/>
          <w:sz w:val="18"/>
          <w:szCs w:val="18"/>
          <w:i w:val="1"/>
          <w:iCs w:val="1"/>
          <w:color w:val="auto"/>
        </w:rPr>
        <w:t xml:space="preserve"> </w:t>
      </w:r>
      <w:r>
        <w:rPr>
          <w:rFonts w:ascii="Arial" w:cs="Arial" w:eastAsia="Arial" w:hAnsi="Arial"/>
          <w:sz w:val="18"/>
          <w:szCs w:val="18"/>
          <w:color w:val="auto"/>
        </w:rPr>
        <w:t>Investments and Derivative Instruments.”</w:t>
      </w:r>
    </w:p>
    <w:p>
      <w:pPr>
        <w:spacing w:after="0" w:line="51" w:lineRule="exact"/>
        <w:rPr>
          <w:sz w:val="20"/>
          <w:szCs w:val="20"/>
          <w:color w:val="auto"/>
        </w:rPr>
      </w:pPr>
    </w:p>
    <w:p>
      <w:pPr>
        <w:ind w:left="900" w:hanging="325"/>
        <w:spacing w:after="0" w:line="286" w:lineRule="auto"/>
        <w:tabs>
          <w:tab w:leader="none" w:pos="900" w:val="left"/>
        </w:tabs>
        <w:numPr>
          <w:ilvl w:val="0"/>
          <w:numId w:val="50"/>
        </w:numPr>
        <w:rPr>
          <w:rFonts w:ascii="Arial" w:cs="Arial" w:eastAsia="Arial" w:hAnsi="Arial"/>
          <w:sz w:val="16"/>
          <w:szCs w:val="16"/>
          <w:color w:val="auto"/>
        </w:rPr>
      </w:pPr>
      <w:r>
        <w:rPr>
          <w:rFonts w:ascii="Arial" w:cs="Arial" w:eastAsia="Arial" w:hAnsi="Arial"/>
          <w:sz w:val="16"/>
          <w:szCs w:val="16"/>
          <w:color w:val="auto"/>
        </w:rPr>
        <w:t>We recorded $131 million of net other-than-temporary impairments for the six months ended June 30, 2010 as compared to $749 million for the six months ended June 30, 2009. Of total impairments, for the six months ended June 30, 2010 and 2009, $105 million and $389 million, respectively, related to structured securities, including $59 million and $268 million, respectively, related to sub-prime and Alt-A residential mortgage-backed and asset-backed securities. Impairments related to corporate securities as a result of bankruptcies, receivership or concerns about the issuer’s ability to continue to make contractual payments or where we have intent to sell were $5 million and $59 million for the six months ended June 30, 2010 and 2009, respectively. We also recorded $6 million and $245 million of impairments related to financial hybrid securities primarily from banks in the U.K., Ireland and the Netherlands during the six months ended June 30, 2010 and 2009, respectively. For the six months ended June 30, 2010, we recorded $10 million of impairments related to limited partnership investments and $5 million related to commercial mortgage loans. We recorded a $36 million impairment related to a retained interest in securitized assets based on revised assumptions regarding cash flows from the assets underlying this securitization transaction during the six months ended June 30, 2009. We concluded the value of our retained interest was zero and recognized the full impairment in the prior year.</w:t>
      </w:r>
    </w:p>
    <w:p>
      <w:pPr>
        <w:spacing w:after="0" w:line="46" w:lineRule="exact"/>
        <w:rPr>
          <w:rFonts w:ascii="Arial" w:cs="Arial" w:eastAsia="Arial" w:hAnsi="Arial"/>
          <w:sz w:val="16"/>
          <w:szCs w:val="16"/>
          <w:color w:val="auto"/>
        </w:rPr>
      </w:pPr>
    </w:p>
    <w:p>
      <w:pPr>
        <w:ind w:left="900" w:right="20" w:hanging="325"/>
        <w:spacing w:after="0" w:line="287" w:lineRule="auto"/>
        <w:tabs>
          <w:tab w:leader="none" w:pos="900" w:val="left"/>
        </w:tabs>
        <w:numPr>
          <w:ilvl w:val="0"/>
          <w:numId w:val="50"/>
        </w:numPr>
        <w:rPr>
          <w:rFonts w:ascii="Arial" w:cs="Arial" w:eastAsia="Arial" w:hAnsi="Arial"/>
          <w:sz w:val="16"/>
          <w:szCs w:val="16"/>
          <w:color w:val="auto"/>
        </w:rPr>
      </w:pPr>
      <w:r>
        <w:rPr>
          <w:rFonts w:ascii="Arial" w:cs="Arial" w:eastAsia="Arial" w:hAnsi="Arial"/>
          <w:sz w:val="16"/>
          <w:szCs w:val="16"/>
          <w:color w:val="auto"/>
        </w:rPr>
        <w:t>Net investment losses related to derivatives of $46 million for the six months ended June 30, 2010 were primarily related to $35 million of losses from the change in value of the embedded derivative liabilities exceeding the change in value of the derivative instruments used for mitigating the risk of embedded derivative liabilities associated with our variable annuity products with GMWBs, $27 million of losses from the change in value of our credit default swaps due to widening credit spreads and $6 million of losses related to a derivative strategy to mitigate the interest rate risk associated with our statutory capital position. These losses were partially offset by $13 million of ineffectiveness gains from our cash flow hedge programs related to our long-term care insurance business, $7 million of gains from other non-qualified interest rate swaps and $2 million of gains related to embedded derivatives associated with certain reinsurance agreements. Net investment losses related to derivatives of $7 million for the six months ended June 30, 2009 were primarily related to losses from a derivative strategy to mitigate the interest rate risk associated with our statutory capital position which were partially offset by gains in embedded derivative liabilities associated with our variable annuity products with GMWBs exceeding the change in value of derivative instruments used for mitigating this risk.</w:t>
      </w:r>
    </w:p>
    <w:p>
      <w:pPr>
        <w:spacing w:after="0" w:line="41" w:lineRule="exact"/>
        <w:rPr>
          <w:rFonts w:ascii="Arial" w:cs="Arial" w:eastAsia="Arial" w:hAnsi="Arial"/>
          <w:sz w:val="16"/>
          <w:szCs w:val="16"/>
          <w:color w:val="auto"/>
        </w:rPr>
      </w:pPr>
    </w:p>
    <w:p>
      <w:pPr>
        <w:ind w:left="900" w:right="20" w:hanging="325"/>
        <w:spacing w:after="0" w:line="255" w:lineRule="auto"/>
        <w:tabs>
          <w:tab w:leader="none" w:pos="9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We also recorded $36 million of net losses related to securitization entities primarily associated with derivatives and $22 million of losses related to commercial mortgage loans from a lower of cost or market adjustment on loans held-for-sale and an increase in the allowance during the six months ended June 30, 2010. There was also a net gain of $16 million from the recovery of a counterparty receivable in 2010. Net gains related to the sale of available-for-sale securities were $2 million during the six months ended June 30, 2010 compared to losses of $61 million during the six months ended June 30, 2009.</w:t>
      </w:r>
    </w:p>
    <w:p>
      <w:pPr>
        <w:spacing w:after="0" w:line="224"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Insurance and investment product fees and other</w:t>
      </w:r>
    </w:p>
    <w:p>
      <w:pPr>
        <w:spacing w:after="0" w:line="90" w:lineRule="exact"/>
        <w:rPr>
          <w:sz w:val="20"/>
          <w:szCs w:val="20"/>
          <w:color w:val="auto"/>
        </w:rPr>
      </w:pPr>
    </w:p>
    <w:p>
      <w:pPr>
        <w:ind w:left="900" w:right="200" w:hanging="325"/>
        <w:spacing w:after="0" w:line="332" w:lineRule="auto"/>
        <w:tabs>
          <w:tab w:leader="none" w:pos="900" w:val="left"/>
        </w:tabs>
        <w:numPr>
          <w:ilvl w:val="0"/>
          <w:numId w:val="51"/>
        </w:numPr>
        <w:rPr>
          <w:rFonts w:ascii="Arial" w:cs="Arial" w:eastAsia="Arial" w:hAnsi="Arial"/>
          <w:sz w:val="16"/>
          <w:szCs w:val="16"/>
          <w:color w:val="auto"/>
        </w:rPr>
      </w:pPr>
      <w:r>
        <w:rPr>
          <w:rFonts w:ascii="Arial" w:cs="Arial" w:eastAsia="Arial" w:hAnsi="Arial"/>
          <w:sz w:val="16"/>
          <w:szCs w:val="16"/>
          <w:color w:val="auto"/>
        </w:rPr>
        <w:t>Our Retirement and Protection segment increased $85 million largely driven by an increase of $40 million in our wealth management business, an increase of $24 million in our life insurance business and an increase of $19 million in our retirement income business.</w:t>
      </w:r>
    </w:p>
    <w:p>
      <w:pPr>
        <w:spacing w:after="0" w:line="4" w:lineRule="exact"/>
        <w:rPr>
          <w:rFonts w:ascii="Arial" w:cs="Arial" w:eastAsia="Arial" w:hAnsi="Arial"/>
          <w:sz w:val="16"/>
          <w:szCs w:val="16"/>
          <w:color w:val="auto"/>
        </w:rPr>
      </w:pPr>
    </w:p>
    <w:p>
      <w:pPr>
        <w:ind w:left="900" w:hanging="325"/>
        <w:spacing w:after="0"/>
        <w:tabs>
          <w:tab w:leader="none" w:pos="9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Corporate and Other activities decreased $116 million.</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380"/>
          </w:cols>
          <w:pgMar w:left="240" w:top="459" w:right="27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Benefits and other changes in policy reserves</w:t>
      </w:r>
    </w:p>
    <w:p>
      <w:pPr>
        <w:spacing w:after="0" w:line="90" w:lineRule="exact"/>
        <w:rPr>
          <w:sz w:val="20"/>
          <w:szCs w:val="20"/>
          <w:color w:val="auto"/>
        </w:rPr>
      </w:pPr>
    </w:p>
    <w:p>
      <w:pPr>
        <w:ind w:left="900" w:right="460" w:hanging="325"/>
        <w:spacing w:after="0" w:line="357" w:lineRule="auto"/>
        <w:tabs>
          <w:tab w:leader="none" w:pos="900" w:val="left"/>
        </w:tabs>
        <w:numPr>
          <w:ilvl w:val="0"/>
          <w:numId w:val="52"/>
        </w:numPr>
        <w:rPr>
          <w:rFonts w:ascii="Arial" w:cs="Arial" w:eastAsia="Arial" w:hAnsi="Arial"/>
          <w:sz w:val="15"/>
          <w:szCs w:val="15"/>
          <w:color w:val="auto"/>
        </w:rPr>
      </w:pPr>
      <w:r>
        <w:rPr>
          <w:rFonts w:ascii="Arial" w:cs="Arial" w:eastAsia="Arial" w:hAnsi="Arial"/>
          <w:sz w:val="15"/>
          <w:szCs w:val="15"/>
          <w:color w:val="auto"/>
        </w:rPr>
        <w:t>Our Retirement and Protection segment increased $98 million primarily attributable to a $69 million increase in our long-term care insurance business and a $39 million increase in our life insurance business, partially offset by a $10 million decrease in our retirement income business.</w:t>
      </w:r>
    </w:p>
    <w:p>
      <w:pPr>
        <w:jc w:val="both"/>
        <w:ind w:left="900" w:hanging="325"/>
        <w:spacing w:after="0" w:line="259" w:lineRule="auto"/>
        <w:tabs>
          <w:tab w:leader="none" w:pos="9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Our International segment decreased $81 million as a result of a decrease of $59 million in our lifestyle protection insurance business and a decrease of $22 million in our international mortgage insurance business. The six months ended June 30, 2010 included an increase of $35 million attributable to changes in foreign exchange rates.</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Our U.S. Mortgage Insurance segment decreased $362 million.</w:t>
      </w:r>
    </w:p>
    <w:p>
      <w:pPr>
        <w:spacing w:after="0" w:line="252"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Interest credited</w:t>
      </w:r>
    </w:p>
    <w:p>
      <w:pPr>
        <w:spacing w:after="0" w:line="90" w:lineRule="exact"/>
        <w:rPr>
          <w:sz w:val="20"/>
          <w:szCs w:val="20"/>
          <w:color w:val="auto"/>
        </w:rPr>
      </w:pPr>
    </w:p>
    <w:p>
      <w:pPr>
        <w:ind w:left="900" w:hanging="325"/>
        <w:spacing w:after="0"/>
        <w:tabs>
          <w:tab w:leader="none" w:pos="9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Our Retirement and Protection segment decreased $20 million principally related to our retirement income business.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Corporate and Other activities decreased $94 million.</w:t>
      </w:r>
    </w:p>
    <w:p>
      <w:pPr>
        <w:spacing w:after="0" w:line="171"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Acquisition and operating expenses, net of deferrals</w:t>
      </w:r>
    </w:p>
    <w:p>
      <w:pPr>
        <w:spacing w:after="0" w:line="90" w:lineRule="exact"/>
        <w:rPr>
          <w:sz w:val="20"/>
          <w:szCs w:val="20"/>
          <w:color w:val="auto"/>
        </w:rPr>
      </w:pPr>
    </w:p>
    <w:p>
      <w:pPr>
        <w:ind w:left="900" w:right="80" w:hanging="325"/>
        <w:spacing w:after="0" w:line="259" w:lineRule="auto"/>
        <w:tabs>
          <w:tab w:leader="none" w:pos="9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Our Retirement and Protection segment increased $68 million primarily attributable to a $31 million increase in our wealth management business, a $21 million increase in our long-term care insurance business, a $12 million increase in our life insurance business and a $4 million increase in our retirement income business.</w:t>
      </w:r>
    </w:p>
    <w:p>
      <w:pPr>
        <w:spacing w:after="0" w:line="59" w:lineRule="exact"/>
        <w:rPr>
          <w:rFonts w:ascii="Arial" w:cs="Arial" w:eastAsia="Arial" w:hAnsi="Arial"/>
          <w:sz w:val="18"/>
          <w:szCs w:val="18"/>
          <w:color w:val="auto"/>
        </w:rPr>
      </w:pPr>
    </w:p>
    <w:p>
      <w:pPr>
        <w:ind w:left="900" w:right="120" w:hanging="325"/>
        <w:spacing w:after="0" w:line="259" w:lineRule="auto"/>
        <w:tabs>
          <w:tab w:leader="none" w:pos="9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Our International segment increased $16 million related to an $18 million increase in our international mortgage insurance business, partially offset by a $2 million decrease in our lifestyle protection insurance business. The six months ended June 30, 2010 included an increase of $19 million attributable to changes in foreign exchange rates.</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Corporate and Other activities decreased $9 million.</w:t>
      </w:r>
    </w:p>
    <w:p>
      <w:pPr>
        <w:spacing w:after="0" w:line="171"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Amortization of deferred acquisition costs and intangibles</w:t>
      </w:r>
    </w:p>
    <w:p>
      <w:pPr>
        <w:spacing w:after="0" w:line="90" w:lineRule="exact"/>
        <w:rPr>
          <w:sz w:val="20"/>
          <w:szCs w:val="20"/>
          <w:color w:val="auto"/>
        </w:rPr>
      </w:pPr>
    </w:p>
    <w:p>
      <w:pPr>
        <w:ind w:left="900" w:right="240" w:hanging="325"/>
        <w:spacing w:after="0" w:line="357" w:lineRule="auto"/>
        <w:tabs>
          <w:tab w:leader="none" w:pos="900" w:val="left"/>
        </w:tabs>
        <w:numPr>
          <w:ilvl w:val="0"/>
          <w:numId w:val="55"/>
        </w:numPr>
        <w:rPr>
          <w:rFonts w:ascii="Arial" w:cs="Arial" w:eastAsia="Arial" w:hAnsi="Arial"/>
          <w:sz w:val="15"/>
          <w:szCs w:val="15"/>
          <w:color w:val="auto"/>
        </w:rPr>
      </w:pPr>
      <w:r>
        <w:rPr>
          <w:rFonts w:ascii="Arial" w:cs="Arial" w:eastAsia="Arial" w:hAnsi="Arial"/>
          <w:sz w:val="15"/>
          <w:szCs w:val="15"/>
          <w:color w:val="auto"/>
        </w:rPr>
        <w:t>Our Retirement and Protection segment decreased $92 million primarily attributable to a $104 million decrease in our retirement income business and a $12 million decrease in our long-term care insurance business, partially offset by a $24 million increase in our life insurance business.</w:t>
      </w:r>
    </w:p>
    <w:p>
      <w:pPr>
        <w:ind w:left="900" w:right="240" w:hanging="325"/>
        <w:spacing w:after="0" w:line="259" w:lineRule="auto"/>
        <w:tabs>
          <w:tab w:leader="none" w:pos="9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Our International segment was relatively flat as a $14 million decrease in our lifestyle protection insurance business was offset by a $13 million increase in our international mortgage insurance business. The six months ended June 30, 2010 included an increase of $10 million attributable to changes in foreign exchange rates.</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increased primarily related to a $12 million increase in Corporate and Other activities.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5"/>
          <w:szCs w:val="15"/>
          <w:i w:val="1"/>
          <w:iCs w:val="1"/>
          <w:color w:val="auto"/>
        </w:rPr>
        <w:t>Benefit for income taxes</w:t>
      </w:r>
      <w:r>
        <w:rPr>
          <w:rFonts w:ascii="Arial" w:cs="Arial" w:eastAsia="Arial" w:hAnsi="Arial"/>
          <w:sz w:val="15"/>
          <w:szCs w:val="15"/>
          <w:color w:val="auto"/>
        </w:rPr>
        <w:t>. The effective tax rate decreased to (51.3)% for the six months ended June 30, 2010 from 41.5% for the six months ended June 30,</w:t>
      </w:r>
    </w:p>
    <w:p>
      <w:pPr>
        <w:spacing w:after="0" w:line="50" w:lineRule="exact"/>
        <w:rPr>
          <w:sz w:val="20"/>
          <w:szCs w:val="20"/>
          <w:color w:val="auto"/>
        </w:rPr>
      </w:pPr>
    </w:p>
    <w:p>
      <w:pPr>
        <w:ind w:right="280"/>
        <w:spacing w:after="0" w:line="255" w:lineRule="auto"/>
        <w:rPr>
          <w:sz w:val="20"/>
          <w:szCs w:val="20"/>
          <w:color w:val="auto"/>
        </w:rPr>
      </w:pPr>
      <w:r>
        <w:rPr>
          <w:rFonts w:ascii="Arial" w:cs="Arial" w:eastAsia="Arial" w:hAnsi="Arial"/>
          <w:sz w:val="18"/>
          <w:szCs w:val="18"/>
          <w:color w:val="auto"/>
        </w:rPr>
        <w:t>2009. This decrease in the effective tax rate was attributable to changes in uncertain tax benefits related to our separation from our former parent, favorable impact of newly enacted Australian tax legislation</w:t>
      </w:r>
      <w:r>
        <w:rPr>
          <w:rFonts w:ascii="Arial" w:cs="Arial" w:eastAsia="Arial" w:hAnsi="Arial"/>
          <w:sz w:val="18"/>
          <w:szCs w:val="18"/>
          <w:b w:val="1"/>
          <w:bCs w:val="1"/>
          <w:color w:val="auto"/>
        </w:rPr>
        <w:t>,</w:t>
      </w:r>
      <w:r>
        <w:rPr>
          <w:rFonts w:ascii="Arial" w:cs="Arial" w:eastAsia="Arial" w:hAnsi="Arial"/>
          <w:sz w:val="18"/>
          <w:szCs w:val="18"/>
          <w:color w:val="auto"/>
        </w:rPr>
        <w:t xml:space="preserve"> lower taxed foreign income and tax favored investments. The six months ended June 30, 2010 included an increase of $19 million attributable to changes in foreign exchange rates.</w:t>
      </w:r>
    </w:p>
    <w:p>
      <w:pPr>
        <w:spacing w:after="0" w:line="144"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i w:val="1"/>
          <w:iCs w:val="1"/>
          <w:color w:val="auto"/>
        </w:rPr>
        <w:t>Net income attributable to noncontrolling interests</w:t>
      </w:r>
      <w:r>
        <w:rPr>
          <w:rFonts w:ascii="Arial" w:cs="Arial" w:eastAsia="Arial" w:hAnsi="Arial"/>
          <w:sz w:val="18"/>
          <w:szCs w:val="18"/>
          <w:color w:val="auto"/>
        </w:rPr>
        <w:t>. The increase related to the initial public offering of our Canadian mortgage insurance business in July</w:t>
      </w:r>
      <w:r>
        <w:rPr>
          <w:rFonts w:ascii="Arial" w:cs="Arial" w:eastAsia="Arial" w:hAnsi="Arial"/>
          <w:sz w:val="18"/>
          <w:szCs w:val="18"/>
          <w:i w:val="1"/>
          <w:iCs w:val="1"/>
          <w:color w:val="auto"/>
        </w:rPr>
        <w:t xml:space="preserve"> </w:t>
      </w:r>
      <w:r>
        <w:rPr>
          <w:rFonts w:ascii="Arial" w:cs="Arial" w:eastAsia="Arial" w:hAnsi="Arial"/>
          <w:sz w:val="18"/>
          <w:szCs w:val="18"/>
          <w:color w:val="auto"/>
        </w:rPr>
        <w:t>2009 which reduced our ownership percentage to 57.5%. The six months ended June 30, 2010 included an increase of $9 million attributable to changes in foreign exchange rates.</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380"/>
          </w:cols>
          <w:pgMar w:left="240" w:top="459" w:right="27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i w:val="1"/>
          <w:iCs w:val="1"/>
          <w:color w:val="auto"/>
        </w:rPr>
        <w:t xml:space="preserve">Net income (loss) available to Genworth Financial, Inc.’s common stockholders. </w:t>
      </w:r>
      <w:r>
        <w:rPr>
          <w:rFonts w:ascii="Arial" w:cs="Arial" w:eastAsia="Arial" w:hAnsi="Arial"/>
          <w:sz w:val="16"/>
          <w:szCs w:val="16"/>
          <w:color w:val="auto"/>
        </w:rPr>
        <w:t>We reported net income available to Genworth Financial, Inc.’s common</w:t>
      </w:r>
      <w:r>
        <w:rPr>
          <w:rFonts w:ascii="Arial" w:cs="Arial" w:eastAsia="Arial" w:hAnsi="Arial"/>
          <w:sz w:val="16"/>
          <w:szCs w:val="16"/>
          <w:i w:val="1"/>
          <w:iCs w:val="1"/>
          <w:color w:val="auto"/>
        </w:rPr>
        <w:t xml:space="preserve"> </w:t>
      </w:r>
      <w:r>
        <w:rPr>
          <w:rFonts w:ascii="Arial" w:cs="Arial" w:eastAsia="Arial" w:hAnsi="Arial"/>
          <w:sz w:val="16"/>
          <w:szCs w:val="16"/>
          <w:color w:val="auto"/>
        </w:rPr>
        <w:t>stockholders in the current year compared to a net loss available to Genworth Financial, Inc.’s common stockholders in the prior year primarily related to additional tax benefits recognized in the current year, lower net investment losses and a lower loss in our U.S. mortgage insurance business. For a discussion of our Retirement and Protection, International and U.S. Mortgage Insurance segments and Corporate and Other activities, see the “—Results of Operations and Selected Financial and Operating Performance Measures by Segment.” Included in net income available to Genworth Financial, Inc.’s common stockholders was an increase of $32 million, net of tax, attributable to changes in foreign exchange rates.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Reconciliation of net income (loss) to net operating income available to Genworth Financial, Inc.’s common stockholders</w:t>
      </w:r>
    </w:p>
    <w:p>
      <w:pPr>
        <w:spacing w:after="0" w:line="90" w:lineRule="exact"/>
        <w:rPr>
          <w:sz w:val="20"/>
          <w:szCs w:val="20"/>
          <w:color w:val="auto"/>
        </w:rPr>
      </w:pPr>
    </w:p>
    <w:p>
      <w:pPr>
        <w:ind w:right="40" w:firstLine="456"/>
        <w:spacing w:after="0" w:line="286" w:lineRule="auto"/>
        <w:rPr>
          <w:sz w:val="20"/>
          <w:szCs w:val="20"/>
          <w:color w:val="auto"/>
        </w:rPr>
      </w:pPr>
      <w:r>
        <w:rPr>
          <w:rFonts w:ascii="Arial" w:cs="Arial" w:eastAsia="Arial" w:hAnsi="Arial"/>
          <w:sz w:val="16"/>
          <w:szCs w:val="16"/>
          <w:color w:val="auto"/>
        </w:rPr>
        <w:t>Net operating income available to Genworth Financial, Inc.’s common stockholders for the three months ended June 30, 2010 and 2009 was $118 million and $9 million, respectively. Net operating income available to Genworth Financial, Inc.’s common stockholders for the six months ended June 30, 2010 and 2009 was $232 million and $23 million, respectively. We define net operating income available to Genworth Financial, Inc.’s common stockholders as income (loss) from continuing operations excluding net income attributable to noncontrolling interests, after-tax net investment gains (losses) and other adjustments and infrequent or unusual non-operating items. We exclude net investment gains (losses) and infrequent or unusual non-operating items because we do not consider them to be related to the operating performance of our segments and Corporate and Other activities. A significant component of our net investment gains (losses) is the result of impairments, the size and timing of which can vary significantly depending on market credit cycles. In addition, the size and timing of other investment gains (losses) are often subject to our discretion and are influenced by market opportunities, as well as asset-liability matching considerations. Infrequent or unusual non-operating items are also excluded from net operating income available to Genworth Financial, Inc.’s common stockholders if, in our opinion, they are not indicative of overall operating trends. There were no infrequent or unusual non-operating items excluded from net operating income available to Genworth Financial, Inc.’s common stockholders during the periods presented other than a $106 million tax benefit related to separation from our former parent recorded in the first quarter of 2010.</w:t>
      </w:r>
    </w:p>
    <w:p>
      <w:pPr>
        <w:spacing w:after="0" w:line="124"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While some of these items may be significant components of net income (loss) available to Genworth Financial, Inc.’s common stockholders in accordance with U.S. GAAP, we believe that net operating income available to Genworth Financial, Inc.’s common stockholders, and measures that are derived from or incorporate net operating income available to Genworth Financial, Inc.’s common stockholders, are appropriate measures that are useful to investors because they identify the income (loss) attributable to the ongoing operations of the business. However, net operating income available to Genworth Financial, Inc.’s common stockholders is not a substitute for net income (loss) available to Genworth Financial, Inc.’s common stockholders determined in accordance with U.S. GAAP. In addition, our definition of net operating income available to Genworth Financial, Inc.’s common stockholders may differ from the definitions used by other companies.</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380"/>
          </w:cols>
          <w:pgMar w:left="240" w:top="459" w:right="27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The following table includes a reconciliation of net income (loss) to net operating income available to Genworth Financial, Inc.’s common stockholders for the periods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20" w:type="dxa"/>
            <w:vAlign w:val="bottom"/>
            <w:gridSpan w:val="6"/>
          </w:tcPr>
          <w:p>
            <w:pPr>
              <w:jc w:val="right"/>
              <w:ind w:right="820"/>
              <w:spacing w:after="0"/>
              <w:rPr>
                <w:sz w:val="20"/>
                <w:szCs w:val="20"/>
                <w:color w:val="auto"/>
              </w:rPr>
            </w:pPr>
            <w:r>
              <w:rPr>
                <w:rFonts w:ascii="Arial" w:cs="Arial" w:eastAsia="Arial" w:hAnsi="Arial"/>
                <w:sz w:val="14"/>
                <w:szCs w:val="14"/>
                <w:b w:val="1"/>
                <w:bCs w:val="1"/>
                <w:color w:val="auto"/>
                <w:w w:val="92"/>
              </w:rPr>
              <w:t>Three months ended</w:t>
            </w:r>
          </w:p>
        </w:tc>
        <w:tc>
          <w:tcPr>
            <w:tcW w:w="100" w:type="dxa"/>
            <w:vAlign w:val="bottom"/>
          </w:tcPr>
          <w:p>
            <w:pPr>
              <w:spacing w:after="0"/>
              <w:rPr>
                <w:sz w:val="14"/>
                <w:szCs w:val="14"/>
                <w:color w:val="auto"/>
              </w:rPr>
            </w:pPr>
          </w:p>
        </w:tc>
        <w:tc>
          <w:tcPr>
            <w:tcW w:w="1500" w:type="dxa"/>
            <w:vAlign w:val="bottom"/>
            <w:gridSpan w:val="6"/>
          </w:tcPr>
          <w:p>
            <w:pPr>
              <w:jc w:val="right"/>
              <w:ind w:right="340"/>
              <w:spacing w:after="0"/>
              <w:rPr>
                <w:sz w:val="20"/>
                <w:szCs w:val="20"/>
                <w:color w:val="auto"/>
              </w:rPr>
            </w:pPr>
            <w:r>
              <w:rPr>
                <w:rFonts w:ascii="Arial" w:cs="Arial" w:eastAsia="Arial" w:hAnsi="Arial"/>
                <w:sz w:val="14"/>
                <w:szCs w:val="14"/>
                <w:b w:val="1"/>
                <w:bCs w:val="1"/>
                <w:color w:val="auto"/>
                <w:w w:val="94"/>
              </w:rPr>
              <w:t>Six months ended</w:t>
            </w:r>
          </w:p>
        </w:tc>
        <w:tc>
          <w:tcPr>
            <w:tcW w:w="0" w:type="dxa"/>
            <w:vAlign w:val="bottom"/>
          </w:tcPr>
          <w:p>
            <w:pPr>
              <w:spacing w:after="0"/>
              <w:rPr>
                <w:sz w:val="1"/>
                <w:szCs w:val="1"/>
                <w:color w:val="auto"/>
              </w:rPr>
            </w:pPr>
          </w:p>
        </w:tc>
      </w:tr>
      <w:tr>
        <w:trPr>
          <w:trHeight w:val="161"/>
        </w:trPr>
        <w:tc>
          <w:tcPr>
            <w:tcW w:w="76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w w:val="82"/>
              </w:rPr>
              <w:t>June 30,</w:t>
            </w:r>
          </w:p>
        </w:tc>
        <w:tc>
          <w:tcPr>
            <w:tcW w:w="460" w:type="dxa"/>
            <w:vAlign w:val="bottom"/>
            <w:tcBorders>
              <w:bottom w:val="single" w:sz="8" w:color="auto"/>
            </w:tcBorders>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w w:val="82"/>
              </w:rPr>
              <w:t>June 30,</w:t>
            </w:r>
          </w:p>
        </w:tc>
        <w:tc>
          <w:tcPr>
            <w:tcW w:w="3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60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7"/>
              <w:spacing w:after="0" w:line="142" w:lineRule="exact"/>
              <w:rPr>
                <w:sz w:val="20"/>
                <w:szCs w:val="20"/>
                <w:color w:val="auto"/>
              </w:rPr>
            </w:pPr>
            <w:r>
              <w:rPr>
                <w:rFonts w:ascii="Arial" w:cs="Arial" w:eastAsia="Arial" w:hAnsi="Arial"/>
                <w:sz w:val="14"/>
                <w:szCs w:val="14"/>
                <w:b w:val="1"/>
                <w:bCs w:val="1"/>
                <w:color w:val="auto"/>
                <w:w w:val="89"/>
              </w:rPr>
              <w:t>2010</w:t>
            </w:r>
          </w:p>
        </w:tc>
        <w:tc>
          <w:tcPr>
            <w:tcW w:w="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ind w:right="55"/>
              <w:spacing w:after="0" w:line="142" w:lineRule="exact"/>
              <w:rPr>
                <w:sz w:val="20"/>
                <w:szCs w:val="20"/>
                <w:color w:val="auto"/>
              </w:rPr>
            </w:pPr>
            <w:r>
              <w:rPr>
                <w:rFonts w:ascii="Arial" w:cs="Arial" w:eastAsia="Arial" w:hAnsi="Arial"/>
                <w:sz w:val="14"/>
                <w:szCs w:val="14"/>
                <w:b w:val="1"/>
                <w:bCs w:val="1"/>
                <w:color w:val="auto"/>
                <w:w w:val="96"/>
              </w:rPr>
              <w:t>2009</w:t>
            </w:r>
          </w:p>
        </w:tc>
        <w:tc>
          <w:tcPr>
            <w:tcW w:w="600" w:type="dxa"/>
            <w:vAlign w:val="bottom"/>
          </w:tcPr>
          <w:p>
            <w:pPr>
              <w:spacing w:after="0"/>
              <w:rPr>
                <w:sz w:val="12"/>
                <w:szCs w:val="12"/>
                <w:color w:val="auto"/>
              </w:rPr>
            </w:pPr>
          </w:p>
        </w:tc>
        <w:tc>
          <w:tcPr>
            <w:tcW w:w="44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2010</w:t>
            </w: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jc w:val="right"/>
              <w:ind w:right="15"/>
              <w:spacing w:after="0" w:line="142" w:lineRule="exact"/>
              <w:rPr>
                <w:sz w:val="20"/>
                <w:szCs w:val="20"/>
                <w:color w:val="auto"/>
              </w:rPr>
            </w:pPr>
            <w:r>
              <w:rPr>
                <w:rFonts w:ascii="Arial" w:cs="Arial" w:eastAsia="Arial" w:hAnsi="Arial"/>
                <w:sz w:val="14"/>
                <w:szCs w:val="14"/>
                <w:b w:val="1"/>
                <w:bCs w:val="1"/>
                <w:color w:val="auto"/>
                <w:w w:val="76"/>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320" w:type="dxa"/>
            <w:vAlign w:val="bottom"/>
            <w:shd w:val="clear" w:color="auto" w:fill="CCEEFF"/>
          </w:tcPr>
          <w:p>
            <w:pPr>
              <w:spacing w:after="0"/>
              <w:rPr>
                <w:sz w:val="20"/>
                <w:szCs w:val="20"/>
                <w:color w:val="auto"/>
              </w:rPr>
            </w:pPr>
            <w:r>
              <w:rPr>
                <w:rFonts w:ascii="Arial" w:cs="Arial" w:eastAsia="Arial" w:hAnsi="Arial"/>
                <w:sz w:val="18"/>
                <w:szCs w:val="18"/>
                <w:color w:val="auto"/>
                <w:w w:val="92"/>
              </w:rPr>
              <w:t>Net income (loss)</w:t>
            </w:r>
          </w:p>
        </w:tc>
        <w:tc>
          <w:tcPr>
            <w:tcW w:w="62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289</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(519)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580" w:type="dxa"/>
            <w:vAlign w:val="bottom"/>
            <w:gridSpan w:val="2"/>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w:t>
            </w:r>
          </w:p>
        </w:tc>
        <w:tc>
          <w:tcPr>
            <w:tcW w:w="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(loss) available to Genworth Financial, Inc.’s common stockholders</w:t>
            </w: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42</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220</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(519)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tcPr>
          <w:p>
            <w:pPr>
              <w:spacing w:after="0"/>
              <w:rPr>
                <w:sz w:val="20"/>
                <w:szCs w:val="20"/>
                <w:color w:val="auto"/>
              </w:rPr>
            </w:pPr>
            <w:r>
              <w:rPr>
                <w:rFonts w:ascii="Arial" w:cs="Arial" w:eastAsia="Arial" w:hAnsi="Arial"/>
                <w:sz w:val="18"/>
                <w:szCs w:val="18"/>
                <w:color w:val="auto"/>
              </w:rPr>
              <w:t>Adjustments to net income (loss) available to Genworth Financial, Inc.’s common stockholders:</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76</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118</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tcPr>
          <w:p>
            <w:pPr>
              <w:spacing w:after="0"/>
              <w:rPr>
                <w:sz w:val="20"/>
                <w:szCs w:val="20"/>
                <w:color w:val="auto"/>
              </w:rPr>
            </w:pPr>
            <w:r>
              <w:rPr>
                <w:rFonts w:ascii="Arial" w:cs="Arial" w:eastAsia="Arial" w:hAnsi="Arial"/>
                <w:sz w:val="18"/>
                <w:szCs w:val="18"/>
                <w:color w:val="auto"/>
              </w:rPr>
              <w:t>Net tax benefit related to separation from our former parent</w:t>
            </w: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gridSpan w:val="2"/>
          </w:tcPr>
          <w:p>
            <w:pPr>
              <w:jc w:val="right"/>
              <w:spacing w:after="0"/>
              <w:rPr>
                <w:sz w:val="20"/>
                <w:szCs w:val="20"/>
                <w:color w:val="auto"/>
              </w:rPr>
            </w:pPr>
            <w:r>
              <w:rPr>
                <w:rFonts w:ascii="Arial" w:cs="Arial" w:eastAsia="Arial" w:hAnsi="Arial"/>
                <w:sz w:val="18"/>
                <w:szCs w:val="18"/>
                <w:color w:val="auto"/>
                <w:w w:val="90"/>
              </w:rPr>
              <w:t>(106)</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6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operating income available to Genworth Financial, Inc.’s common stockholders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w:t>
            </w:r>
          </w:p>
        </w:tc>
        <w:tc>
          <w:tcPr>
            <w:tcW w:w="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232</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Earnings (loss) per share</w:t>
      </w:r>
    </w:p>
    <w:p>
      <w:pPr>
        <w:spacing w:after="0" w:line="90"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The following table provides basic and diluted net income (loss) available to Genworth Financial, Inc.’s common stockholder per common share for the periods indicated:</w:t>
      </w:r>
    </w:p>
    <w:p>
      <w:pPr>
        <w:spacing w:after="0" w:line="156"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960" w:type="dxa"/>
            <w:vAlign w:val="bottom"/>
          </w:tcPr>
          <w:p>
            <w:pPr>
              <w:spacing w:after="0"/>
              <w:rPr>
                <w:sz w:val="14"/>
                <w:szCs w:val="14"/>
                <w:color w:val="auto"/>
              </w:rPr>
            </w:pPr>
          </w:p>
        </w:tc>
        <w:tc>
          <w:tcPr>
            <w:tcW w:w="3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00" w:type="dxa"/>
            <w:vAlign w:val="bottom"/>
            <w:gridSpan w:val="5"/>
          </w:tcPr>
          <w:p>
            <w:pPr>
              <w:jc w:val="right"/>
              <w:ind w:right="580"/>
              <w:spacing w:after="0"/>
              <w:rPr>
                <w:sz w:val="20"/>
                <w:szCs w:val="20"/>
                <w:color w:val="auto"/>
              </w:rPr>
            </w:pPr>
            <w:r>
              <w:rPr>
                <w:rFonts w:ascii="Arial" w:cs="Arial" w:eastAsia="Arial" w:hAnsi="Arial"/>
                <w:sz w:val="14"/>
                <w:szCs w:val="14"/>
                <w:b w:val="1"/>
                <w:bCs w:val="1"/>
                <w:color w:val="auto"/>
                <w:w w:val="94"/>
              </w:rPr>
              <w:t>Three months ended</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gridSpan w:val="5"/>
          </w:tcPr>
          <w:p>
            <w:pPr>
              <w:jc w:val="right"/>
              <w:ind w:right="340"/>
              <w:spacing w:after="0"/>
              <w:rPr>
                <w:sz w:val="20"/>
                <w:szCs w:val="20"/>
                <w:color w:val="auto"/>
              </w:rPr>
            </w:pPr>
            <w:r>
              <w:rPr>
                <w:rFonts w:ascii="Arial" w:cs="Arial" w:eastAsia="Arial" w:hAnsi="Arial"/>
                <w:sz w:val="14"/>
                <w:szCs w:val="14"/>
                <w:b w:val="1"/>
                <w:bCs w:val="1"/>
                <w:color w:val="auto"/>
                <w:w w:val="92"/>
              </w:rPr>
              <w:t>Six months ended</w:t>
            </w:r>
          </w:p>
        </w:tc>
        <w:tc>
          <w:tcPr>
            <w:tcW w:w="0" w:type="dxa"/>
            <w:vAlign w:val="bottom"/>
          </w:tcPr>
          <w:p>
            <w:pPr>
              <w:spacing w:after="0"/>
              <w:rPr>
                <w:sz w:val="1"/>
                <w:szCs w:val="1"/>
                <w:color w:val="auto"/>
              </w:rPr>
            </w:pPr>
          </w:p>
        </w:tc>
      </w:tr>
      <w:tr>
        <w:trPr>
          <w:trHeight w:val="161"/>
        </w:trPr>
        <w:tc>
          <w:tcPr>
            <w:tcW w:w="66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 except per share amounts)</w:t>
            </w: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w w:val="92"/>
              </w:rPr>
              <w:t>June 30,</w:t>
            </w: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gridSpan w:val="5"/>
          </w:tcPr>
          <w:p>
            <w:pPr>
              <w:jc w:val="right"/>
              <w:ind w:right="600"/>
              <w:spacing w:after="0"/>
              <w:rPr>
                <w:sz w:val="20"/>
                <w:szCs w:val="20"/>
                <w:color w:val="auto"/>
              </w:rPr>
            </w:pPr>
            <w:r>
              <w:rPr>
                <w:rFonts w:ascii="Arial" w:cs="Arial" w:eastAsia="Arial" w:hAnsi="Arial"/>
                <w:sz w:val="14"/>
                <w:szCs w:val="14"/>
                <w:b w:val="1"/>
                <w:bCs w:val="1"/>
                <w:color w:val="auto"/>
              </w:rPr>
              <w:t>June 30,</w:t>
            </w:r>
          </w:p>
        </w:tc>
        <w:tc>
          <w:tcPr>
            <w:tcW w:w="0" w:type="dxa"/>
            <w:vAlign w:val="bottom"/>
          </w:tcPr>
          <w:p>
            <w:pPr>
              <w:spacing w:after="0"/>
              <w:rPr>
                <w:sz w:val="1"/>
                <w:szCs w:val="1"/>
                <w:color w:val="auto"/>
              </w:rPr>
            </w:pPr>
          </w:p>
        </w:tc>
      </w:tr>
      <w:tr>
        <w:trPr>
          <w:trHeight w:val="142"/>
        </w:trPr>
        <w:tc>
          <w:tcPr>
            <w:tcW w:w="6660" w:type="dxa"/>
            <w:vAlign w:val="bottom"/>
            <w:gridSpan w:val="3"/>
            <w:vMerge w:val="continue"/>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ind w:right="59"/>
              <w:spacing w:after="0" w:line="142" w:lineRule="exact"/>
              <w:rPr>
                <w:sz w:val="20"/>
                <w:szCs w:val="20"/>
                <w:color w:val="auto"/>
              </w:rPr>
            </w:pPr>
            <w:r>
              <w:rPr>
                <w:rFonts w:ascii="Arial" w:cs="Arial" w:eastAsia="Arial" w:hAnsi="Arial"/>
                <w:sz w:val="14"/>
                <w:szCs w:val="14"/>
                <w:b w:val="1"/>
                <w:bCs w:val="1"/>
                <w:color w:val="auto"/>
                <w:w w:val="89"/>
              </w:rPr>
              <w:t>2010</w:t>
            </w:r>
          </w:p>
        </w:tc>
        <w:tc>
          <w:tcPr>
            <w:tcW w:w="56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ind w:right="76"/>
              <w:spacing w:after="0" w:line="142" w:lineRule="exact"/>
              <w:rPr>
                <w:sz w:val="20"/>
                <w:szCs w:val="20"/>
                <w:color w:val="auto"/>
              </w:rPr>
            </w:pPr>
            <w:r>
              <w:rPr>
                <w:rFonts w:ascii="Arial" w:cs="Arial" w:eastAsia="Arial" w:hAnsi="Arial"/>
                <w:sz w:val="14"/>
                <w:szCs w:val="14"/>
                <w:b w:val="1"/>
                <w:bCs w:val="1"/>
                <w:color w:val="auto"/>
                <w:w w:val="89"/>
              </w:rPr>
              <w:t>2009</w:t>
            </w: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jc w:val="right"/>
              <w:ind w:right="41"/>
              <w:spacing w:after="0" w:line="142" w:lineRule="exact"/>
              <w:rPr>
                <w:sz w:val="20"/>
                <w:szCs w:val="20"/>
                <w:color w:val="auto"/>
              </w:rPr>
            </w:pPr>
            <w:r>
              <w:rPr>
                <w:rFonts w:ascii="Arial" w:cs="Arial" w:eastAsia="Arial" w:hAnsi="Arial"/>
                <w:sz w:val="14"/>
                <w:szCs w:val="14"/>
                <w:b w:val="1"/>
                <w:bCs w:val="1"/>
                <w:color w:val="auto"/>
                <w:w w:val="83"/>
              </w:rPr>
              <w:t>2010</w:t>
            </w:r>
          </w:p>
        </w:tc>
        <w:tc>
          <w:tcPr>
            <w:tcW w:w="24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gridSpan w:val="2"/>
          </w:tcPr>
          <w:p>
            <w:pPr>
              <w:jc w:val="right"/>
              <w:ind w:right="120"/>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960" w:type="dxa"/>
            <w:vAlign w:val="bottom"/>
            <w:shd w:val="clear" w:color="auto" w:fill="000000"/>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66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Net income (loss) available to Genworth Financial, Inc.’s common stockholders per</w:t>
            </w: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6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common share:</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40" w:type="dxa"/>
            <w:vAlign w:val="bottom"/>
            <w:gridSpan w:val="2"/>
          </w:tcPr>
          <w:p>
            <w:pPr>
              <w:ind w:left="420"/>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0.09</w:t>
            </w: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60"/>
              <w:spacing w:after="0"/>
              <w:rPr>
                <w:sz w:val="20"/>
                <w:szCs w:val="20"/>
                <w:color w:val="auto"/>
              </w:rPr>
            </w:pPr>
            <w:r>
              <w:rPr>
                <w:rFonts w:ascii="Arial" w:cs="Arial" w:eastAsia="Arial" w:hAnsi="Arial"/>
                <w:sz w:val="18"/>
                <w:szCs w:val="18"/>
                <w:color w:val="auto"/>
              </w:rPr>
              <w:t>(0.11)</w:t>
            </w:r>
          </w:p>
        </w:tc>
        <w:tc>
          <w:tcPr>
            <w:tcW w:w="3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0.45</w:t>
            </w:r>
          </w:p>
        </w:tc>
        <w:tc>
          <w:tcPr>
            <w:tcW w:w="840" w:type="dxa"/>
            <w:vAlign w:val="bottom"/>
            <w:gridSpan w:val="3"/>
          </w:tcPr>
          <w:p>
            <w:pPr>
              <w:jc w:val="right"/>
              <w:ind w:right="40"/>
              <w:spacing w:after="0"/>
              <w:rPr>
                <w:sz w:val="20"/>
                <w:szCs w:val="20"/>
                <w:color w:val="auto"/>
              </w:rPr>
            </w:pPr>
            <w:r>
              <w:rPr>
                <w:rFonts w:ascii="Arial" w:cs="Arial" w:eastAsia="Arial" w:hAnsi="Arial"/>
                <w:sz w:val="18"/>
                <w:szCs w:val="18"/>
                <w:color w:val="auto"/>
              </w:rPr>
              <w:t>$ (1.20)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6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Diluted</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0.08</w:t>
            </w: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(0.11)</w:t>
            </w:r>
          </w:p>
        </w:tc>
        <w:tc>
          <w:tcPr>
            <w:tcW w:w="3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0.45</w:t>
            </w: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 (1.20)</w:t>
            </w:r>
          </w:p>
        </w:tc>
        <w:tc>
          <w:tcPr>
            <w:tcW w:w="0" w:type="dxa"/>
            <w:vAlign w:val="bottom"/>
          </w:tcPr>
          <w:p>
            <w:pPr>
              <w:spacing w:after="0"/>
              <w:rPr>
                <w:sz w:val="1"/>
                <w:szCs w:val="1"/>
                <w:color w:val="auto"/>
              </w:rPr>
            </w:pPr>
          </w:p>
        </w:tc>
      </w:tr>
      <w:tr>
        <w:trPr>
          <w:trHeight w:val="20"/>
        </w:trPr>
        <w:tc>
          <w:tcPr>
            <w:tcW w:w="6660" w:type="dxa"/>
            <w:vAlign w:val="bottom"/>
            <w:gridSpan w:val="3"/>
            <w:vMerge w:val="restart"/>
          </w:tcPr>
          <w:p>
            <w:pPr>
              <w:spacing w:after="0"/>
              <w:rPr>
                <w:sz w:val="20"/>
                <w:szCs w:val="20"/>
                <w:color w:val="auto"/>
              </w:rPr>
            </w:pPr>
            <w:r>
              <w:rPr>
                <w:rFonts w:ascii="Arial" w:cs="Arial" w:eastAsia="Arial" w:hAnsi="Arial"/>
                <w:sz w:val="18"/>
                <w:szCs w:val="18"/>
                <w:color w:val="auto"/>
              </w:rPr>
              <w:t>Weighted-average common shares outstanding:</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66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6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Basic</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489.1</w:t>
            </w:r>
          </w:p>
        </w:tc>
        <w:tc>
          <w:tcPr>
            <w:tcW w:w="5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433.2</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4"/>
              </w:rPr>
              <w:t>489.0</w:t>
            </w:r>
          </w:p>
        </w:tc>
        <w:tc>
          <w:tcPr>
            <w:tcW w:w="8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433.2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640" w:type="dxa"/>
            <w:vAlign w:val="bottom"/>
            <w:gridSpan w:val="2"/>
            <w:vMerge w:val="restart"/>
          </w:tcPr>
          <w:p>
            <w:pPr>
              <w:ind w:left="420"/>
              <w:spacing w:after="0"/>
              <w:rPr>
                <w:sz w:val="20"/>
                <w:szCs w:val="20"/>
                <w:color w:val="auto"/>
              </w:rPr>
            </w:pPr>
            <w:r>
              <w:rPr>
                <w:rFonts w:ascii="Arial" w:cs="Arial" w:eastAsia="Arial" w:hAnsi="Arial"/>
                <w:sz w:val="18"/>
                <w:szCs w:val="18"/>
                <w:color w:val="auto"/>
              </w:rPr>
              <w:t xml:space="preserve">Diluted </w:t>
            </w:r>
            <w:r>
              <w:rPr>
                <w:rFonts w:ascii="Arial" w:cs="Arial" w:eastAsia="Arial" w:hAnsi="Arial"/>
                <w:sz w:val="11"/>
                <w:szCs w:val="11"/>
                <w:color w:val="auto"/>
              </w:rPr>
              <w:t>(1)</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66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494.2</w:t>
            </w:r>
          </w:p>
        </w:tc>
        <w:tc>
          <w:tcPr>
            <w:tcW w:w="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gridSpan w:val="2"/>
          </w:tcPr>
          <w:p>
            <w:pPr>
              <w:jc w:val="right"/>
              <w:ind w:right="320"/>
              <w:spacing w:after="0"/>
              <w:rPr>
                <w:sz w:val="20"/>
                <w:szCs w:val="20"/>
                <w:color w:val="auto"/>
              </w:rPr>
            </w:pPr>
            <w:r>
              <w:rPr>
                <w:rFonts w:ascii="Arial" w:cs="Arial" w:eastAsia="Arial" w:hAnsi="Arial"/>
                <w:sz w:val="18"/>
                <w:szCs w:val="18"/>
                <w:color w:val="auto"/>
                <w:w w:val="97"/>
              </w:rPr>
              <w:t>433.2</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w w:val="84"/>
              </w:rPr>
              <w:t>493.9</w:t>
            </w:r>
          </w:p>
        </w:tc>
        <w:tc>
          <w:tcPr>
            <w:tcW w:w="840" w:type="dxa"/>
            <w:vAlign w:val="bottom"/>
            <w:gridSpan w:val="3"/>
          </w:tcPr>
          <w:p>
            <w:pPr>
              <w:jc w:val="right"/>
              <w:ind w:right="100"/>
              <w:spacing w:after="0"/>
              <w:rPr>
                <w:sz w:val="20"/>
                <w:szCs w:val="20"/>
                <w:color w:val="auto"/>
              </w:rPr>
            </w:pPr>
            <w:r>
              <w:rPr>
                <w:rFonts w:ascii="Arial" w:cs="Arial" w:eastAsia="Arial" w:hAnsi="Arial"/>
                <w:sz w:val="18"/>
                <w:szCs w:val="18"/>
                <w:color w:val="auto"/>
              </w:rPr>
              <w:t>433.2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460" w:right="80" w:hanging="452"/>
        <w:spacing w:after="0" w:line="243" w:lineRule="auto"/>
        <w:tabs>
          <w:tab w:leader="none" w:pos="460" w:val="left"/>
        </w:tabs>
        <w:numPr>
          <w:ilvl w:val="0"/>
          <w:numId w:val="56"/>
        </w:numPr>
        <w:rPr>
          <w:rFonts w:ascii="Arial" w:cs="Arial" w:eastAsia="Arial" w:hAnsi="Arial"/>
          <w:sz w:val="22"/>
          <w:szCs w:val="22"/>
          <w:color w:val="auto"/>
          <w:vertAlign w:val="superscript"/>
        </w:rPr>
      </w:pPr>
      <w:r>
        <w:rPr>
          <w:rFonts w:ascii="Arial" w:cs="Arial" w:eastAsia="Arial" w:hAnsi="Arial"/>
          <w:sz w:val="18"/>
          <w:szCs w:val="18"/>
          <w:color w:val="auto"/>
        </w:rPr>
        <w:t>Under applicable accounting guidance, companies in a loss position are required to use basic weighted-average common shares outstanding in the calculation of diluted loss per share. Therefore, as a result of our net loss for the three and six months ended June 30, 2009, we were required to use basic weighted-average common shares outstanding in the calculation of the 2009 diluted loss per share, as the inclusion of shares for stock options, restricted stock units and stock appreciation rights of 1.2 million and 0.6 million, respectively, would have been antidilutive to the calculation. If we had not incurred a net loss for the three and six months ended June 30, 2009, dilutive potential common shares would have been 434.4 million and 433.8 million,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-847725</wp:posOffset>
            </wp:positionV>
            <wp:extent cx="72898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5"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Diluted weighted-average shares outstanding for 2010 reflect the effects of potentially dilutive securities including stock options, restricted stock units and other equity-based compensation.</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20"/>
          </w:cols>
          <w:pgMar w:left="240" w:top="459" w:right="23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and Selected Financial and Operating Performance Measures by Segment</w:t>
      </w:r>
    </w:p>
    <w:p>
      <w:pPr>
        <w:spacing w:after="0" w:line="96" w:lineRule="exact"/>
        <w:rPr>
          <w:sz w:val="20"/>
          <w:szCs w:val="20"/>
          <w:color w:val="auto"/>
        </w:rPr>
      </w:pPr>
    </w:p>
    <w:p>
      <w:pPr>
        <w:ind w:right="360" w:firstLine="456"/>
        <w:spacing w:after="0" w:line="256" w:lineRule="auto"/>
        <w:rPr>
          <w:sz w:val="20"/>
          <w:szCs w:val="20"/>
          <w:color w:val="auto"/>
        </w:rPr>
      </w:pPr>
      <w:r>
        <w:rPr>
          <w:rFonts w:ascii="Arial" w:cs="Arial" w:eastAsia="Arial" w:hAnsi="Arial"/>
          <w:sz w:val="18"/>
          <w:szCs w:val="18"/>
          <w:color w:val="auto"/>
        </w:rPr>
        <w:t>Our chief operating decision maker evaluates segment performance and allocates resources on the basis of net operating income available to Genworth Financial, Inc.’s common stockholders. See note 11 in our “—Notes to Condensed Consolidated Financial Statements” for a reconciliation of net operating income available to Genworth Financial, Inc.’s common stockholders of our segments and Corporate and Other activities to net income (loss) available to Genworth Financial, Inc.’s common stockholders.</w:t>
      </w:r>
    </w:p>
    <w:p>
      <w:pPr>
        <w:spacing w:after="0" w:line="143" w:lineRule="exact"/>
        <w:rPr>
          <w:sz w:val="20"/>
          <w:szCs w:val="20"/>
          <w:color w:val="auto"/>
        </w:rPr>
      </w:pPr>
    </w:p>
    <w:p>
      <w:pPr>
        <w:ind w:right="200" w:firstLine="456"/>
        <w:spacing w:after="0" w:line="370" w:lineRule="auto"/>
        <w:rPr>
          <w:sz w:val="20"/>
          <w:szCs w:val="20"/>
          <w:color w:val="auto"/>
        </w:rPr>
      </w:pPr>
      <w:r>
        <w:rPr>
          <w:rFonts w:ascii="Arial" w:cs="Arial" w:eastAsia="Arial" w:hAnsi="Arial"/>
          <w:sz w:val="15"/>
          <w:szCs w:val="15"/>
          <w:color w:val="auto"/>
        </w:rPr>
        <w:t>Management’s discussion and analysis by segment also contains selected operating performance measures including “sales,” “assets under management” and “insurance in-force” or “risk in-force” which are commonly used in the insurance and investment industries as measures of operating performance.</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Management regularly monitors and reports the sales metric as a measure of volume of new and renewal business generated in a period. Sales refer to:</w:t>
      </w:r>
    </w:p>
    <w:p>
      <w:pPr>
        <w:spacing w:after="0" w:line="38" w:lineRule="exact"/>
        <w:rPr>
          <w:sz w:val="20"/>
          <w:szCs w:val="20"/>
          <w:color w:val="auto"/>
        </w:rPr>
      </w:pPr>
    </w:p>
    <w:p>
      <w:pPr>
        <w:ind w:right="40" w:firstLine="8"/>
        <w:spacing w:after="0" w:line="287" w:lineRule="auto"/>
        <w:tabs>
          <w:tab w:leader="none" w:pos="249" w:val="left"/>
        </w:tabs>
        <w:numPr>
          <w:ilvl w:val="0"/>
          <w:numId w:val="57"/>
        </w:numPr>
        <w:rPr>
          <w:rFonts w:ascii="Arial" w:cs="Arial" w:eastAsia="Arial" w:hAnsi="Arial"/>
          <w:sz w:val="16"/>
          <w:szCs w:val="16"/>
          <w:color w:val="auto"/>
        </w:rPr>
      </w:pPr>
      <w:r>
        <w:rPr>
          <w:rFonts w:ascii="Arial" w:cs="Arial" w:eastAsia="Arial" w:hAnsi="Arial"/>
          <w:sz w:val="16"/>
          <w:szCs w:val="16"/>
          <w:color w:val="auto"/>
        </w:rPr>
        <w:t>annualized first-year premiums for term life, long-term care and Medicare supplement insurance; (2) new and additional premiums/deposits for universal life insurance, linked-benefits, spread-based and variable products; (3) gross and net flows, which represent gross flows less redemptions, for our wealth management business; (4) written premiums and deposits, gross of ceded reinsurance and cancellations, and premium equivalents, where we earn a fee for administrative services only business, for lifestyle protection insurance; (5) new insurance written for mortgage insurance, which in each case reflects the amount of business we generated during each period presented; and (6) written premiums, net of cancellations, for our Mexican insurance operations. Sales do not include renewal premiums on policies or contracts written during prior periods. We consider annualized first-year premiums, new premiums/deposits, gross and net flows, written premiums, premium equivalents and new insurance written to be measures of our operating performance because they represent measures of new sales of insurance policies or contracts during a specified period, rather than measures of our revenues or profitability during that period.</w:t>
      </w:r>
    </w:p>
    <w:p>
      <w:pPr>
        <w:spacing w:after="0" w:line="124"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Management regularly monitors and reports assets under management for our wealth management business, insurance in-force and risk in-force. Assets under management for our wealth management business represent third-party assets under management that are not consolidated in our financial statements. Insurance in-force for our life, international mortgage and U.S. mortgage insurance businesses is a measure of the aggregate face value of outstanding insurance policies as of the respective reporting date. Risk in-force for our international and U.S. mortgage insurance businesses is a measure that recognizes that the loss on any particular mortgage loan will be reduced by the net proceeds received upon sale of the underlying property. We consider assets under management for our wealth management business, insurance in-force and risk in-force to be measures of our operating performance because they represent measures of the size of our business at a specific date, rather than measures of our revenues or profitability during that period.</w:t>
      </w:r>
    </w:p>
    <w:p>
      <w:pPr>
        <w:spacing w:after="0" w:line="118" w:lineRule="exact"/>
        <w:rPr>
          <w:sz w:val="20"/>
          <w:szCs w:val="20"/>
          <w:color w:val="auto"/>
        </w:rPr>
      </w:pPr>
    </w:p>
    <w:p>
      <w:pPr>
        <w:ind w:right="120" w:firstLine="456"/>
        <w:spacing w:after="0" w:line="291" w:lineRule="auto"/>
        <w:rPr>
          <w:sz w:val="20"/>
          <w:szCs w:val="20"/>
          <w:color w:val="auto"/>
        </w:rPr>
      </w:pPr>
      <w:r>
        <w:rPr>
          <w:rFonts w:ascii="Arial" w:cs="Arial" w:eastAsia="Arial" w:hAnsi="Arial"/>
          <w:sz w:val="16"/>
          <w:szCs w:val="16"/>
          <w:color w:val="auto"/>
        </w:rPr>
        <w:t>We also include a metric related to loss mitigation activities for our U.S. mortgage insurance business. We define loss mitigation activities as rescissions, cancellations, borrower loan modifications, repayment plans, lender- and borrower-titled pre-sales and other loan workouts and claim mitigation actions. Estimated savings related to rescissions are the reduction in carried loss reserves, net of premium refunds and reinstatement of prior rescissions. Estimated savings related to loan modifications and other cure related loss mitigation actions represent the reduction in carried loss reserves. For non-cure related actions, including pre-sales, the estimated savings represent the difference between the full claim obligation and the actual amount paid. We believe that this metric helps to enhance the understanding of the operating performance of our U.S. mortgage insurance business.</w:t>
      </w:r>
    </w:p>
    <w:p>
      <w:pPr>
        <w:spacing w:after="0" w:line="120"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These operating measures enable us to compare our operating performance across periods without regard to revenues or profitability related to policies or contracts sold in prior periods or from investments or other sources.</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discussions of our segment results of operations should be read in conjunction with the “—Business trends and conditions</w:t>
      </w:r>
      <w:r>
        <w:rPr>
          <w:rFonts w:ascii="Arial" w:cs="Arial" w:eastAsia="Arial" w:hAnsi="Arial"/>
          <w:sz w:val="18"/>
          <w:szCs w:val="18"/>
          <w:i w:val="1"/>
          <w:iCs w:val="1"/>
          <w:color w:val="auto"/>
        </w:rPr>
        <w:t>.</w:t>
      </w:r>
      <w:r>
        <w:rPr>
          <w:rFonts w:ascii="Arial" w:cs="Arial" w:eastAsia="Arial" w:hAnsi="Arial"/>
          <w:sz w:val="18"/>
          <w:szCs w:val="18"/>
          <w:color w:val="auto"/>
        </w:rPr>
        <w:t>”</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420"/>
          </w:cols>
          <w:pgMar w:left="240" w:top="459" w:right="23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 and Protection segment</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 of operations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2010 Compared to Three Months Ended June 30, 2009</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results of operations relating to our Retirement and Protection segment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20" w:type="dxa"/>
            <w:vAlign w:val="bottom"/>
          </w:tcPr>
          <w:p>
            <w:pPr>
              <w:jc w:val="center"/>
              <w:ind w:right="72"/>
              <w:spacing w:after="0"/>
              <w:rPr>
                <w:sz w:val="20"/>
                <w:szCs w:val="20"/>
                <w:color w:val="auto"/>
              </w:rPr>
            </w:pPr>
            <w:r>
              <w:rPr>
                <w:rFonts w:ascii="Arial" w:cs="Arial" w:eastAsia="Arial" w:hAnsi="Arial"/>
                <w:sz w:val="14"/>
                <w:szCs w:val="14"/>
                <w:b w:val="1"/>
                <w:bCs w:val="1"/>
                <w:color w:val="auto"/>
                <w:w w:val="87"/>
              </w:rPr>
              <w:t>Increase</w:t>
            </w:r>
          </w:p>
        </w:tc>
        <w:tc>
          <w:tcPr>
            <w:tcW w:w="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7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gridSpan w:val="2"/>
          </w:tcPr>
          <w:p>
            <w:pPr>
              <w:jc w:val="center"/>
              <w:ind w:left="75"/>
              <w:spacing w:after="0" w:line="149" w:lineRule="exact"/>
              <w:rPr>
                <w:sz w:val="20"/>
                <w:szCs w:val="20"/>
                <w:color w:val="auto"/>
              </w:rPr>
            </w:pPr>
            <w:r>
              <w:rPr>
                <w:rFonts w:ascii="Arial" w:cs="Arial" w:eastAsia="Arial" w:hAnsi="Arial"/>
                <w:sz w:val="14"/>
                <w:szCs w:val="14"/>
                <w:b w:val="1"/>
                <w:bCs w:val="1"/>
                <w:color w:val="auto"/>
                <w:w w:val="82"/>
              </w:rPr>
              <w:t>(decrease) and</w:t>
            </w: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7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0" w:type="dxa"/>
            <w:vAlign w:val="bottom"/>
            <w:gridSpan w:val="6"/>
          </w:tcPr>
          <w:p>
            <w:pPr>
              <w:jc w:val="right"/>
              <w:ind w:right="480"/>
              <w:spacing w:after="0" w:line="149" w:lineRule="exact"/>
              <w:rPr>
                <w:sz w:val="20"/>
                <w:szCs w:val="20"/>
                <w:color w:val="auto"/>
              </w:rPr>
            </w:pPr>
            <w:r>
              <w:rPr>
                <w:rFonts w:ascii="Arial" w:cs="Arial" w:eastAsia="Arial" w:hAnsi="Arial"/>
                <w:sz w:val="14"/>
                <w:szCs w:val="14"/>
                <w:b w:val="1"/>
                <w:bCs w:val="1"/>
                <w:color w:val="auto"/>
                <w:w w:val="94"/>
              </w:rPr>
              <w:t>Three months ended</w:t>
            </w: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gridSpan w:val="2"/>
          </w:tcPr>
          <w:p>
            <w:pPr>
              <w:jc w:val="center"/>
              <w:ind w:left="75"/>
              <w:spacing w:after="0" w:line="149" w:lineRule="exact"/>
              <w:rPr>
                <w:sz w:val="20"/>
                <w:szCs w:val="20"/>
                <w:color w:val="auto"/>
              </w:rPr>
            </w:pPr>
            <w:r>
              <w:rPr>
                <w:rFonts w:ascii="Arial" w:cs="Arial" w:eastAsia="Arial" w:hAnsi="Arial"/>
                <w:sz w:val="14"/>
                <w:szCs w:val="14"/>
                <w:b w:val="1"/>
                <w:bCs w:val="1"/>
                <w:color w:val="auto"/>
                <w:w w:val="82"/>
              </w:rPr>
              <w:t>percentage</w:t>
            </w: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71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4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gridSpan w:val="2"/>
          </w:tcPr>
          <w:p>
            <w:pPr>
              <w:jc w:val="right"/>
              <w:ind w:right="180"/>
              <w:spacing w:after="0"/>
              <w:rPr>
                <w:sz w:val="20"/>
                <w:szCs w:val="20"/>
                <w:color w:val="auto"/>
              </w:rPr>
            </w:pPr>
            <w:r>
              <w:rPr>
                <w:rFonts w:ascii="Arial" w:cs="Arial" w:eastAsia="Arial" w:hAnsi="Arial"/>
                <w:sz w:val="14"/>
                <w:szCs w:val="14"/>
                <w:b w:val="1"/>
                <w:bCs w:val="1"/>
                <w:color w:val="auto"/>
                <w:w w:val="82"/>
              </w:rPr>
              <w:t>June 30,</w:t>
            </w:r>
          </w:p>
        </w:tc>
        <w:tc>
          <w:tcPr>
            <w:tcW w:w="42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72"/>
              <w:spacing w:after="0"/>
              <w:rPr>
                <w:sz w:val="20"/>
                <w:szCs w:val="20"/>
                <w:color w:val="auto"/>
              </w:rPr>
            </w:pPr>
            <w:r>
              <w:rPr>
                <w:rFonts w:ascii="Arial" w:cs="Arial" w:eastAsia="Arial" w:hAnsi="Arial"/>
                <w:sz w:val="14"/>
                <w:szCs w:val="14"/>
                <w:b w:val="1"/>
                <w:bCs w:val="1"/>
                <w:color w:val="auto"/>
                <w:w w:val="85"/>
              </w:rPr>
              <w:t>change</w:t>
            </w:r>
          </w:p>
        </w:tc>
        <w:tc>
          <w:tcPr>
            <w:tcW w:w="30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100" w:type="dxa"/>
            <w:vAlign w:val="bottom"/>
            <w:gridSpan w:val="3"/>
            <w:vMerge w:val="continue"/>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4"/>
              <w:spacing w:after="0" w:line="142" w:lineRule="exact"/>
              <w:rPr>
                <w:sz w:val="20"/>
                <w:szCs w:val="20"/>
                <w:color w:val="auto"/>
              </w:rPr>
            </w:pPr>
            <w:r>
              <w:rPr>
                <w:rFonts w:ascii="Arial" w:cs="Arial" w:eastAsia="Arial" w:hAnsi="Arial"/>
                <w:sz w:val="14"/>
                <w:szCs w:val="14"/>
                <w:b w:val="1"/>
                <w:bCs w:val="1"/>
                <w:color w:val="auto"/>
                <w:w w:val="89"/>
              </w:rPr>
              <w:t>2010</w:t>
            </w:r>
          </w:p>
        </w:tc>
        <w:tc>
          <w:tcPr>
            <w:tcW w:w="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33"/>
              <w:spacing w:after="0" w:line="142" w:lineRule="exact"/>
              <w:rPr>
                <w:sz w:val="20"/>
                <w:szCs w:val="20"/>
                <w:color w:val="auto"/>
              </w:rPr>
            </w:pPr>
            <w:r>
              <w:rPr>
                <w:rFonts w:ascii="Arial" w:cs="Arial" w:eastAsia="Arial" w:hAnsi="Arial"/>
                <w:sz w:val="14"/>
                <w:szCs w:val="14"/>
                <w:b w:val="1"/>
                <w:bCs w:val="1"/>
                <w:color w:val="auto"/>
                <w:w w:val="89"/>
              </w:rPr>
              <w:t>2009</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gridSpan w:val="2"/>
          </w:tcPr>
          <w:p>
            <w:pPr>
              <w:jc w:val="center"/>
              <w:ind w:left="55"/>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57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tcPr>
          <w:p>
            <w:pPr>
              <w:spacing w:after="0"/>
              <w:rPr>
                <w:sz w:val="20"/>
                <w:szCs w:val="20"/>
                <w:color w:val="auto"/>
              </w:rPr>
            </w:pPr>
            <w:r>
              <w:rPr>
                <w:rFonts w:ascii="Arial" w:cs="Arial" w:eastAsia="Arial" w:hAnsi="Arial"/>
                <w:sz w:val="18"/>
                <w:szCs w:val="18"/>
                <w:color w:val="auto"/>
              </w:rPr>
              <w:t>Premiums</w:t>
            </w:r>
          </w:p>
        </w:tc>
        <w:tc>
          <w:tcPr>
            <w:tcW w:w="5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822</w:t>
            </w:r>
          </w:p>
        </w:tc>
        <w:tc>
          <w:tcPr>
            <w:tcW w:w="4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829</w:t>
            </w:r>
          </w:p>
        </w:tc>
        <w:tc>
          <w:tcPr>
            <w:tcW w:w="4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592"/>
              <w:spacing w:after="0"/>
              <w:rPr>
                <w:sz w:val="20"/>
                <w:szCs w:val="20"/>
                <w:color w:val="auto"/>
              </w:rPr>
            </w:pPr>
            <w:r>
              <w:rPr>
                <w:rFonts w:ascii="Arial" w:cs="Arial" w:eastAsia="Arial" w:hAnsi="Arial"/>
                <w:sz w:val="18"/>
                <w:szCs w:val="18"/>
                <w:color w:val="auto"/>
              </w:rPr>
              <w:t>(7)</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630</w:t>
            </w: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564</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52"/>
              <w:spacing w:after="0"/>
              <w:rPr>
                <w:sz w:val="20"/>
                <w:szCs w:val="20"/>
                <w:color w:val="auto"/>
              </w:rPr>
            </w:pPr>
            <w:r>
              <w:rPr>
                <w:rFonts w:ascii="Arial" w:cs="Arial" w:eastAsia="Arial" w:hAnsi="Arial"/>
                <w:sz w:val="18"/>
                <w:szCs w:val="18"/>
                <w:color w:val="auto"/>
              </w:rPr>
              <w:t>66</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tcPr>
          <w:p>
            <w:pPr>
              <w:spacing w:after="0"/>
              <w:rPr>
                <w:sz w:val="20"/>
                <w:szCs w:val="20"/>
                <w:color w:val="auto"/>
              </w:rPr>
            </w:pPr>
            <w:r>
              <w:rPr>
                <w:rFonts w:ascii="Arial" w:cs="Arial" w:eastAsia="Arial" w:hAnsi="Arial"/>
                <w:sz w:val="18"/>
                <w:szCs w:val="18"/>
                <w:color w:val="auto"/>
              </w:rPr>
              <w:t>Net investment gains (losses)</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(69)</w:t>
            </w: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592"/>
              <w:spacing w:after="0"/>
              <w:rPr>
                <w:sz w:val="20"/>
                <w:szCs w:val="20"/>
                <w:color w:val="auto"/>
              </w:rPr>
            </w:pPr>
            <w:r>
              <w:rPr>
                <w:rFonts w:ascii="Arial" w:cs="Arial" w:eastAsia="Arial" w:hAnsi="Arial"/>
                <w:sz w:val="18"/>
                <w:szCs w:val="18"/>
                <w:color w:val="auto"/>
              </w:rPr>
              <w:t>(73)</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w:t>
            </w: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210</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52"/>
              <w:spacing w:after="0"/>
              <w:rPr>
                <w:sz w:val="20"/>
                <w:szCs w:val="20"/>
                <w:color w:val="auto"/>
              </w:rPr>
            </w:pPr>
            <w:r>
              <w:rPr>
                <w:rFonts w:ascii="Arial" w:cs="Arial" w:eastAsia="Arial" w:hAnsi="Arial"/>
                <w:sz w:val="18"/>
                <w:szCs w:val="18"/>
                <w:color w:val="auto"/>
              </w:rPr>
              <w:t>50</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8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revenues</w:t>
            </w: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6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2%</w:t>
            </w: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080" w:type="dxa"/>
            <w:vAlign w:val="bottom"/>
            <w:gridSpan w:val="2"/>
            <w:vMerge w:val="continue"/>
          </w:tcPr>
          <w:p>
            <w:pPr>
              <w:spacing w:after="0"/>
              <w:rPr>
                <w:sz w:val="20"/>
                <w:szCs w:val="20"/>
                <w:color w:val="auto"/>
              </w:rPr>
            </w:pP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1,643</w:t>
            </w:r>
          </w:p>
        </w:tc>
        <w:tc>
          <w:tcPr>
            <w:tcW w:w="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w w:val="88"/>
              </w:rPr>
              <w:t>1,607</w:t>
            </w: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gridSpan w:val="2"/>
          </w:tcPr>
          <w:p>
            <w:pPr>
              <w:jc w:val="right"/>
              <w:ind w:right="652"/>
              <w:spacing w:after="0"/>
              <w:rPr>
                <w:sz w:val="20"/>
                <w:szCs w:val="20"/>
                <w:color w:val="auto"/>
              </w:rPr>
            </w:pPr>
            <w:r>
              <w:rPr>
                <w:rFonts w:ascii="Arial" w:cs="Arial" w:eastAsia="Arial" w:hAnsi="Arial"/>
                <w:sz w:val="18"/>
                <w:szCs w:val="18"/>
                <w:color w:val="auto"/>
              </w:rPr>
              <w:t>36</w:t>
            </w:r>
          </w:p>
        </w:tc>
        <w:tc>
          <w:tcPr>
            <w:tcW w:w="56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4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tcPr>
          <w:p>
            <w:pPr>
              <w:spacing w:after="0"/>
              <w:rPr>
                <w:sz w:val="20"/>
                <w:szCs w:val="20"/>
                <w:color w:val="auto"/>
              </w:rPr>
            </w:pPr>
            <w:r>
              <w:rPr>
                <w:rFonts w:ascii="Arial" w:cs="Arial" w:eastAsia="Arial" w:hAnsi="Arial"/>
                <w:sz w:val="18"/>
                <w:szCs w:val="18"/>
                <w:color w:val="auto"/>
              </w:rPr>
              <w:t>Benefits and other changes in policy reserves</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961</w:t>
            </w:r>
          </w:p>
        </w:tc>
        <w:tc>
          <w:tcPr>
            <w:tcW w:w="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895</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652"/>
              <w:spacing w:after="0"/>
              <w:rPr>
                <w:sz w:val="20"/>
                <w:szCs w:val="20"/>
                <w:color w:val="auto"/>
              </w:rPr>
            </w:pPr>
            <w:r>
              <w:rPr>
                <w:rFonts w:ascii="Arial" w:cs="Arial" w:eastAsia="Arial" w:hAnsi="Arial"/>
                <w:sz w:val="18"/>
                <w:szCs w:val="18"/>
                <w:color w:val="auto"/>
              </w:rPr>
              <w:t>66</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credited</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184</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92"/>
              <w:spacing w:after="0"/>
              <w:rPr>
                <w:sz w:val="20"/>
                <w:szCs w:val="20"/>
                <w:color w:val="auto"/>
              </w:rPr>
            </w:pPr>
            <w:r>
              <w:rPr>
                <w:rFonts w:ascii="Arial" w:cs="Arial" w:eastAsia="Arial" w:hAnsi="Arial"/>
                <w:sz w:val="18"/>
                <w:szCs w:val="18"/>
                <w:color w:val="auto"/>
              </w:rPr>
              <w:t>(8)</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tcPr>
          <w:p>
            <w:pPr>
              <w:spacing w:after="0"/>
              <w:rPr>
                <w:sz w:val="20"/>
                <w:szCs w:val="20"/>
                <w:color w:val="auto"/>
              </w:rPr>
            </w:pPr>
            <w:r>
              <w:rPr>
                <w:rFonts w:ascii="Arial" w:cs="Arial" w:eastAsia="Arial" w:hAnsi="Arial"/>
                <w:sz w:val="18"/>
                <w:szCs w:val="18"/>
                <w:color w:val="auto"/>
              </w:rPr>
              <w:t>Acquisition and operating expenses, net of deferrals</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252</w:t>
            </w:r>
          </w:p>
        </w:tc>
        <w:tc>
          <w:tcPr>
            <w:tcW w:w="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211</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652"/>
              <w:spacing w:after="0"/>
              <w:rPr>
                <w:sz w:val="20"/>
                <w:szCs w:val="20"/>
                <w:color w:val="auto"/>
              </w:rPr>
            </w:pPr>
            <w:r>
              <w:rPr>
                <w:rFonts w:ascii="Arial" w:cs="Arial" w:eastAsia="Arial" w:hAnsi="Arial"/>
                <w:sz w:val="18"/>
                <w:szCs w:val="18"/>
                <w:color w:val="auto"/>
              </w:rPr>
              <w:t>41</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138</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92"/>
              <w:spacing w:after="0"/>
              <w:rPr>
                <w:sz w:val="20"/>
                <w:szCs w:val="20"/>
                <w:color w:val="auto"/>
              </w:rPr>
            </w:pPr>
            <w:r>
              <w:rPr>
                <w:rFonts w:ascii="Arial" w:cs="Arial" w:eastAsia="Arial" w:hAnsi="Arial"/>
                <w:sz w:val="18"/>
                <w:szCs w:val="18"/>
                <w:color w:val="auto"/>
              </w:rPr>
              <w:t>(34)</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29</w:t>
            </w:r>
          </w:p>
        </w:tc>
        <w:tc>
          <w:tcPr>
            <w:tcW w:w="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24</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652"/>
              <w:spacing w:after="0"/>
              <w:rPr>
                <w:sz w:val="20"/>
                <w:szCs w:val="20"/>
                <w:color w:val="auto"/>
              </w:rPr>
            </w:pPr>
            <w:r>
              <w:rPr>
                <w:rFonts w:ascii="Arial" w:cs="Arial" w:eastAsia="Arial" w:hAnsi="Arial"/>
                <w:sz w:val="18"/>
                <w:szCs w:val="18"/>
                <w:color w:val="auto"/>
              </w:rPr>
              <w:t>5</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7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720" w:type="dxa"/>
            <w:vAlign w:val="bottom"/>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benefits and expenses</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1,522</w:t>
            </w: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8"/>
              </w:rPr>
              <w:t>1,452</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52"/>
              <w:spacing w:after="0"/>
              <w:rPr>
                <w:sz w:val="20"/>
                <w:szCs w:val="20"/>
                <w:color w:val="auto"/>
              </w:rPr>
            </w:pPr>
            <w:r>
              <w:rPr>
                <w:rFonts w:ascii="Arial" w:cs="Arial" w:eastAsia="Arial" w:hAnsi="Arial"/>
                <w:sz w:val="18"/>
                <w:szCs w:val="18"/>
                <w:color w:val="auto"/>
              </w:rPr>
              <w:t>70</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7100" w:type="dxa"/>
            <w:vAlign w:val="bottom"/>
            <w:gridSpan w:val="3"/>
            <w:vMerge w:val="restart"/>
          </w:tcPr>
          <w:p>
            <w:pPr>
              <w:spacing w:after="0"/>
              <w:rPr>
                <w:sz w:val="20"/>
                <w:szCs w:val="20"/>
                <w:color w:val="auto"/>
              </w:rPr>
            </w:pPr>
            <w:r>
              <w:rPr>
                <w:rFonts w:ascii="Arial" w:cs="Arial" w:eastAsia="Arial" w:hAnsi="Arial"/>
                <w:sz w:val="18"/>
                <w:szCs w:val="18"/>
                <w:color w:val="auto"/>
              </w:rPr>
              <w:t>Income before income taxes</w:t>
            </w: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6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w w:val="99"/>
              </w:rPr>
              <w:t>(22)%</w:t>
            </w:r>
          </w:p>
        </w:tc>
        <w:tc>
          <w:tcPr>
            <w:tcW w:w="0" w:type="dxa"/>
            <w:vAlign w:val="bottom"/>
          </w:tcPr>
          <w:p>
            <w:pPr>
              <w:spacing w:after="0" w:line="20" w:lineRule="exact"/>
              <w:rPr>
                <w:sz w:val="1"/>
                <w:szCs w:val="1"/>
                <w:color w:val="auto"/>
              </w:rPr>
            </w:pPr>
          </w:p>
        </w:tc>
      </w:tr>
      <w:tr>
        <w:trPr>
          <w:trHeight w:val="221"/>
        </w:trPr>
        <w:tc>
          <w:tcPr>
            <w:tcW w:w="7100" w:type="dxa"/>
            <w:vAlign w:val="bottom"/>
            <w:gridSpan w:val="3"/>
            <w:vMerge w:val="continue"/>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121</w:t>
            </w:r>
          </w:p>
        </w:tc>
        <w:tc>
          <w:tcPr>
            <w:tcW w:w="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155</w:t>
            </w: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gridSpan w:val="2"/>
          </w:tcPr>
          <w:p>
            <w:pPr>
              <w:jc w:val="right"/>
              <w:ind w:right="592"/>
              <w:spacing w:after="0"/>
              <w:rPr>
                <w:sz w:val="20"/>
                <w:szCs w:val="20"/>
                <w:color w:val="auto"/>
              </w:rPr>
            </w:pPr>
            <w:r>
              <w:rPr>
                <w:rFonts w:ascii="Arial" w:cs="Arial" w:eastAsia="Arial" w:hAnsi="Arial"/>
                <w:sz w:val="18"/>
                <w:szCs w:val="18"/>
                <w:color w:val="auto"/>
              </w:rPr>
              <w:t>(34)</w:t>
            </w:r>
          </w:p>
        </w:tc>
        <w:tc>
          <w:tcPr>
            <w:tcW w:w="5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56</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92"/>
              <w:spacing w:after="0"/>
              <w:rPr>
                <w:sz w:val="20"/>
                <w:szCs w:val="20"/>
                <w:color w:val="auto"/>
              </w:rPr>
            </w:pPr>
            <w:r>
              <w:rPr>
                <w:rFonts w:ascii="Arial" w:cs="Arial" w:eastAsia="Arial" w:hAnsi="Arial"/>
                <w:sz w:val="18"/>
                <w:szCs w:val="18"/>
                <w:color w:val="auto"/>
              </w:rPr>
              <w:t>(16)</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(29)%</w:t>
            </w:r>
          </w:p>
        </w:tc>
        <w:tc>
          <w:tcPr>
            <w:tcW w:w="0" w:type="dxa"/>
            <w:vAlign w:val="bottom"/>
          </w:tcPr>
          <w:p>
            <w:pPr>
              <w:spacing w:after="0"/>
              <w:rPr>
                <w:sz w:val="1"/>
                <w:szCs w:val="1"/>
                <w:color w:val="auto"/>
              </w:rPr>
            </w:pPr>
          </w:p>
        </w:tc>
      </w:tr>
      <w:tr>
        <w:trPr>
          <w:trHeight w:val="20"/>
        </w:trPr>
        <w:tc>
          <w:tcPr>
            <w:tcW w:w="7100" w:type="dxa"/>
            <w:vAlign w:val="bottom"/>
            <w:gridSpan w:val="3"/>
            <w:vMerge w:val="restart"/>
          </w:tcPr>
          <w:p>
            <w:pPr>
              <w:spacing w:after="0"/>
              <w:rPr>
                <w:sz w:val="20"/>
                <w:szCs w:val="20"/>
                <w:color w:val="auto"/>
              </w:rPr>
            </w:pPr>
            <w:r>
              <w:rPr>
                <w:rFonts w:ascii="Arial" w:cs="Arial" w:eastAsia="Arial" w:hAnsi="Arial"/>
                <w:sz w:val="18"/>
                <w:szCs w:val="18"/>
                <w:color w:val="auto"/>
              </w:rPr>
              <w:t>Net income available to Genworth Financial, Inc.’s common stockholders</w:t>
            </w: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6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w w:val="99"/>
              </w:rPr>
              <w:t>(18)%</w:t>
            </w:r>
          </w:p>
        </w:tc>
        <w:tc>
          <w:tcPr>
            <w:tcW w:w="0" w:type="dxa"/>
            <w:vAlign w:val="bottom"/>
          </w:tcPr>
          <w:p>
            <w:pPr>
              <w:spacing w:after="0" w:line="20" w:lineRule="exact"/>
              <w:rPr>
                <w:sz w:val="1"/>
                <w:szCs w:val="1"/>
                <w:color w:val="auto"/>
              </w:rPr>
            </w:pPr>
          </w:p>
        </w:tc>
      </w:tr>
      <w:tr>
        <w:trPr>
          <w:trHeight w:val="221"/>
        </w:trPr>
        <w:tc>
          <w:tcPr>
            <w:tcW w:w="7100" w:type="dxa"/>
            <w:vAlign w:val="bottom"/>
            <w:gridSpan w:val="3"/>
            <w:vMerge w:val="continue"/>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81</w:t>
            </w:r>
          </w:p>
        </w:tc>
        <w:tc>
          <w:tcPr>
            <w:tcW w:w="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99</w:t>
            </w: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gridSpan w:val="2"/>
          </w:tcPr>
          <w:p>
            <w:pPr>
              <w:jc w:val="right"/>
              <w:ind w:right="592"/>
              <w:spacing w:after="0"/>
              <w:rPr>
                <w:sz w:val="20"/>
                <w:szCs w:val="20"/>
                <w:color w:val="auto"/>
              </w:rPr>
            </w:pPr>
            <w:r>
              <w:rPr>
                <w:rFonts w:ascii="Arial" w:cs="Arial" w:eastAsia="Arial" w:hAnsi="Arial"/>
                <w:sz w:val="18"/>
                <w:szCs w:val="18"/>
                <w:color w:val="auto"/>
              </w:rPr>
              <w:t>(18)</w:t>
            </w:r>
          </w:p>
        </w:tc>
        <w:tc>
          <w:tcPr>
            <w:tcW w:w="5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0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4"/>
              </w:rPr>
              <w:t>Adjustment to net income (loss) available to Genworth Financial, Inc.’s common stockholders:</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80" w:type="dxa"/>
            <w:vAlign w:val="bottom"/>
            <w:gridSpan w:val="2"/>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33</w:t>
            </w:r>
          </w:p>
        </w:tc>
        <w:tc>
          <w:tcPr>
            <w:tcW w:w="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24</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652"/>
              <w:spacing w:after="0"/>
              <w:rPr>
                <w:sz w:val="20"/>
                <w:szCs w:val="20"/>
                <w:color w:val="auto"/>
              </w:rPr>
            </w:pPr>
            <w:r>
              <w:rPr>
                <w:rFonts w:ascii="Arial" w:cs="Arial" w:eastAsia="Arial" w:hAnsi="Arial"/>
                <w:sz w:val="18"/>
                <w:szCs w:val="18"/>
                <w:color w:val="auto"/>
              </w:rPr>
              <w:t>9</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57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720" w:type="dxa"/>
            <w:vAlign w:val="bottom"/>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operating income available to Genworth Financial, Inc.’s common stockholders</w:t>
            </w:r>
          </w:p>
        </w:tc>
        <w:tc>
          <w:tcPr>
            <w:tcW w:w="5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123</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592"/>
              <w:spacing w:after="0"/>
              <w:rPr>
                <w:sz w:val="20"/>
                <w:szCs w:val="20"/>
                <w:color w:val="auto"/>
              </w:rPr>
            </w:pPr>
            <w:r>
              <w:rPr>
                <w:rFonts w:ascii="Arial" w:cs="Arial" w:eastAsia="Arial" w:hAnsi="Arial"/>
                <w:sz w:val="18"/>
                <w:szCs w:val="18"/>
                <w:color w:val="auto"/>
              </w:rPr>
              <w:t>(9)</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58"/>
        </w:numPr>
        <w:rPr>
          <w:rFonts w:ascii="Arial" w:cs="Arial" w:eastAsia="Arial" w:hAnsi="Arial"/>
          <w:sz w:val="22"/>
          <w:szCs w:val="22"/>
          <w:color w:val="auto"/>
          <w:vertAlign w:val="superscript"/>
        </w:rPr>
      </w:pPr>
      <w:r>
        <w:rPr>
          <w:rFonts w:ascii="Arial" w:cs="Arial" w:eastAsia="Arial" w:hAnsi="Arial"/>
          <w:sz w:val="18"/>
          <w:szCs w:val="18"/>
          <w:color w:val="auto"/>
        </w:rPr>
        <w:t>We define “NM” as not meaningful for increases or decreases greater than 200%.</w:t>
      </w:r>
    </w:p>
    <w:p>
      <w:pPr>
        <w:spacing w:after="0" w:line="155" w:lineRule="exact"/>
        <w:rPr>
          <w:rFonts w:ascii="Arial" w:cs="Arial" w:eastAsia="Arial" w:hAnsi="Arial"/>
          <w:sz w:val="22"/>
          <w:szCs w:val="22"/>
          <w:color w:val="auto"/>
          <w:vertAlign w:val="superscript"/>
        </w:rPr>
      </w:pPr>
    </w:p>
    <w:p>
      <w:pPr>
        <w:ind w:left="460"/>
        <w:spacing w:after="0"/>
        <w:rPr>
          <w:rFonts w:ascii="Arial" w:cs="Arial" w:eastAsia="Arial" w:hAnsi="Arial"/>
          <w:sz w:val="22"/>
          <w:szCs w:val="22"/>
          <w:color w:val="auto"/>
          <w:vertAlign w:val="superscript"/>
        </w:rPr>
      </w:pPr>
      <w:r>
        <w:rPr>
          <w:rFonts w:ascii="Arial" w:cs="Arial" w:eastAsia="Arial" w:hAnsi="Arial"/>
          <w:sz w:val="16"/>
          <w:szCs w:val="16"/>
          <w:color w:val="auto"/>
        </w:rPr>
        <w:t>The following table sets forth net operating income for the businesses included in our Retirement and Protection segment for the periods indicated: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-376555</wp:posOffset>
            </wp:positionV>
            <wp:extent cx="72898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jc w:val="center"/>
              <w:ind w:right="52"/>
              <w:spacing w:after="0"/>
              <w:rPr>
                <w:sz w:val="20"/>
                <w:szCs w:val="20"/>
                <w:color w:val="auto"/>
              </w:rPr>
            </w:pPr>
            <w:r>
              <w:rPr>
                <w:rFonts w:ascii="Arial" w:cs="Arial" w:eastAsia="Arial" w:hAnsi="Arial"/>
                <w:sz w:val="14"/>
                <w:szCs w:val="14"/>
                <w:b w:val="1"/>
                <w:bCs w:val="1"/>
                <w:color w:val="auto"/>
                <w:w w:val="84"/>
              </w:rPr>
              <w:t>Increase</w:t>
            </w: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40" w:type="dxa"/>
            <w:vAlign w:val="bottom"/>
            <w:gridSpan w:val="4"/>
          </w:tcPr>
          <w:p>
            <w:pPr>
              <w:jc w:val="center"/>
              <w:ind w:right="360"/>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20" w:type="dxa"/>
            <w:vAlign w:val="bottom"/>
            <w:gridSpan w:val="4"/>
          </w:tcPr>
          <w:p>
            <w:pPr>
              <w:jc w:val="right"/>
              <w:ind w:right="156"/>
              <w:spacing w:after="0" w:line="149" w:lineRule="exact"/>
              <w:rPr>
                <w:sz w:val="20"/>
                <w:szCs w:val="20"/>
                <w:color w:val="auto"/>
              </w:rPr>
            </w:pPr>
            <w:r>
              <w:rPr>
                <w:rFonts w:ascii="Arial" w:cs="Arial" w:eastAsia="Arial" w:hAnsi="Arial"/>
                <w:sz w:val="14"/>
                <w:szCs w:val="14"/>
                <w:b w:val="1"/>
                <w:bCs w:val="1"/>
                <w:color w:val="auto"/>
                <w:w w:val="91"/>
              </w:rPr>
              <w:t>Three months ended</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left="40"/>
              <w:spacing w:after="0" w:line="149" w:lineRule="exact"/>
              <w:rPr>
                <w:sz w:val="20"/>
                <w:szCs w:val="20"/>
                <w:color w:val="auto"/>
              </w:rPr>
            </w:pPr>
            <w:r>
              <w:rPr>
                <w:rFonts w:ascii="Arial" w:cs="Arial" w:eastAsia="Arial" w:hAnsi="Arial"/>
                <w:sz w:val="14"/>
                <w:szCs w:val="14"/>
                <w:b w:val="1"/>
                <w:bCs w:val="1"/>
                <w:color w:val="auto"/>
                <w:w w:val="82"/>
              </w:rPr>
              <w:t>percentage</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77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w w:val="85"/>
              </w:rPr>
              <w:t>June 30,</w:t>
            </w:r>
          </w:p>
        </w:tc>
        <w:tc>
          <w:tcPr>
            <w:tcW w:w="460" w:type="dxa"/>
            <w:vAlign w:val="bottom"/>
            <w:tcBorders>
              <w:bottom w:val="single" w:sz="8" w:color="auto"/>
            </w:tcBorders>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1"/>
              </w:rPr>
              <w:t>change</w:t>
            </w:r>
          </w:p>
        </w:tc>
        <w:tc>
          <w:tcPr>
            <w:tcW w:w="2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72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jc w:val="right"/>
              <w:ind w:right="58"/>
              <w:spacing w:after="0" w:line="142" w:lineRule="exact"/>
              <w:rPr>
                <w:sz w:val="20"/>
                <w:szCs w:val="20"/>
                <w:color w:val="auto"/>
              </w:rPr>
            </w:pPr>
            <w:r>
              <w:rPr>
                <w:rFonts w:ascii="Arial" w:cs="Arial" w:eastAsia="Arial" w:hAnsi="Arial"/>
                <w:sz w:val="14"/>
                <w:szCs w:val="14"/>
                <w:b w:val="1"/>
                <w:bCs w:val="1"/>
                <w:color w:val="auto"/>
                <w:w w:val="89"/>
              </w:rPr>
              <w:t>2010</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ind w:right="76"/>
              <w:spacing w:after="0" w:line="142" w:lineRule="exact"/>
              <w:rPr>
                <w:sz w:val="20"/>
                <w:szCs w:val="20"/>
                <w:color w:val="auto"/>
              </w:rPr>
            </w:pPr>
            <w:r>
              <w:rPr>
                <w:rFonts w:ascii="Arial" w:cs="Arial" w:eastAsia="Arial" w:hAnsi="Arial"/>
                <w:sz w:val="14"/>
                <w:szCs w:val="14"/>
                <w:b w:val="1"/>
                <w:bCs w:val="1"/>
                <w:color w:val="auto"/>
                <w:w w:val="89"/>
              </w:rPr>
              <w:t>2009</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left="60"/>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operating income available to Genworth Financial, Inc.’s common stockholders:</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tcPr>
          <w:p>
            <w:pPr>
              <w:spacing w:after="0"/>
              <w:rPr>
                <w:sz w:val="20"/>
                <w:szCs w:val="20"/>
                <w:color w:val="auto"/>
              </w:rPr>
            </w:pPr>
            <w:r>
              <w:rPr>
                <w:rFonts w:ascii="Arial" w:cs="Arial" w:eastAsia="Arial" w:hAnsi="Arial"/>
                <w:sz w:val="18"/>
                <w:szCs w:val="18"/>
                <w:color w:val="auto"/>
              </w:rPr>
              <w:t>Life insurance</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32</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58</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552"/>
              <w:spacing w:after="0"/>
              <w:rPr>
                <w:sz w:val="20"/>
                <w:szCs w:val="20"/>
                <w:color w:val="auto"/>
              </w:rPr>
            </w:pPr>
            <w:r>
              <w:rPr>
                <w:rFonts w:ascii="Arial" w:cs="Arial" w:eastAsia="Arial" w:hAnsi="Arial"/>
                <w:sz w:val="18"/>
                <w:szCs w:val="18"/>
                <w:color w:val="auto"/>
                <w:w w:val="93"/>
              </w:rPr>
              <w:t>(26)</w:t>
            </w: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w w:val="87"/>
              </w:rPr>
              <w:t>(45)%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Long-term care insurance</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6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9"/>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tcPr>
          <w:p>
            <w:pPr>
              <w:spacing w:after="0"/>
              <w:rPr>
                <w:sz w:val="20"/>
                <w:szCs w:val="20"/>
                <w:color w:val="auto"/>
              </w:rPr>
            </w:pPr>
            <w:r>
              <w:rPr>
                <w:rFonts w:ascii="Arial" w:cs="Arial" w:eastAsia="Arial" w:hAnsi="Arial"/>
                <w:sz w:val="18"/>
                <w:szCs w:val="18"/>
                <w:color w:val="auto"/>
              </w:rPr>
              <w:t>Wealth management</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10</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7</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8"/>
                <w:szCs w:val="18"/>
                <w:color w:val="auto"/>
              </w:rPr>
              <w:t>3</w:t>
            </w:r>
          </w:p>
        </w:tc>
        <w:tc>
          <w:tcPr>
            <w:tcW w:w="680" w:type="dxa"/>
            <w:vAlign w:val="bottom"/>
          </w:tcPr>
          <w:p>
            <w:pPr>
              <w:spacing w:after="0"/>
              <w:rPr>
                <w:sz w:val="18"/>
                <w:szCs w:val="18"/>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8"/>
                <w:szCs w:val="18"/>
                <w:color w:val="auto"/>
                <w:w w:val="99"/>
              </w:rPr>
              <w:t>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Retirement income</w:t>
            </w:r>
          </w:p>
        </w:tc>
        <w:tc>
          <w:tcPr>
            <w:tcW w:w="12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5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5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6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9"/>
              </w:rPr>
              <w:t>56%</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700" w:type="dxa"/>
            <w:vAlign w:val="bottom"/>
            <w:gridSpan w:val="2"/>
          </w:tcPr>
          <w:p>
            <w:pPr>
              <w:jc w:val="right"/>
              <w:ind w:right="1040"/>
              <w:spacing w:after="0"/>
              <w:rPr>
                <w:sz w:val="20"/>
                <w:szCs w:val="20"/>
                <w:color w:val="auto"/>
              </w:rPr>
            </w:pPr>
            <w:r>
              <w:rPr>
                <w:rFonts w:ascii="Arial" w:cs="Arial" w:eastAsia="Arial" w:hAnsi="Arial"/>
                <w:sz w:val="18"/>
                <w:szCs w:val="18"/>
                <w:color w:val="auto"/>
                <w:w w:val="94"/>
              </w:rPr>
              <w:t>Total net operating income available to Genworth Financial, Inc.’s common stockholders</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114</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123</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552"/>
              <w:spacing w:after="0"/>
              <w:rPr>
                <w:sz w:val="20"/>
                <w:szCs w:val="20"/>
                <w:color w:val="auto"/>
              </w:rPr>
            </w:pPr>
            <w:r>
              <w:rPr>
                <w:rFonts w:ascii="Arial" w:cs="Arial" w:eastAsia="Arial" w:hAnsi="Arial"/>
                <w:sz w:val="18"/>
                <w:szCs w:val="18"/>
                <w:color w:val="auto"/>
              </w:rPr>
              <w:t>(9)</w:t>
            </w: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0"/>
        </w:trPr>
        <w:tc>
          <w:tcPr>
            <w:tcW w:w="7720" w:type="dxa"/>
            <w:vAlign w:val="bottom"/>
            <w:gridSpan w:val="3"/>
            <w:vMerge w:val="restart"/>
          </w:tcPr>
          <w:p>
            <w:pPr>
              <w:jc w:val="right"/>
              <w:ind w:right="1920"/>
              <w:spacing w:after="0"/>
              <w:rPr>
                <w:sz w:val="20"/>
                <w:szCs w:val="20"/>
                <w:color w:val="auto"/>
              </w:rPr>
            </w:pPr>
            <w:r>
              <w:rPr>
                <w:rFonts w:ascii="Arial" w:cs="Arial" w:eastAsia="Arial" w:hAnsi="Arial"/>
                <w:sz w:val="18"/>
                <w:szCs w:val="18"/>
                <w:color w:val="auto"/>
              </w:rPr>
              <w:t>82</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7720" w:type="dxa"/>
            <w:vAlign w:val="bottom"/>
            <w:gridSpan w:val="3"/>
            <w:vMerge w:val="continue"/>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operating income available to Genworth Financial, Inc.’s common stockholders</w:t>
      </w:r>
    </w:p>
    <w:p>
      <w:pPr>
        <w:spacing w:after="0" w:line="90" w:lineRule="exact"/>
        <w:rPr>
          <w:sz w:val="20"/>
          <w:szCs w:val="20"/>
          <w:color w:val="auto"/>
        </w:rPr>
      </w:pPr>
    </w:p>
    <w:p>
      <w:pPr>
        <w:ind w:left="900" w:right="280" w:hanging="325"/>
        <w:spacing w:after="0" w:line="332" w:lineRule="auto"/>
        <w:tabs>
          <w:tab w:leader="none" w:pos="900" w:val="left"/>
        </w:tabs>
        <w:numPr>
          <w:ilvl w:val="0"/>
          <w:numId w:val="59"/>
        </w:numPr>
        <w:rPr>
          <w:rFonts w:ascii="Arial" w:cs="Arial" w:eastAsia="Arial" w:hAnsi="Arial"/>
          <w:sz w:val="16"/>
          <w:szCs w:val="16"/>
          <w:color w:val="auto"/>
        </w:rPr>
      </w:pPr>
      <w:r>
        <w:rPr>
          <w:rFonts w:ascii="Arial" w:cs="Arial" w:eastAsia="Arial" w:hAnsi="Arial"/>
          <w:sz w:val="16"/>
          <w:szCs w:val="16"/>
          <w:color w:val="auto"/>
        </w:rPr>
        <w:t>Our life insurance business decreased $26 million primarily attributable to lower persistency on our term life insurance policies entering the post-level rate period and increased claims as the result of higher mortality in our term life insurance products compared to the prior year.</w:t>
      </w:r>
    </w:p>
    <w:p>
      <w:pPr>
        <w:spacing w:after="0" w:line="4" w:lineRule="exact"/>
        <w:rPr>
          <w:rFonts w:ascii="Arial" w:cs="Arial" w:eastAsia="Arial" w:hAnsi="Arial"/>
          <w:sz w:val="16"/>
          <w:szCs w:val="16"/>
          <w:color w:val="auto"/>
        </w:rPr>
      </w:pPr>
    </w:p>
    <w:p>
      <w:pPr>
        <w:ind w:left="900" w:right="340" w:hanging="325"/>
        <w:spacing w:after="0" w:line="268" w:lineRule="auto"/>
        <w:tabs>
          <w:tab w:leader="none" w:pos="9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Our long-term care insurance business increased $5 million as the favorable performance of newer issued policies and higher investment income were partially offset by lower terminations in the current year.</w:t>
      </w:r>
    </w:p>
    <w:p>
      <w:pPr>
        <w:spacing w:after="0" w:line="50" w:lineRule="exact"/>
        <w:rPr>
          <w:rFonts w:ascii="Arial" w:cs="Arial" w:eastAsia="Arial" w:hAnsi="Arial"/>
          <w:sz w:val="18"/>
          <w:szCs w:val="18"/>
          <w:color w:val="auto"/>
        </w:rPr>
      </w:pPr>
    </w:p>
    <w:p>
      <w:pPr>
        <w:ind w:left="900" w:right="20" w:hanging="325"/>
        <w:spacing w:after="0" w:line="268" w:lineRule="auto"/>
        <w:tabs>
          <w:tab w:leader="none" w:pos="9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Our wealth management business increased $3 million from higher average assets under management from favorable equity market performance and positive net flows.</w:t>
      </w:r>
    </w:p>
    <w:p>
      <w:pPr>
        <w:spacing w:after="0" w:line="50" w:lineRule="exact"/>
        <w:rPr>
          <w:rFonts w:ascii="Arial" w:cs="Arial" w:eastAsia="Arial" w:hAnsi="Arial"/>
          <w:sz w:val="18"/>
          <w:szCs w:val="18"/>
          <w:color w:val="auto"/>
        </w:rPr>
      </w:pPr>
    </w:p>
    <w:p>
      <w:pPr>
        <w:ind w:left="900" w:right="80" w:hanging="325"/>
        <w:spacing w:after="0" w:line="268" w:lineRule="auto"/>
        <w:tabs>
          <w:tab w:leader="none" w:pos="9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Our retirement income business increased $9 million. Our spread-based products increased $24 million primarily from an increase in net investment income. Our fee-based products decreased $15 million mainly attributable to less favorable market performance.</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90"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Premiums</w:t>
      </w:r>
    </w:p>
    <w:p>
      <w:pPr>
        <w:spacing w:after="0" w:line="90" w:lineRule="exact"/>
        <w:rPr>
          <w:sz w:val="20"/>
          <w:szCs w:val="20"/>
          <w:color w:val="auto"/>
        </w:rPr>
      </w:pPr>
    </w:p>
    <w:p>
      <w:pPr>
        <w:ind w:left="900" w:hanging="325"/>
        <w:spacing w:after="0" w:line="306" w:lineRule="auto"/>
        <w:tabs>
          <w:tab w:leader="none" w:pos="900" w:val="left"/>
        </w:tabs>
        <w:numPr>
          <w:ilvl w:val="0"/>
          <w:numId w:val="60"/>
        </w:numPr>
        <w:rPr>
          <w:rFonts w:ascii="Arial" w:cs="Arial" w:eastAsia="Arial" w:hAnsi="Arial"/>
          <w:sz w:val="16"/>
          <w:szCs w:val="16"/>
          <w:color w:val="auto"/>
        </w:rPr>
      </w:pPr>
      <w:r>
        <w:rPr>
          <w:rFonts w:ascii="Arial" w:cs="Arial" w:eastAsia="Arial" w:hAnsi="Arial"/>
          <w:sz w:val="16"/>
          <w:szCs w:val="16"/>
          <w:color w:val="auto"/>
        </w:rPr>
        <w:t>Our life insurance business decreased $9 million primarily attributable to the introduction of our term universal life insurance product that is designed to replace new sales of our existing term life insurance products with fees associated with deposits of the new product reflected in insurance and investment product fees and other. The decrease was also from higher lapses on policies entering the post-level rate period.</w:t>
      </w:r>
    </w:p>
    <w:p>
      <w:pPr>
        <w:spacing w:after="0" w:line="25" w:lineRule="exact"/>
        <w:rPr>
          <w:rFonts w:ascii="Arial" w:cs="Arial" w:eastAsia="Arial" w:hAnsi="Arial"/>
          <w:sz w:val="16"/>
          <w:szCs w:val="16"/>
          <w:color w:val="auto"/>
        </w:rPr>
      </w:pPr>
    </w:p>
    <w:p>
      <w:pPr>
        <w:ind w:left="900" w:right="240" w:hanging="325"/>
        <w:spacing w:after="0" w:line="268" w:lineRule="auto"/>
        <w:tabs>
          <w:tab w:leader="none" w:pos="9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Our long-term care insurance business increased $8 million mainly attributable to growth of the in-force block from new sales, renewal premiums and in-force rate actions.</w:t>
      </w:r>
    </w:p>
    <w:p>
      <w:pPr>
        <w:spacing w:after="0" w:line="50" w:lineRule="exact"/>
        <w:rPr>
          <w:rFonts w:ascii="Arial" w:cs="Arial" w:eastAsia="Arial" w:hAnsi="Arial"/>
          <w:sz w:val="18"/>
          <w:szCs w:val="18"/>
          <w:color w:val="auto"/>
        </w:rPr>
      </w:pPr>
    </w:p>
    <w:p>
      <w:pPr>
        <w:ind w:left="900" w:right="380" w:hanging="325"/>
        <w:spacing w:after="0" w:line="268" w:lineRule="auto"/>
        <w:tabs>
          <w:tab w:leader="none" w:pos="9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Our retirement income business decreased $6 million primarily driven by lower life-contingent sales of our spread-based products in the current market environment.</w:t>
      </w:r>
    </w:p>
    <w:p>
      <w:pPr>
        <w:spacing w:after="0" w:line="213"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Net investment income</w:t>
      </w:r>
    </w:p>
    <w:p>
      <w:pPr>
        <w:spacing w:after="0" w:line="90" w:lineRule="exact"/>
        <w:rPr>
          <w:sz w:val="20"/>
          <w:szCs w:val="20"/>
          <w:color w:val="auto"/>
        </w:rPr>
      </w:pPr>
    </w:p>
    <w:p>
      <w:pPr>
        <w:ind w:left="900" w:right="40" w:hanging="325"/>
        <w:spacing w:after="0" w:line="259" w:lineRule="auto"/>
        <w:tabs>
          <w:tab w:leader="none" w:pos="9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Our life insurance business increased $11 million mainly related to limited partnerships accounted for under the equity method. Net investment income included $3 million of gains related to limited partnerships accounted for under the equity method in the second quarter of 2010 as compared to losses of $9 million in the second quarter of 2009.</w:t>
      </w:r>
    </w:p>
    <w:p>
      <w:pPr>
        <w:spacing w:after="0" w:line="59" w:lineRule="exact"/>
        <w:rPr>
          <w:rFonts w:ascii="Arial" w:cs="Arial" w:eastAsia="Arial" w:hAnsi="Arial"/>
          <w:sz w:val="18"/>
          <w:szCs w:val="18"/>
          <w:color w:val="auto"/>
        </w:rPr>
      </w:pPr>
    </w:p>
    <w:p>
      <w:pPr>
        <w:ind w:left="900" w:hanging="325"/>
        <w:spacing w:after="0" w:line="259" w:lineRule="auto"/>
        <w:tabs>
          <w:tab w:leader="none" w:pos="9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Our long-term care insurance business increased $32 million largely as a result of an increase in average invested assets due to growth of our in-force block. Additionally, net investment income in the second quarter of 2010 included $3 million of gains related to limited partnerships accounted for under the equity method as compared to losses of $3 million in the second quarter of 2009.</w:t>
      </w:r>
    </w:p>
    <w:p>
      <w:pPr>
        <w:spacing w:after="0" w:line="59" w:lineRule="exact"/>
        <w:rPr>
          <w:rFonts w:ascii="Arial" w:cs="Arial" w:eastAsia="Arial" w:hAnsi="Arial"/>
          <w:sz w:val="18"/>
          <w:szCs w:val="18"/>
          <w:color w:val="auto"/>
        </w:rPr>
      </w:pPr>
    </w:p>
    <w:p>
      <w:pPr>
        <w:ind w:left="900" w:right="80" w:hanging="325"/>
        <w:spacing w:after="0" w:line="255" w:lineRule="auto"/>
        <w:tabs>
          <w:tab w:leader="none" w:pos="9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Our retirement income business increased $23 million primarily attributable to limited partnerships accounted for under the equity method. Net investment income included $4 million of gains related to limited partnerships accounted for under the equity method in the second quarter of 2010 as compared to losses of $17 million in the second quarter of 2009. Net investment income for our spread-based products also benefited from the reinvestment of the high cash balances we were holding during 2009. These increases were partially offset by a decline in average invested assets of our fee-based products.</w:t>
      </w:r>
    </w:p>
    <w:p>
      <w:pPr>
        <w:spacing w:after="0" w:line="143" w:lineRule="exact"/>
        <w:rPr>
          <w:sz w:val="20"/>
          <w:szCs w:val="20"/>
          <w:color w:val="auto"/>
        </w:rPr>
      </w:pPr>
    </w:p>
    <w:p>
      <w:pPr>
        <w:ind w:right="520" w:firstLine="571"/>
        <w:spacing w:after="0" w:line="268" w:lineRule="auto"/>
        <w:rPr>
          <w:sz w:val="20"/>
          <w:szCs w:val="20"/>
          <w:color w:val="auto"/>
        </w:rPr>
      </w:pPr>
      <w:r>
        <w:rPr>
          <w:rFonts w:ascii="Arial" w:cs="Arial" w:eastAsia="Arial" w:hAnsi="Arial"/>
          <w:sz w:val="18"/>
          <w:szCs w:val="18"/>
          <w:i w:val="1"/>
          <w:iCs w:val="1"/>
          <w:color w:val="auto"/>
        </w:rPr>
        <w:t xml:space="preserve">Net investment gains (losses). </w:t>
      </w:r>
      <w:r>
        <w:rPr>
          <w:rFonts w:ascii="Arial" w:cs="Arial" w:eastAsia="Arial" w:hAnsi="Arial"/>
          <w:sz w:val="18"/>
          <w:szCs w:val="18"/>
          <w:color w:val="auto"/>
        </w:rPr>
        <w:t>For further discussion of the change in net investment gains (losses), see the comparison for this line item under “—</w:t>
      </w:r>
      <w:r>
        <w:rPr>
          <w:rFonts w:ascii="Arial" w:cs="Arial" w:eastAsia="Arial" w:hAnsi="Arial"/>
          <w:sz w:val="18"/>
          <w:szCs w:val="18"/>
          <w:i w:val="1"/>
          <w:iCs w:val="1"/>
          <w:color w:val="auto"/>
        </w:rPr>
        <w:t xml:space="preserve"> </w:t>
      </w:r>
      <w:r>
        <w:rPr>
          <w:rFonts w:ascii="Arial" w:cs="Arial" w:eastAsia="Arial" w:hAnsi="Arial"/>
          <w:sz w:val="18"/>
          <w:szCs w:val="18"/>
          <w:color w:val="auto"/>
        </w:rPr>
        <w:t>Investments and Derivative Instruments.”</w:t>
      </w:r>
    </w:p>
    <w:p>
      <w:pPr>
        <w:spacing w:after="0" w:line="51" w:lineRule="exact"/>
        <w:rPr>
          <w:sz w:val="20"/>
          <w:szCs w:val="20"/>
          <w:color w:val="auto"/>
        </w:rPr>
      </w:pPr>
    </w:p>
    <w:p>
      <w:pPr>
        <w:ind w:left="900" w:right="300" w:hanging="325"/>
        <w:spacing w:after="0" w:line="268" w:lineRule="auto"/>
        <w:tabs>
          <w:tab w:leader="none" w:pos="9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Net investment losses in our life insurance business decreased $35 million primarily driven by lower losses from the sale of investment securities related to portfolio repositioning and lower impairments recorded in the current year.</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400"/>
          </w:cols>
          <w:pgMar w:left="240" w:top="459" w:right="259" w:bottom="1440" w:gutter="0" w:footer="0" w:header="0"/>
        </w:sectPr>
      </w:pPr>
    </w:p>
    <w:bookmarkStart w:id="83" w:name="page84"/>
    <w:bookmarkEnd w:id="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right="120" w:hanging="325"/>
        <w:spacing w:after="0" w:line="259" w:lineRule="auto"/>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Our long-term care insurance business had net investment gains in the current year from the sale of investment securities related to portfolio repositioning as compared to net investment losses in the prior year from derivative losses related to our derivative strategy to mitigate interest rate risk associated with our statutory capital position.</w:t>
      </w:r>
    </w:p>
    <w:p>
      <w:pPr>
        <w:spacing w:after="0" w:line="59" w:lineRule="exact"/>
        <w:rPr>
          <w:rFonts w:ascii="Arial" w:cs="Arial" w:eastAsia="Arial" w:hAnsi="Arial"/>
          <w:sz w:val="18"/>
          <w:szCs w:val="18"/>
          <w:color w:val="auto"/>
        </w:rPr>
      </w:pPr>
    </w:p>
    <w:p>
      <w:pPr>
        <w:ind w:left="900" w:hanging="325"/>
        <w:spacing w:after="0" w:line="259" w:lineRule="auto"/>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Our retirement income business had net investment losses in the current year primarily from losses related to embedded derivatives associated with our variable annuity products with GMWBs as compared to net investment gains related to those embedded derivatives in the prior year. The current year embedded derivative losses were partially offset by lower impairments.</w:t>
      </w:r>
    </w:p>
    <w:p>
      <w:pPr>
        <w:spacing w:after="0" w:line="221"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Insurance and investment product fees and other</w:t>
      </w:r>
    </w:p>
    <w:p>
      <w:pPr>
        <w:spacing w:after="0" w:line="90" w:lineRule="exact"/>
        <w:rPr>
          <w:sz w:val="20"/>
          <w:szCs w:val="20"/>
          <w:color w:val="auto"/>
        </w:rPr>
      </w:pPr>
    </w:p>
    <w:p>
      <w:pPr>
        <w:ind w:left="900" w:right="40" w:hanging="325"/>
        <w:spacing w:after="0" w:line="268" w:lineRule="auto"/>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Our life insurance business increased $13 million primarily from growth of our new term universal life insurance product that is designed to replace sales of our traditional term life insurance products.</w:t>
      </w:r>
    </w:p>
    <w:p>
      <w:pPr>
        <w:spacing w:after="0" w:line="50" w:lineRule="exact"/>
        <w:rPr>
          <w:rFonts w:ascii="Arial" w:cs="Arial" w:eastAsia="Arial" w:hAnsi="Arial"/>
          <w:sz w:val="18"/>
          <w:szCs w:val="18"/>
          <w:color w:val="auto"/>
        </w:rPr>
      </w:pPr>
    </w:p>
    <w:p>
      <w:pPr>
        <w:ind w:left="900" w:right="240" w:hanging="325"/>
        <w:spacing w:after="0" w:line="268" w:lineRule="auto"/>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Our wealth management business increased $23 million primarily attributable to higher average assets under management from favorable market performance and positive net flows as gross flows exceeded redemptions.</w:t>
      </w:r>
    </w:p>
    <w:p>
      <w:pPr>
        <w:spacing w:after="0" w:line="50" w:lineRule="exact"/>
        <w:rPr>
          <w:rFonts w:ascii="Arial" w:cs="Arial" w:eastAsia="Arial" w:hAnsi="Arial"/>
          <w:sz w:val="18"/>
          <w:szCs w:val="18"/>
          <w:color w:val="auto"/>
        </w:rPr>
      </w:pPr>
    </w:p>
    <w:p>
      <w:pPr>
        <w:ind w:left="900" w:right="720" w:hanging="325"/>
        <w:spacing w:after="0" w:line="268" w:lineRule="auto"/>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Our retirement income business increased $11 million mainly due to higher average account values of our fee-based products from market improvement in the second half of 2009 and the first quarter of 2010.</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Benefits and expenses</w:t>
      </w:r>
    </w:p>
    <w:p>
      <w:pPr>
        <w:spacing w:after="0" w:line="90"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Benefits and other changes in policy reserves</w:t>
      </w:r>
    </w:p>
    <w:p>
      <w:pPr>
        <w:spacing w:after="0" w:line="90" w:lineRule="exact"/>
        <w:rPr>
          <w:sz w:val="20"/>
          <w:szCs w:val="20"/>
          <w:color w:val="auto"/>
        </w:rPr>
      </w:pPr>
    </w:p>
    <w:p>
      <w:pPr>
        <w:ind w:left="900" w:right="140" w:hanging="325"/>
        <w:spacing w:after="0" w:line="268" w:lineRule="auto"/>
        <w:tabs>
          <w:tab w:leader="none" w:pos="9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Our life insurance business increased $33 million principally related to increased claims associated with higher mortality in our term life insurance products compared to the prior year and aging of the in-force block.</w:t>
      </w:r>
    </w:p>
    <w:p>
      <w:pPr>
        <w:spacing w:after="0" w:line="50" w:lineRule="exact"/>
        <w:rPr>
          <w:rFonts w:ascii="Arial" w:cs="Arial" w:eastAsia="Arial" w:hAnsi="Arial"/>
          <w:sz w:val="18"/>
          <w:szCs w:val="18"/>
          <w:color w:val="auto"/>
        </w:rPr>
      </w:pPr>
    </w:p>
    <w:p>
      <w:pPr>
        <w:ind w:left="900" w:right="780" w:hanging="325"/>
        <w:spacing w:after="0" w:line="268" w:lineRule="auto"/>
        <w:tabs>
          <w:tab w:leader="none" w:pos="9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Our long-term care insurance business increased $23 million primarily as a result of the aging and growth of the in-force block and lower terminations in the current year.</w:t>
      </w:r>
    </w:p>
    <w:p>
      <w:pPr>
        <w:spacing w:after="0" w:line="50" w:lineRule="exact"/>
        <w:rPr>
          <w:rFonts w:ascii="Arial" w:cs="Arial" w:eastAsia="Arial" w:hAnsi="Arial"/>
          <w:sz w:val="18"/>
          <w:szCs w:val="18"/>
          <w:color w:val="auto"/>
        </w:rPr>
      </w:pPr>
    </w:p>
    <w:p>
      <w:pPr>
        <w:ind w:left="900" w:right="280" w:hanging="325"/>
        <w:spacing w:after="0" w:line="259" w:lineRule="auto"/>
        <w:tabs>
          <w:tab w:leader="none" w:pos="9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Our retirement income business increased $10 million largely attributable to our fee-based products related to our guaranteed minimum benefit liabilities for our variable annuity contracts driven by unfavorable market impacts during the current year as compared to the prior year, partially offset by a decrease in guaranteed minimum death benefit claims.</w:t>
      </w:r>
    </w:p>
    <w:p>
      <w:pPr>
        <w:spacing w:after="0" w:line="140" w:lineRule="exact"/>
        <w:rPr>
          <w:sz w:val="20"/>
          <w:szCs w:val="20"/>
          <w:color w:val="auto"/>
        </w:rPr>
      </w:pPr>
    </w:p>
    <w:p>
      <w:pPr>
        <w:ind w:right="40" w:firstLine="571"/>
        <w:spacing w:after="0" w:line="268" w:lineRule="auto"/>
        <w:rPr>
          <w:sz w:val="20"/>
          <w:szCs w:val="20"/>
          <w:color w:val="auto"/>
        </w:rPr>
      </w:pPr>
      <w:r>
        <w:rPr>
          <w:rFonts w:ascii="Arial" w:cs="Arial" w:eastAsia="Arial" w:hAnsi="Arial"/>
          <w:sz w:val="18"/>
          <w:szCs w:val="18"/>
          <w:i w:val="1"/>
          <w:iCs w:val="1"/>
          <w:color w:val="auto"/>
        </w:rPr>
        <w:t xml:space="preserve">Interest credited. </w:t>
      </w:r>
      <w:r>
        <w:rPr>
          <w:rFonts w:ascii="Arial" w:cs="Arial" w:eastAsia="Arial" w:hAnsi="Arial"/>
          <w:sz w:val="18"/>
          <w:szCs w:val="18"/>
          <w:color w:val="auto"/>
        </w:rPr>
        <w:t>Interest credited decreased $8 million primarily related to our retirement income business from lower account values on fixed annuities</w:t>
      </w:r>
      <w:r>
        <w:rPr>
          <w:rFonts w:ascii="Arial" w:cs="Arial" w:eastAsia="Arial" w:hAnsi="Arial"/>
          <w:sz w:val="18"/>
          <w:szCs w:val="18"/>
          <w:i w:val="1"/>
          <w:iCs w:val="1"/>
          <w:color w:val="auto"/>
        </w:rPr>
        <w:t xml:space="preserve"> </w:t>
      </w:r>
      <w:r>
        <w:rPr>
          <w:rFonts w:ascii="Arial" w:cs="Arial" w:eastAsia="Arial" w:hAnsi="Arial"/>
          <w:sz w:val="18"/>
          <w:szCs w:val="18"/>
          <w:color w:val="auto"/>
        </w:rPr>
        <w:t>and lower crediting rates as the fixed annuities reach the end of their initial crediting rate guarantee period.</w:t>
      </w:r>
    </w:p>
    <w:p>
      <w:pPr>
        <w:spacing w:after="0" w:line="213"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Acquisition and operating expenses, net of deferrals</w:t>
      </w:r>
    </w:p>
    <w:p>
      <w:pPr>
        <w:spacing w:after="0" w:line="90" w:lineRule="exact"/>
        <w:rPr>
          <w:sz w:val="20"/>
          <w:szCs w:val="20"/>
          <w:color w:val="auto"/>
        </w:rPr>
      </w:pPr>
    </w:p>
    <w:p>
      <w:pPr>
        <w:ind w:left="900" w:hanging="325"/>
        <w:spacing w:after="0"/>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Our life insurance business increased $8 million primarily from growth of our life insurance products.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Our long-term care insurance business increased $15 million related to growth of our in-force block.</w:t>
      </w:r>
    </w:p>
    <w:p>
      <w:pPr>
        <w:spacing w:after="0" w:line="90" w:lineRule="exact"/>
        <w:rPr>
          <w:rFonts w:ascii="Arial" w:cs="Arial" w:eastAsia="Arial" w:hAnsi="Arial"/>
          <w:sz w:val="18"/>
          <w:szCs w:val="18"/>
          <w:color w:val="auto"/>
        </w:rPr>
      </w:pPr>
    </w:p>
    <w:p>
      <w:pPr>
        <w:ind w:left="900" w:right="80" w:hanging="325"/>
        <w:spacing w:after="0" w:line="268"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Our wealth management business increased $17 million primarily from increased asset-based expenses as assets under management increased from favorable market impacts and positive net flows.</w:t>
      </w:r>
    </w:p>
    <w:p>
      <w:pPr>
        <w:spacing w:after="0" w:line="50" w:lineRule="exact"/>
        <w:rPr>
          <w:rFonts w:ascii="Arial" w:cs="Arial" w:eastAsia="Arial" w:hAnsi="Arial"/>
          <w:sz w:val="18"/>
          <w:szCs w:val="18"/>
          <w:color w:val="auto"/>
        </w:rPr>
      </w:pPr>
    </w:p>
    <w:p>
      <w:pPr>
        <w:ind w:left="900" w:right="40" w:hanging="325"/>
        <w:spacing w:after="0" w:line="268"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Our retirement income business remained relatively flat as higher costs associated with sales of our fee-based products were offset by lower sales of our spread-based products.</w:t>
      </w:r>
    </w:p>
    <w:p>
      <w:pPr>
        <w:spacing w:after="0" w:line="11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340"/>
          </w:cols>
          <w:pgMar w:left="240" w:top="459" w:right="31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Amortization of deferred acquisition costs and intangibles</w:t>
      </w:r>
    </w:p>
    <w:p>
      <w:pPr>
        <w:spacing w:after="0" w:line="90" w:lineRule="exact"/>
        <w:rPr>
          <w:sz w:val="20"/>
          <w:szCs w:val="20"/>
          <w:color w:val="auto"/>
        </w:rPr>
      </w:pPr>
    </w:p>
    <w:p>
      <w:pPr>
        <w:ind w:left="900" w:right="100" w:hanging="325"/>
        <w:spacing w:after="0" w:line="268" w:lineRule="auto"/>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Our life insurance business increased $15 million primarily attributable to higher amortization related to lower persistency in our term life insurance products entering the post-level rate period.</w:t>
      </w:r>
    </w:p>
    <w:p>
      <w:pPr>
        <w:spacing w:after="0" w:line="50" w:lineRule="exact"/>
        <w:rPr>
          <w:rFonts w:ascii="Arial" w:cs="Arial" w:eastAsia="Arial" w:hAnsi="Arial"/>
          <w:sz w:val="18"/>
          <w:szCs w:val="18"/>
          <w:color w:val="auto"/>
        </w:rPr>
      </w:pPr>
    </w:p>
    <w:p>
      <w:pPr>
        <w:ind w:left="900" w:right="300" w:hanging="325"/>
        <w:spacing w:after="0" w:line="268" w:lineRule="auto"/>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Our long-term care insurance business decreased $5 million from lower terminations in the current year, partially offset by growth of our in-force block.</w:t>
      </w:r>
    </w:p>
    <w:p>
      <w:pPr>
        <w:spacing w:after="0" w:line="50" w:lineRule="exact"/>
        <w:rPr>
          <w:rFonts w:ascii="Arial" w:cs="Arial" w:eastAsia="Arial" w:hAnsi="Arial"/>
          <w:sz w:val="18"/>
          <w:szCs w:val="18"/>
          <w:color w:val="auto"/>
        </w:rPr>
      </w:pPr>
    </w:p>
    <w:p>
      <w:pPr>
        <w:ind w:left="900" w:right="80" w:hanging="325"/>
        <w:spacing w:after="0" w:line="255" w:lineRule="auto"/>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Our retirement income business decreased $44 million primarily related to a decrease of $29 million in our fee-based products largely attributable to a decrease in amortization of deferred acquisition costs from lower net investment gains, partially offset by an increase in amortization from unfavorable market performance in the current year. Our spread-based products decreased $15 million mainly from a $9 million favorable unlocking primarily related to lower lapse trends in the current year and lower amortization of deferred acquisition costs attributable to higher net investment losses.</w:t>
      </w:r>
    </w:p>
    <w:p>
      <w:pPr>
        <w:spacing w:after="0" w:line="143" w:lineRule="exact"/>
        <w:rPr>
          <w:sz w:val="20"/>
          <w:szCs w:val="20"/>
          <w:color w:val="auto"/>
        </w:rPr>
      </w:pPr>
    </w:p>
    <w:p>
      <w:pPr>
        <w:ind w:right="220" w:firstLine="571"/>
        <w:spacing w:after="0" w:line="268" w:lineRule="auto"/>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increased $5 million primarily related to our life insurance business from higher costs associated with the issuance of</w:t>
      </w:r>
      <w:r>
        <w:rPr>
          <w:rFonts w:ascii="Arial" w:cs="Arial" w:eastAsia="Arial" w:hAnsi="Arial"/>
          <w:sz w:val="18"/>
          <w:szCs w:val="18"/>
          <w:i w:val="1"/>
          <w:iCs w:val="1"/>
          <w:color w:val="auto"/>
        </w:rPr>
        <w:t xml:space="preserve"> </w:t>
      </w:r>
      <w:r>
        <w:rPr>
          <w:rFonts w:ascii="Arial" w:cs="Arial" w:eastAsia="Arial" w:hAnsi="Arial"/>
          <w:sz w:val="18"/>
          <w:szCs w:val="18"/>
          <w:color w:val="auto"/>
        </w:rPr>
        <w:t>letters of credit related to reinsurance transactions.</w:t>
      </w:r>
    </w:p>
    <w:p>
      <w:pPr>
        <w:spacing w:after="0" w:line="132" w:lineRule="exact"/>
        <w:rPr>
          <w:sz w:val="20"/>
          <w:szCs w:val="20"/>
          <w:color w:val="auto"/>
        </w:rPr>
      </w:pPr>
    </w:p>
    <w:p>
      <w:pPr>
        <w:ind w:right="200" w:firstLine="571"/>
        <w:spacing w:after="0" w:line="259" w:lineRule="auto"/>
        <w:rPr>
          <w:sz w:val="20"/>
          <w:szCs w:val="20"/>
          <w:color w:val="auto"/>
        </w:rPr>
      </w:pPr>
      <w:r>
        <w:rPr>
          <w:rFonts w:ascii="Arial" w:cs="Arial" w:eastAsia="Arial" w:hAnsi="Arial"/>
          <w:sz w:val="18"/>
          <w:szCs w:val="18"/>
          <w:i w:val="1"/>
          <w:iCs w:val="1"/>
          <w:color w:val="auto"/>
        </w:rPr>
        <w:t xml:space="preserve">Provision for income taxes. </w:t>
      </w:r>
      <w:r>
        <w:rPr>
          <w:rFonts w:ascii="Arial" w:cs="Arial" w:eastAsia="Arial" w:hAnsi="Arial"/>
          <w:sz w:val="18"/>
          <w:szCs w:val="18"/>
          <w:color w:val="auto"/>
        </w:rPr>
        <w:t>The effective tax rate decreased to 33.1% for the three months ended June 30, 2010 from 36.1% for the three months ended</w:t>
      </w:r>
      <w:r>
        <w:rPr>
          <w:rFonts w:ascii="Arial" w:cs="Arial" w:eastAsia="Arial" w:hAnsi="Arial"/>
          <w:sz w:val="18"/>
          <w:szCs w:val="18"/>
          <w:i w:val="1"/>
          <w:iCs w:val="1"/>
          <w:color w:val="auto"/>
        </w:rPr>
        <w:t xml:space="preserve"> </w:t>
      </w:r>
      <w:r>
        <w:rPr>
          <w:rFonts w:ascii="Arial" w:cs="Arial" w:eastAsia="Arial" w:hAnsi="Arial"/>
          <w:sz w:val="18"/>
          <w:szCs w:val="18"/>
          <w:color w:val="auto"/>
        </w:rPr>
        <w:t>June 30, 2009. This decrease in the effective tax rate was primarily attributable to a revision in the state effective tax rate in the prior year and tax favored investments recognized in the current year.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2010 Compared to Six Months Ended June 30, 2009</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results of operations relating to our Retirement and Protection segment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center"/>
              <w:ind w:left="117"/>
              <w:spacing w:after="0"/>
              <w:rPr>
                <w:sz w:val="20"/>
                <w:szCs w:val="20"/>
                <w:color w:val="auto"/>
              </w:rPr>
            </w:pPr>
            <w:r>
              <w:rPr>
                <w:rFonts w:ascii="Arial" w:cs="Arial" w:eastAsia="Arial" w:hAnsi="Arial"/>
                <w:sz w:val="14"/>
                <w:szCs w:val="14"/>
                <w:b w:val="1"/>
                <w:bCs w:val="1"/>
                <w:color w:val="auto"/>
                <w:w w:val="87"/>
              </w:rPr>
              <w:t>Increase</w:t>
            </w: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82"/>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40" w:type="dxa"/>
            <w:vAlign w:val="bottom"/>
            <w:gridSpan w:val="5"/>
          </w:tcPr>
          <w:p>
            <w:pPr>
              <w:jc w:val="right"/>
              <w:ind w:right="620"/>
              <w:spacing w:after="0" w:line="149" w:lineRule="exact"/>
              <w:rPr>
                <w:sz w:val="20"/>
                <w:szCs w:val="20"/>
                <w:color w:val="auto"/>
              </w:rPr>
            </w:pPr>
            <w:r>
              <w:rPr>
                <w:rFonts w:ascii="Arial" w:cs="Arial" w:eastAsia="Arial" w:hAnsi="Arial"/>
                <w:sz w:val="14"/>
                <w:szCs w:val="14"/>
                <w:b w:val="1"/>
                <w:bCs w:val="1"/>
                <w:color w:val="auto"/>
                <w:w w:val="91"/>
              </w:rPr>
              <w:t>Six months ended</w:t>
            </w:r>
          </w:p>
        </w:tc>
        <w:tc>
          <w:tcPr>
            <w:tcW w:w="80" w:type="dxa"/>
            <w:vAlign w:val="bottom"/>
          </w:tcPr>
          <w:p>
            <w:pPr>
              <w:spacing w:after="0"/>
              <w:rPr>
                <w:sz w:val="12"/>
                <w:szCs w:val="12"/>
                <w:color w:val="auto"/>
              </w:rPr>
            </w:pPr>
          </w:p>
        </w:tc>
        <w:tc>
          <w:tcPr>
            <w:tcW w:w="128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82"/>
              </w:rPr>
              <w:t>percentage</w:t>
            </w:r>
          </w:p>
        </w:tc>
        <w:tc>
          <w:tcPr>
            <w:tcW w:w="0" w:type="dxa"/>
            <w:vAlign w:val="bottom"/>
          </w:tcPr>
          <w:p>
            <w:pPr>
              <w:spacing w:after="0"/>
              <w:rPr>
                <w:sz w:val="1"/>
                <w:szCs w:val="1"/>
                <w:color w:val="auto"/>
              </w:rPr>
            </w:pPr>
          </w:p>
        </w:tc>
      </w:tr>
      <w:tr>
        <w:trPr>
          <w:trHeight w:val="161"/>
        </w:trPr>
        <w:tc>
          <w:tcPr>
            <w:tcW w:w="74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7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3"/>
          </w:tcPr>
          <w:p>
            <w:pPr>
              <w:jc w:val="right"/>
              <w:ind w:right="3"/>
              <w:spacing w:after="0"/>
              <w:rPr>
                <w:sz w:val="20"/>
                <w:szCs w:val="20"/>
                <w:color w:val="auto"/>
              </w:rPr>
            </w:pPr>
            <w:r>
              <w:rPr>
                <w:rFonts w:ascii="Arial" w:cs="Arial" w:eastAsia="Arial" w:hAnsi="Arial"/>
                <w:sz w:val="14"/>
                <w:szCs w:val="14"/>
                <w:b w:val="1"/>
                <w:bCs w:val="1"/>
                <w:color w:val="auto"/>
              </w:rPr>
              <w:t>June 30,</w:t>
            </w:r>
          </w:p>
        </w:tc>
        <w:tc>
          <w:tcPr>
            <w:tcW w:w="400" w:type="dxa"/>
            <w:vAlign w:val="bottom"/>
            <w:tcBorders>
              <w:bottom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gridSpan w:val="2"/>
          </w:tcPr>
          <w:p>
            <w:pPr>
              <w:jc w:val="center"/>
              <w:ind w:left="117"/>
              <w:spacing w:after="0"/>
              <w:rPr>
                <w:sz w:val="20"/>
                <w:szCs w:val="20"/>
                <w:color w:val="auto"/>
              </w:rPr>
            </w:pPr>
            <w:r>
              <w:rPr>
                <w:rFonts w:ascii="Arial" w:cs="Arial" w:eastAsia="Arial" w:hAnsi="Arial"/>
                <w:sz w:val="14"/>
                <w:szCs w:val="14"/>
                <w:b w:val="1"/>
                <w:bCs w:val="1"/>
                <w:color w:val="auto"/>
                <w:w w:val="85"/>
              </w:rPr>
              <w:t>change</w:t>
            </w:r>
          </w:p>
        </w:tc>
        <w:tc>
          <w:tcPr>
            <w:tcW w:w="28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440" w:type="dxa"/>
            <w:vAlign w:val="bottom"/>
            <w:gridSpan w:val="3"/>
            <w:vMerge w:val="continue"/>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ind w:right="35"/>
              <w:spacing w:after="0" w:line="142" w:lineRule="exact"/>
              <w:rPr>
                <w:sz w:val="20"/>
                <w:szCs w:val="20"/>
                <w:color w:val="auto"/>
              </w:rPr>
            </w:pPr>
            <w:r>
              <w:rPr>
                <w:rFonts w:ascii="Arial" w:cs="Arial" w:eastAsia="Arial" w:hAnsi="Arial"/>
                <w:sz w:val="14"/>
                <w:szCs w:val="14"/>
                <w:b w:val="1"/>
                <w:bCs w:val="1"/>
                <w:color w:val="auto"/>
                <w:w w:val="83"/>
              </w:rPr>
              <w:t>2010</w:t>
            </w: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ind w:right="33"/>
              <w:spacing w:after="0" w:line="142" w:lineRule="exact"/>
              <w:rPr>
                <w:sz w:val="20"/>
                <w:szCs w:val="20"/>
                <w:color w:val="auto"/>
              </w:rPr>
            </w:pPr>
            <w:r>
              <w:rPr>
                <w:rFonts w:ascii="Arial" w:cs="Arial" w:eastAsia="Arial" w:hAnsi="Arial"/>
                <w:sz w:val="14"/>
                <w:szCs w:val="14"/>
                <w:b w:val="1"/>
                <w:bCs w:val="1"/>
                <w:color w:val="auto"/>
                <w:w w:val="83"/>
              </w:rPr>
              <w:t>2009</w:t>
            </w:r>
          </w:p>
        </w:tc>
        <w:tc>
          <w:tcPr>
            <w:tcW w:w="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color w:val="auto"/>
                <w:w w:val="87"/>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6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Premiums</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420"/>
              <w:spacing w:after="0"/>
              <w:rPr>
                <w:sz w:val="20"/>
                <w:szCs w:val="20"/>
                <w:color w:val="auto"/>
              </w:rPr>
            </w:pPr>
            <w:r>
              <w:rPr>
                <w:rFonts w:ascii="Arial" w:cs="Arial" w:eastAsia="Arial" w:hAnsi="Arial"/>
                <w:sz w:val="18"/>
                <w:szCs w:val="18"/>
                <w:color w:val="auto"/>
                <w:w w:val="84"/>
              </w:rPr>
              <w:t>1,646</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1,664</w:t>
            </w:r>
          </w:p>
        </w:tc>
        <w:tc>
          <w:tcPr>
            <w:tcW w:w="42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rPr>
              <w:t>(18)</w:t>
            </w: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84"/>
              </w:rPr>
              <w:t>1,224</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1,083</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141</w:t>
            </w: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Net investment gains (losses)</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360"/>
              <w:spacing w:after="0"/>
              <w:rPr>
                <w:sz w:val="20"/>
                <w:szCs w:val="20"/>
                <w:color w:val="auto"/>
              </w:rPr>
            </w:pPr>
            <w:r>
              <w:rPr>
                <w:rFonts w:ascii="Arial" w:cs="Arial" w:eastAsia="Arial" w:hAnsi="Arial"/>
                <w:sz w:val="18"/>
                <w:szCs w:val="18"/>
                <w:color w:val="auto"/>
              </w:rPr>
              <w:t>(136)</w:t>
            </w:r>
          </w:p>
        </w:tc>
        <w:tc>
          <w:tcPr>
            <w:tcW w:w="100" w:type="dxa"/>
            <w:vAlign w:val="bottom"/>
          </w:tcPr>
          <w:p>
            <w:pPr>
              <w:spacing w:after="0"/>
              <w:rPr>
                <w:sz w:val="18"/>
                <w:szCs w:val="18"/>
                <w:color w:val="auto"/>
              </w:rPr>
            </w:pPr>
          </w:p>
        </w:tc>
        <w:tc>
          <w:tcPr>
            <w:tcW w:w="820" w:type="dxa"/>
            <w:vAlign w:val="bottom"/>
            <w:gridSpan w:val="2"/>
          </w:tcPr>
          <w:p>
            <w:pPr>
              <w:jc w:val="right"/>
              <w:ind w:right="360"/>
              <w:spacing w:after="0"/>
              <w:rPr>
                <w:sz w:val="20"/>
                <w:szCs w:val="20"/>
                <w:color w:val="auto"/>
              </w:rPr>
            </w:pPr>
            <w:r>
              <w:rPr>
                <w:rFonts w:ascii="Arial" w:cs="Arial" w:eastAsia="Arial" w:hAnsi="Arial"/>
                <w:sz w:val="18"/>
                <w:szCs w:val="18"/>
                <w:color w:val="auto"/>
              </w:rPr>
              <w:t>(570)</w:t>
            </w:r>
          </w:p>
        </w:tc>
        <w:tc>
          <w:tcPr>
            <w:tcW w:w="80" w:type="dxa"/>
            <w:vAlign w:val="bottom"/>
          </w:tcPr>
          <w:p>
            <w:pPr>
              <w:spacing w:after="0"/>
              <w:rPr>
                <w:sz w:val="18"/>
                <w:szCs w:val="18"/>
                <w:color w:val="auto"/>
              </w:rPr>
            </w:pPr>
          </w:p>
        </w:tc>
        <w:tc>
          <w:tcPr>
            <w:tcW w:w="740" w:type="dxa"/>
            <w:vAlign w:val="bottom"/>
            <w:gridSpan w:val="2"/>
          </w:tcPr>
          <w:p>
            <w:pPr>
              <w:jc w:val="right"/>
              <w:ind w:right="400"/>
              <w:spacing w:after="0"/>
              <w:rPr>
                <w:sz w:val="20"/>
                <w:szCs w:val="20"/>
                <w:color w:val="auto"/>
              </w:rPr>
            </w:pPr>
            <w:r>
              <w:rPr>
                <w:rFonts w:ascii="Arial" w:cs="Arial" w:eastAsia="Arial" w:hAnsi="Arial"/>
                <w:sz w:val="18"/>
                <w:szCs w:val="18"/>
                <w:color w:val="auto"/>
              </w:rPr>
              <w:t>434</w:t>
            </w: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7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502</w:t>
            </w:r>
          </w:p>
        </w:tc>
        <w:tc>
          <w:tcPr>
            <w:tcW w:w="4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417</w:t>
            </w:r>
          </w:p>
        </w:tc>
        <w:tc>
          <w:tcPr>
            <w:tcW w:w="4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4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420" w:type="dxa"/>
            <w:vAlign w:val="bottom"/>
            <w:gridSpan w:val="2"/>
          </w:tcPr>
          <w:p>
            <w:pPr>
              <w:ind w:left="420"/>
              <w:spacing w:after="0"/>
              <w:rPr>
                <w:sz w:val="20"/>
                <w:szCs w:val="20"/>
                <w:color w:val="auto"/>
              </w:rPr>
            </w:pPr>
            <w:r>
              <w:rPr>
                <w:rFonts w:ascii="Arial" w:cs="Arial" w:eastAsia="Arial" w:hAnsi="Arial"/>
                <w:sz w:val="18"/>
                <w:szCs w:val="18"/>
                <w:color w:val="auto"/>
              </w:rPr>
              <w:t>Total revenues</w:t>
            </w: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gridSpan w:val="2"/>
          </w:tcPr>
          <w:p>
            <w:pPr>
              <w:jc w:val="right"/>
              <w:ind w:right="420"/>
              <w:spacing w:after="0"/>
              <w:rPr>
                <w:sz w:val="20"/>
                <w:szCs w:val="20"/>
                <w:color w:val="auto"/>
              </w:rPr>
            </w:pPr>
            <w:r>
              <w:rPr>
                <w:rFonts w:ascii="Arial" w:cs="Arial" w:eastAsia="Arial" w:hAnsi="Arial"/>
                <w:sz w:val="18"/>
                <w:szCs w:val="18"/>
                <w:color w:val="auto"/>
                <w:w w:val="84"/>
              </w:rPr>
              <w:t>3,236</w:t>
            </w: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2,594</w:t>
            </w:r>
          </w:p>
        </w:tc>
        <w:tc>
          <w:tcPr>
            <w:tcW w:w="4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gridSpan w:val="2"/>
          </w:tcPr>
          <w:p>
            <w:pPr>
              <w:jc w:val="right"/>
              <w:ind w:right="400"/>
              <w:spacing w:after="0"/>
              <w:rPr>
                <w:sz w:val="20"/>
                <w:szCs w:val="20"/>
                <w:color w:val="auto"/>
              </w:rPr>
            </w:pPr>
            <w:r>
              <w:rPr>
                <w:rFonts w:ascii="Arial" w:cs="Arial" w:eastAsia="Arial" w:hAnsi="Arial"/>
                <w:sz w:val="18"/>
                <w:szCs w:val="18"/>
                <w:color w:val="auto"/>
              </w:rPr>
              <w:t>642</w:t>
            </w: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7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Benefits and other changes in policy reserves</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420"/>
              <w:spacing w:after="0"/>
              <w:rPr>
                <w:sz w:val="20"/>
                <w:szCs w:val="20"/>
                <w:color w:val="auto"/>
              </w:rPr>
            </w:pPr>
            <w:r>
              <w:rPr>
                <w:rFonts w:ascii="Arial" w:cs="Arial" w:eastAsia="Arial" w:hAnsi="Arial"/>
                <w:sz w:val="18"/>
                <w:szCs w:val="18"/>
                <w:color w:val="auto"/>
                <w:w w:val="84"/>
              </w:rPr>
              <w:t>1,906</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1,808</w:t>
            </w: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400"/>
              <w:spacing w:after="0"/>
              <w:rPr>
                <w:sz w:val="20"/>
                <w:szCs w:val="20"/>
                <w:color w:val="auto"/>
              </w:rPr>
            </w:pPr>
            <w:r>
              <w:rPr>
                <w:rFonts w:ascii="Arial" w:cs="Arial" w:eastAsia="Arial" w:hAnsi="Arial"/>
                <w:sz w:val="18"/>
                <w:szCs w:val="18"/>
                <w:color w:val="auto"/>
              </w:rPr>
              <w:t>98</w:t>
            </w: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credited</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350</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(20)</w:t>
            </w:r>
          </w:p>
        </w:tc>
        <w:tc>
          <w:tcPr>
            <w:tcW w:w="5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Acquisition and operating expenses, net of deferrals</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420"/>
              <w:spacing w:after="0"/>
              <w:rPr>
                <w:sz w:val="20"/>
                <w:szCs w:val="20"/>
                <w:color w:val="auto"/>
              </w:rPr>
            </w:pPr>
            <w:r>
              <w:rPr>
                <w:rFonts w:ascii="Arial" w:cs="Arial" w:eastAsia="Arial" w:hAnsi="Arial"/>
                <w:sz w:val="18"/>
                <w:szCs w:val="18"/>
                <w:color w:val="auto"/>
              </w:rPr>
              <w:t>482</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414</w:t>
            </w: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400"/>
              <w:spacing w:after="0"/>
              <w:rPr>
                <w:sz w:val="20"/>
                <w:szCs w:val="20"/>
                <w:color w:val="auto"/>
              </w:rPr>
            </w:pPr>
            <w:r>
              <w:rPr>
                <w:rFonts w:ascii="Arial" w:cs="Arial" w:eastAsia="Arial" w:hAnsi="Arial"/>
                <w:sz w:val="18"/>
                <w:szCs w:val="18"/>
                <w:color w:val="auto"/>
              </w:rPr>
              <w:t>68</w:t>
            </w: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209</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(92)</w:t>
            </w:r>
          </w:p>
        </w:tc>
        <w:tc>
          <w:tcPr>
            <w:tcW w:w="5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7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w:t>
            </w:r>
          </w:p>
        </w:tc>
        <w:tc>
          <w:tcPr>
            <w:tcW w:w="4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4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400" w:type="dxa"/>
            <w:vAlign w:val="bottom"/>
          </w:tcPr>
          <w:p>
            <w:pPr>
              <w:spacing w:after="0"/>
              <w:rPr>
                <w:sz w:val="19"/>
                <w:szCs w:val="19"/>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benefits and expenses</w:t>
            </w:r>
          </w:p>
        </w:tc>
        <w:tc>
          <w:tcPr>
            <w:tcW w:w="7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2,998</w:t>
            </w:r>
          </w:p>
        </w:tc>
        <w:tc>
          <w:tcPr>
            <w:tcW w:w="4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2,943</w:t>
            </w:r>
          </w:p>
        </w:tc>
        <w:tc>
          <w:tcPr>
            <w:tcW w:w="4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4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21"/>
        </w:trPr>
        <w:tc>
          <w:tcPr>
            <w:tcW w:w="7440" w:type="dxa"/>
            <w:vAlign w:val="bottom"/>
            <w:gridSpan w:val="3"/>
          </w:tcPr>
          <w:p>
            <w:pPr>
              <w:spacing w:after="0"/>
              <w:rPr>
                <w:sz w:val="20"/>
                <w:szCs w:val="20"/>
                <w:color w:val="auto"/>
              </w:rPr>
            </w:pPr>
            <w:r>
              <w:rPr>
                <w:rFonts w:ascii="Arial" w:cs="Arial" w:eastAsia="Arial" w:hAnsi="Arial"/>
                <w:sz w:val="18"/>
                <w:szCs w:val="18"/>
                <w:color w:val="auto"/>
              </w:rPr>
              <w:t>Income (loss) before income taxes</w:t>
            </w: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gridSpan w:val="2"/>
          </w:tcPr>
          <w:p>
            <w:pPr>
              <w:jc w:val="right"/>
              <w:ind w:right="420"/>
              <w:spacing w:after="0"/>
              <w:rPr>
                <w:sz w:val="20"/>
                <w:szCs w:val="20"/>
                <w:color w:val="auto"/>
              </w:rPr>
            </w:pPr>
            <w:r>
              <w:rPr>
                <w:rFonts w:ascii="Arial" w:cs="Arial" w:eastAsia="Arial" w:hAnsi="Arial"/>
                <w:sz w:val="18"/>
                <w:szCs w:val="18"/>
                <w:color w:val="auto"/>
              </w:rPr>
              <w:t>238</w:t>
            </w:r>
          </w:p>
        </w:tc>
        <w:tc>
          <w:tcPr>
            <w:tcW w:w="100" w:type="dxa"/>
            <w:vAlign w:val="bottom"/>
          </w:tcPr>
          <w:p>
            <w:pPr>
              <w:spacing w:after="0"/>
              <w:rPr>
                <w:sz w:val="19"/>
                <w:szCs w:val="19"/>
                <w:color w:val="auto"/>
              </w:rPr>
            </w:pPr>
          </w:p>
        </w:tc>
        <w:tc>
          <w:tcPr>
            <w:tcW w:w="820" w:type="dxa"/>
            <w:vAlign w:val="bottom"/>
            <w:gridSpan w:val="2"/>
          </w:tcPr>
          <w:p>
            <w:pPr>
              <w:jc w:val="right"/>
              <w:ind w:right="360"/>
              <w:spacing w:after="0"/>
              <w:rPr>
                <w:sz w:val="20"/>
                <w:szCs w:val="20"/>
                <w:color w:val="auto"/>
              </w:rPr>
            </w:pPr>
            <w:r>
              <w:rPr>
                <w:rFonts w:ascii="Arial" w:cs="Arial" w:eastAsia="Arial" w:hAnsi="Arial"/>
                <w:sz w:val="18"/>
                <w:szCs w:val="18"/>
                <w:color w:val="auto"/>
              </w:rPr>
              <w:t>(349)</w:t>
            </w:r>
          </w:p>
        </w:tc>
        <w:tc>
          <w:tcPr>
            <w:tcW w:w="80" w:type="dxa"/>
            <w:vAlign w:val="bottom"/>
          </w:tcPr>
          <w:p>
            <w:pPr>
              <w:spacing w:after="0"/>
              <w:rPr>
                <w:sz w:val="19"/>
                <w:szCs w:val="19"/>
                <w:color w:val="auto"/>
              </w:rPr>
            </w:pPr>
          </w:p>
        </w:tc>
        <w:tc>
          <w:tcPr>
            <w:tcW w:w="740" w:type="dxa"/>
            <w:vAlign w:val="bottom"/>
            <w:gridSpan w:val="2"/>
          </w:tcPr>
          <w:p>
            <w:pPr>
              <w:jc w:val="right"/>
              <w:ind w:right="400"/>
              <w:spacing w:after="0"/>
              <w:rPr>
                <w:sz w:val="20"/>
                <w:szCs w:val="20"/>
                <w:color w:val="auto"/>
              </w:rPr>
            </w:pPr>
            <w:r>
              <w:rPr>
                <w:rFonts w:ascii="Arial" w:cs="Arial" w:eastAsia="Arial" w:hAnsi="Arial"/>
                <w:sz w:val="18"/>
                <w:szCs w:val="18"/>
                <w:color w:val="auto"/>
              </w:rPr>
              <w:t>587</w:t>
            </w: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w w:val="86"/>
              </w:rPr>
              <w:t>168%</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Provision (benefit) for income taxes</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(132)</w:t>
            </w: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205</w:t>
            </w: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6"/>
              </w:rPr>
              <w:t>155%</w:t>
            </w:r>
          </w:p>
        </w:tc>
        <w:tc>
          <w:tcPr>
            <w:tcW w:w="0" w:type="dxa"/>
            <w:vAlign w:val="bottom"/>
          </w:tcPr>
          <w:p>
            <w:pPr>
              <w:spacing w:after="0"/>
              <w:rPr>
                <w:sz w:val="1"/>
                <w:szCs w:val="1"/>
                <w:color w:val="auto"/>
              </w:rPr>
            </w:pPr>
          </w:p>
        </w:tc>
      </w:tr>
      <w:tr>
        <w:trPr>
          <w:trHeight w:val="20"/>
        </w:trPr>
        <w:tc>
          <w:tcPr>
            <w:tcW w:w="7440" w:type="dxa"/>
            <w:vAlign w:val="bottom"/>
            <w:gridSpan w:val="3"/>
            <w:vMerge w:val="restart"/>
          </w:tcPr>
          <w:p>
            <w:pPr>
              <w:spacing w:after="0"/>
              <w:rPr>
                <w:sz w:val="20"/>
                <w:szCs w:val="20"/>
                <w:color w:val="auto"/>
              </w:rPr>
            </w:pPr>
            <w:r>
              <w:rPr>
                <w:rFonts w:ascii="Arial" w:cs="Arial" w:eastAsia="Arial" w:hAnsi="Arial"/>
                <w:sz w:val="18"/>
                <w:szCs w:val="18"/>
                <w:color w:val="auto"/>
              </w:rPr>
              <w:t>Net income (loss) available to Genworth Financial, Inc.’s common stockholders</w:t>
            </w:r>
          </w:p>
        </w:tc>
        <w:tc>
          <w:tcPr>
            <w:tcW w:w="7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4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w w:val="86"/>
              </w:rPr>
              <w:t>176%</w:t>
            </w:r>
          </w:p>
        </w:tc>
        <w:tc>
          <w:tcPr>
            <w:tcW w:w="0" w:type="dxa"/>
            <w:vAlign w:val="bottom"/>
          </w:tcPr>
          <w:p>
            <w:pPr>
              <w:spacing w:after="0" w:line="20" w:lineRule="exact"/>
              <w:rPr>
                <w:sz w:val="1"/>
                <w:szCs w:val="1"/>
                <w:color w:val="auto"/>
              </w:rPr>
            </w:pPr>
          </w:p>
        </w:tc>
      </w:tr>
      <w:tr>
        <w:trPr>
          <w:trHeight w:val="221"/>
        </w:trPr>
        <w:tc>
          <w:tcPr>
            <w:tcW w:w="7440" w:type="dxa"/>
            <w:vAlign w:val="bottom"/>
            <w:gridSpan w:val="3"/>
            <w:vMerge w:val="continue"/>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165</w:t>
            </w: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gridSpan w:val="2"/>
          </w:tcPr>
          <w:p>
            <w:pPr>
              <w:jc w:val="right"/>
              <w:ind w:right="360"/>
              <w:spacing w:after="0"/>
              <w:rPr>
                <w:sz w:val="20"/>
                <w:szCs w:val="20"/>
                <w:color w:val="auto"/>
              </w:rPr>
            </w:pPr>
            <w:r>
              <w:rPr>
                <w:rFonts w:ascii="Arial" w:cs="Arial" w:eastAsia="Arial" w:hAnsi="Arial"/>
                <w:sz w:val="18"/>
                <w:szCs w:val="18"/>
                <w:color w:val="auto"/>
              </w:rPr>
              <w:t>(217)</w:t>
            </w:r>
          </w:p>
        </w:tc>
        <w:tc>
          <w:tcPr>
            <w:tcW w:w="80" w:type="dxa"/>
            <w:vAlign w:val="bottom"/>
          </w:tcPr>
          <w:p>
            <w:pPr>
              <w:spacing w:after="0"/>
              <w:rPr>
                <w:sz w:val="19"/>
                <w:szCs w:val="19"/>
                <w:color w:val="auto"/>
              </w:rPr>
            </w:pPr>
          </w:p>
        </w:tc>
        <w:tc>
          <w:tcPr>
            <w:tcW w:w="740" w:type="dxa"/>
            <w:vAlign w:val="bottom"/>
            <w:gridSpan w:val="2"/>
          </w:tcPr>
          <w:p>
            <w:pPr>
              <w:jc w:val="right"/>
              <w:ind w:right="400"/>
              <w:spacing w:after="0"/>
              <w:rPr>
                <w:sz w:val="20"/>
                <w:szCs w:val="20"/>
                <w:color w:val="auto"/>
              </w:rPr>
            </w:pPr>
            <w:r>
              <w:rPr>
                <w:rFonts w:ascii="Arial" w:cs="Arial" w:eastAsia="Arial" w:hAnsi="Arial"/>
                <w:sz w:val="18"/>
                <w:szCs w:val="18"/>
                <w:color w:val="auto"/>
              </w:rPr>
              <w:t>382</w:t>
            </w:r>
          </w:p>
        </w:tc>
        <w:tc>
          <w:tcPr>
            <w:tcW w:w="54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9"/>
              </w:rPr>
              <w:t>Adjustment to net income (loss) available to Genworth Financial, Inc.’s common stockholders:</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71</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378</w:t>
            </w: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w w:val="90"/>
              </w:rPr>
              <w:t>(307)</w:t>
            </w: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6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operating income available to Genworth Financial, Inc.’s common stockholders</w:t>
            </w: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236</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75</w:t>
            </w: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0"/>
        </w:trPr>
        <w:tc>
          <w:tcPr>
            <w:tcW w:w="7440" w:type="dxa"/>
            <w:vAlign w:val="bottom"/>
            <w:gridSpan w:val="3"/>
            <w:vMerge w:val="restart"/>
          </w:tcPr>
          <w:p>
            <w:pPr>
              <w:jc w:val="right"/>
              <w:ind w:right="1640"/>
              <w:spacing w:after="0"/>
              <w:rPr>
                <w:sz w:val="20"/>
                <w:szCs w:val="20"/>
                <w:color w:val="auto"/>
              </w:rPr>
            </w:pPr>
            <w:r>
              <w:rPr>
                <w:rFonts w:ascii="Arial" w:cs="Arial" w:eastAsia="Arial" w:hAnsi="Arial"/>
                <w:sz w:val="18"/>
                <w:szCs w:val="18"/>
                <w:color w:val="auto"/>
              </w:rPr>
              <w:t>85</w:t>
            </w:r>
          </w:p>
        </w:tc>
        <w:tc>
          <w:tcPr>
            <w:tcW w:w="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7440" w:type="dxa"/>
            <w:vAlign w:val="bottom"/>
            <w:gridSpan w:val="3"/>
            <w:vMerge w:val="continue"/>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sets forth net operating income for the businesses included in our Retirement and Protection segment for the periods indicated:</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8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jc w:val="center"/>
              <w:ind w:right="32"/>
              <w:spacing w:after="0"/>
              <w:rPr>
                <w:sz w:val="20"/>
                <w:szCs w:val="20"/>
                <w:color w:val="auto"/>
              </w:rPr>
            </w:pPr>
            <w:r>
              <w:rPr>
                <w:rFonts w:ascii="Arial" w:cs="Arial" w:eastAsia="Arial" w:hAnsi="Arial"/>
                <w:sz w:val="14"/>
                <w:szCs w:val="14"/>
                <w:b w:val="1"/>
                <w:bCs w:val="1"/>
                <w:color w:val="auto"/>
                <w:w w:val="87"/>
              </w:rPr>
              <w:t>Increase</w:t>
            </w: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4"/>
          </w:tcPr>
          <w:p>
            <w:pPr>
              <w:jc w:val="center"/>
              <w:ind w:right="380"/>
              <w:spacing w:after="0" w:line="149" w:lineRule="exact"/>
              <w:rPr>
                <w:sz w:val="20"/>
                <w:szCs w:val="20"/>
                <w:color w:val="auto"/>
              </w:rPr>
            </w:pPr>
            <w:r>
              <w:rPr>
                <w:rFonts w:ascii="Arial" w:cs="Arial" w:eastAsia="Arial" w:hAnsi="Arial"/>
                <w:sz w:val="14"/>
                <w:szCs w:val="14"/>
                <w:b w:val="1"/>
                <w:bCs w:val="1"/>
                <w:color w:val="auto"/>
                <w:w w:val="82"/>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0" w:type="dxa"/>
            <w:vAlign w:val="bottom"/>
            <w:gridSpan w:val="5"/>
          </w:tcPr>
          <w:p>
            <w:pPr>
              <w:jc w:val="right"/>
              <w:ind w:right="600"/>
              <w:spacing w:after="0" w:line="149" w:lineRule="exact"/>
              <w:rPr>
                <w:sz w:val="20"/>
                <w:szCs w:val="20"/>
                <w:color w:val="auto"/>
              </w:rPr>
            </w:pPr>
            <w:r>
              <w:rPr>
                <w:rFonts w:ascii="Arial" w:cs="Arial" w:eastAsia="Arial" w:hAnsi="Arial"/>
                <w:sz w:val="14"/>
                <w:szCs w:val="14"/>
                <w:b w:val="1"/>
                <w:bCs w:val="1"/>
                <w:color w:val="auto"/>
                <w:w w:val="97"/>
              </w:rPr>
              <w:t>Six months ended</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left="80"/>
              <w:spacing w:after="0" w:line="149" w:lineRule="exact"/>
              <w:rPr>
                <w:sz w:val="20"/>
                <w:szCs w:val="20"/>
                <w:color w:val="auto"/>
              </w:rPr>
            </w:pPr>
            <w:r>
              <w:rPr>
                <w:rFonts w:ascii="Arial" w:cs="Arial" w:eastAsia="Arial" w:hAnsi="Arial"/>
                <w:sz w:val="14"/>
                <w:szCs w:val="14"/>
                <w:b w:val="1"/>
                <w:bCs w:val="1"/>
                <w:color w:val="auto"/>
                <w:w w:val="82"/>
              </w:rPr>
              <w:t>percentage</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716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4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w w:val="82"/>
              </w:rPr>
              <w:t>June 30,</w:t>
            </w:r>
          </w:p>
        </w:tc>
        <w:tc>
          <w:tcPr>
            <w:tcW w:w="44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5"/>
              </w:rPr>
              <w:t>change</w:t>
            </w:r>
          </w:p>
        </w:tc>
        <w:tc>
          <w:tcPr>
            <w:tcW w:w="28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160" w:type="dxa"/>
            <w:vAlign w:val="bottom"/>
            <w:gridSpan w:val="5"/>
            <w:vMerge w:val="continue"/>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8"/>
              <w:spacing w:after="0" w:line="142" w:lineRule="exact"/>
              <w:rPr>
                <w:sz w:val="20"/>
                <w:szCs w:val="20"/>
                <w:color w:val="auto"/>
              </w:rPr>
            </w:pPr>
            <w:r>
              <w:rPr>
                <w:rFonts w:ascii="Arial" w:cs="Arial" w:eastAsia="Arial" w:hAnsi="Arial"/>
                <w:sz w:val="14"/>
                <w:szCs w:val="14"/>
                <w:b w:val="1"/>
                <w:bCs w:val="1"/>
                <w:color w:val="auto"/>
                <w:w w:val="89"/>
              </w:rPr>
              <w:t>2010</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6"/>
              <w:spacing w:after="0" w:line="142" w:lineRule="exact"/>
              <w:rPr>
                <w:sz w:val="20"/>
                <w:szCs w:val="20"/>
                <w:color w:val="auto"/>
              </w:rPr>
            </w:pPr>
            <w:r>
              <w:rPr>
                <w:rFonts w:ascii="Arial" w:cs="Arial" w:eastAsia="Arial" w:hAnsi="Arial"/>
                <w:sz w:val="14"/>
                <w:szCs w:val="14"/>
                <w:b w:val="1"/>
                <w:bCs w:val="1"/>
                <w:color w:val="auto"/>
                <w:w w:val="89"/>
              </w:rPr>
              <w:t>2009</w:t>
            </w:r>
          </w:p>
        </w:tc>
        <w:tc>
          <w:tcPr>
            <w:tcW w:w="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left="60"/>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1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Net operating income available to Genworth Financial, Inc.’s common stockholders:</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4"/>
          </w:tcPr>
          <w:p>
            <w:pPr>
              <w:spacing w:after="0"/>
              <w:rPr>
                <w:sz w:val="20"/>
                <w:szCs w:val="20"/>
                <w:color w:val="auto"/>
              </w:rPr>
            </w:pPr>
            <w:r>
              <w:rPr>
                <w:rFonts w:ascii="Arial" w:cs="Arial" w:eastAsia="Arial" w:hAnsi="Arial"/>
                <w:sz w:val="18"/>
                <w:szCs w:val="18"/>
                <w:color w:val="auto"/>
              </w:rPr>
              <w:t>Life insurance</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69</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96</w:t>
            </w:r>
          </w:p>
        </w:tc>
        <w:tc>
          <w:tcPr>
            <w:tcW w:w="320" w:type="dxa"/>
            <w:vAlign w:val="bottom"/>
          </w:tcPr>
          <w:p>
            <w:pPr>
              <w:spacing w:after="0"/>
              <w:rPr>
                <w:sz w:val="18"/>
                <w:szCs w:val="18"/>
                <w:color w:val="auto"/>
              </w:rPr>
            </w:pPr>
          </w:p>
        </w:tc>
        <w:tc>
          <w:tcPr>
            <w:tcW w:w="4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552"/>
              <w:spacing w:after="0"/>
              <w:rPr>
                <w:sz w:val="20"/>
                <w:szCs w:val="20"/>
                <w:color w:val="auto"/>
              </w:rPr>
            </w:pPr>
            <w:r>
              <w:rPr>
                <w:rFonts w:ascii="Arial" w:cs="Arial" w:eastAsia="Arial" w:hAnsi="Arial"/>
                <w:sz w:val="18"/>
                <w:szCs w:val="18"/>
                <w:color w:val="auto"/>
                <w:w w:val="93"/>
              </w:rPr>
              <w:t>(27)</w:t>
            </w: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Long-term care insurance</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w:t>
            </w:r>
          </w:p>
        </w:tc>
        <w:tc>
          <w:tcPr>
            <w:tcW w:w="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6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4"/>
          </w:tcPr>
          <w:p>
            <w:pPr>
              <w:spacing w:after="0"/>
              <w:rPr>
                <w:sz w:val="20"/>
                <w:szCs w:val="20"/>
                <w:color w:val="auto"/>
              </w:rPr>
            </w:pPr>
            <w:r>
              <w:rPr>
                <w:rFonts w:ascii="Arial" w:cs="Arial" w:eastAsia="Arial" w:hAnsi="Arial"/>
                <w:sz w:val="18"/>
                <w:szCs w:val="18"/>
                <w:color w:val="auto"/>
              </w:rPr>
              <w:t>Wealth management</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21</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13</w:t>
            </w: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8"/>
                <w:szCs w:val="18"/>
                <w:color w:val="auto"/>
              </w:rPr>
              <w:t>8</w:t>
            </w:r>
          </w:p>
        </w:tc>
        <w:tc>
          <w:tcPr>
            <w:tcW w:w="680" w:type="dxa"/>
            <w:vAlign w:val="bottom"/>
          </w:tcPr>
          <w:p>
            <w:pPr>
              <w:spacing w:after="0"/>
              <w:rPr>
                <w:sz w:val="18"/>
                <w:szCs w:val="18"/>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Retirement income</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6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6"/>
              </w:rPr>
              <w:t>NM</w:t>
            </w:r>
            <w:r>
              <w:rPr>
                <w:rFonts w:ascii="Arial" w:cs="Arial" w:eastAsia="Arial" w:hAnsi="Arial"/>
                <w:sz w:val="11"/>
                <w:szCs w:val="11"/>
                <w:color w:val="auto"/>
                <w:w w:val="96"/>
              </w:rPr>
              <w:t>(1)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880" w:type="dxa"/>
            <w:vAlign w:val="bottom"/>
            <w:gridSpan w:val="3"/>
            <w:vMerge w:val="restart"/>
          </w:tcPr>
          <w:p>
            <w:pPr>
              <w:ind w:left="160"/>
              <w:spacing w:after="0"/>
              <w:rPr>
                <w:sz w:val="20"/>
                <w:szCs w:val="20"/>
                <w:color w:val="auto"/>
              </w:rPr>
            </w:pPr>
            <w:r>
              <w:rPr>
                <w:rFonts w:ascii="Arial" w:cs="Arial" w:eastAsia="Arial" w:hAnsi="Arial"/>
                <w:sz w:val="18"/>
                <w:szCs w:val="18"/>
                <w:color w:val="auto"/>
                <w:w w:val="95"/>
              </w:rPr>
              <w:t>Total net operating income available to Genworth Financial, Inc.’s common stockholders</w:t>
            </w: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54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47%</w:t>
            </w: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80" w:type="dxa"/>
            <w:vAlign w:val="bottom"/>
            <w:gridSpan w:val="3"/>
            <w:vMerge w:val="continue"/>
          </w:tcPr>
          <w:p>
            <w:pPr>
              <w:spacing w:after="0"/>
              <w:rPr>
                <w:sz w:val="19"/>
                <w:szCs w:val="19"/>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236</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161</w:t>
            </w:r>
          </w:p>
        </w:tc>
        <w:tc>
          <w:tcPr>
            <w:tcW w:w="320" w:type="dxa"/>
            <w:vAlign w:val="bottom"/>
          </w:tcPr>
          <w:p>
            <w:pPr>
              <w:spacing w:after="0"/>
              <w:rPr>
                <w:sz w:val="19"/>
                <w:szCs w:val="19"/>
                <w:color w:val="auto"/>
              </w:rPr>
            </w:pPr>
          </w:p>
        </w:tc>
        <w:tc>
          <w:tcPr>
            <w:tcW w:w="4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260" w:type="dxa"/>
            <w:vAlign w:val="bottom"/>
          </w:tcPr>
          <w:p>
            <w:pPr>
              <w:jc w:val="right"/>
              <w:spacing w:after="0"/>
              <w:rPr>
                <w:sz w:val="20"/>
                <w:szCs w:val="20"/>
                <w:color w:val="auto"/>
              </w:rPr>
            </w:pPr>
            <w:r>
              <w:rPr>
                <w:rFonts w:ascii="Arial" w:cs="Arial" w:eastAsia="Arial" w:hAnsi="Arial"/>
                <w:sz w:val="18"/>
                <w:szCs w:val="18"/>
                <w:color w:val="auto"/>
              </w:rPr>
              <w:t>75</w:t>
            </w:r>
          </w:p>
        </w:tc>
        <w:tc>
          <w:tcPr>
            <w:tcW w:w="680" w:type="dxa"/>
            <w:vAlign w:val="bottom"/>
          </w:tcPr>
          <w:p>
            <w:pPr>
              <w:spacing w:after="0"/>
              <w:rPr>
                <w:sz w:val="19"/>
                <w:szCs w:val="19"/>
                <w:color w:val="auto"/>
              </w:rPr>
            </w:pPr>
          </w:p>
        </w:tc>
        <w:tc>
          <w:tcPr>
            <w:tcW w:w="54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vMerge w:val="restart"/>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880" w:type="dxa"/>
            <w:vAlign w:val="bottom"/>
            <w:tcBorders>
              <w:bottom w:val="single" w:sz="8" w:color="auto"/>
            </w:tcBorders>
          </w:tcPr>
          <w:p>
            <w:pPr>
              <w:spacing w:after="0"/>
              <w:rPr>
                <w:sz w:val="8"/>
                <w:szCs w:val="8"/>
                <w:color w:val="auto"/>
              </w:rPr>
            </w:pPr>
          </w:p>
        </w:tc>
        <w:tc>
          <w:tcPr>
            <w:tcW w:w="180" w:type="dxa"/>
            <w:vAlign w:val="bottom"/>
          </w:tcPr>
          <w:p>
            <w:pPr>
              <w:spacing w:after="0"/>
              <w:rPr>
                <w:sz w:val="8"/>
                <w:szCs w:val="8"/>
                <w:color w:val="auto"/>
              </w:rPr>
            </w:pPr>
          </w:p>
        </w:tc>
        <w:tc>
          <w:tcPr>
            <w:tcW w:w="582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320" w:type="dxa"/>
            <w:vAlign w:val="bottom"/>
          </w:tcPr>
          <w:p>
            <w:pPr>
              <w:spacing w:after="0"/>
              <w:rPr>
                <w:sz w:val="8"/>
                <w:szCs w:val="8"/>
                <w:color w:val="auto"/>
              </w:rPr>
            </w:pPr>
          </w:p>
        </w:tc>
        <w:tc>
          <w:tcPr>
            <w:tcW w:w="2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6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20" w:type="dxa"/>
            <w:vAlign w:val="bottom"/>
            <w:vMerge w:val="continue"/>
          </w:tcPr>
          <w:p>
            <w:pPr>
              <w:spacing w:after="0"/>
              <w:rPr>
                <w:sz w:val="11"/>
                <w:szCs w:val="11"/>
                <w:color w:val="auto"/>
              </w:rPr>
            </w:pPr>
          </w:p>
        </w:tc>
        <w:tc>
          <w:tcPr>
            <w:tcW w:w="260" w:type="dxa"/>
            <w:vAlign w:val="bottom"/>
          </w:tcPr>
          <w:p>
            <w:pPr>
              <w:spacing w:after="0"/>
              <w:rPr>
                <w:sz w:val="20"/>
                <w:szCs w:val="20"/>
                <w:color w:val="auto"/>
              </w:rPr>
            </w:pPr>
            <w:r>
              <w:rPr>
                <w:rFonts w:ascii="Arial" w:cs="Arial" w:eastAsia="Arial" w:hAnsi="Arial"/>
                <w:sz w:val="11"/>
                <w:szCs w:val="11"/>
                <w:color w:val="auto"/>
              </w:rPr>
              <w:t>(1)</w:t>
            </w:r>
          </w:p>
        </w:tc>
        <w:tc>
          <w:tcPr>
            <w:tcW w:w="6880" w:type="dxa"/>
            <w:vAlign w:val="bottom"/>
            <w:gridSpan w:val="3"/>
            <w:vMerge w:val="restart"/>
          </w:tcPr>
          <w:p>
            <w:pPr>
              <w:ind w:left="180"/>
              <w:spacing w:after="0"/>
              <w:rPr>
                <w:sz w:val="20"/>
                <w:szCs w:val="20"/>
                <w:color w:val="auto"/>
              </w:rPr>
            </w:pPr>
            <w:r>
              <w:rPr>
                <w:rFonts w:ascii="Arial" w:cs="Arial" w:eastAsia="Arial" w:hAnsi="Arial"/>
                <w:sz w:val="18"/>
                <w:szCs w:val="18"/>
                <w:color w:val="auto"/>
              </w:rPr>
              <w:t>We define “NM” as not meaningful for increases or decreases greater than 200%.</w:t>
            </w:r>
          </w:p>
        </w:tc>
        <w:tc>
          <w:tcPr>
            <w:tcW w:w="4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260" w:type="dxa"/>
            <w:vAlign w:val="bottom"/>
          </w:tcPr>
          <w:p>
            <w:pPr>
              <w:spacing w:after="0"/>
              <w:rPr>
                <w:sz w:val="8"/>
                <w:szCs w:val="8"/>
                <w:color w:val="auto"/>
              </w:rPr>
            </w:pPr>
          </w:p>
        </w:tc>
        <w:tc>
          <w:tcPr>
            <w:tcW w:w="6880" w:type="dxa"/>
            <w:vAlign w:val="bottom"/>
            <w:gridSpan w:val="3"/>
            <w:vMerge w:val="continue"/>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320" w:type="dxa"/>
            <w:vAlign w:val="bottom"/>
          </w:tcPr>
          <w:p>
            <w:pPr>
              <w:spacing w:after="0"/>
              <w:rPr>
                <w:sz w:val="8"/>
                <w:szCs w:val="8"/>
                <w:color w:val="auto"/>
              </w:rPr>
            </w:pPr>
          </w:p>
        </w:tc>
        <w:tc>
          <w:tcPr>
            <w:tcW w:w="2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6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operating income available to Genworth Financial, Inc.’s common stockholders</w:t>
      </w:r>
    </w:p>
    <w:p>
      <w:pPr>
        <w:spacing w:after="0" w:line="90" w:lineRule="exact"/>
        <w:rPr>
          <w:sz w:val="20"/>
          <w:szCs w:val="20"/>
          <w:color w:val="auto"/>
        </w:rPr>
      </w:pPr>
    </w:p>
    <w:p>
      <w:pPr>
        <w:ind w:left="900" w:right="20" w:hanging="325"/>
        <w:spacing w:after="0" w:line="259" w:lineRule="auto"/>
        <w:tabs>
          <w:tab w:leader="none" w:pos="9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Our life insurance business decreased $27 million primarily in our term life insurance products attributable to higher mortality compared to the prior year, lower persistency in the post-level rate period and an unfavorable reinsurance adjustment of $5 million, partially offset by higher net investment income and a favorable tax settlement in the current year.</w:t>
      </w:r>
    </w:p>
    <w:p>
      <w:pPr>
        <w:spacing w:after="0" w:line="59" w:lineRule="exact"/>
        <w:rPr>
          <w:rFonts w:ascii="Arial" w:cs="Arial" w:eastAsia="Arial" w:hAnsi="Arial"/>
          <w:sz w:val="18"/>
          <w:szCs w:val="18"/>
          <w:color w:val="auto"/>
        </w:rPr>
      </w:pPr>
    </w:p>
    <w:p>
      <w:pPr>
        <w:ind w:left="900" w:right="180" w:hanging="325"/>
        <w:spacing w:after="0" w:line="332" w:lineRule="auto"/>
        <w:tabs>
          <w:tab w:leader="none" w:pos="900" w:val="left"/>
        </w:tabs>
        <w:numPr>
          <w:ilvl w:val="0"/>
          <w:numId w:val="68"/>
        </w:numPr>
        <w:rPr>
          <w:rFonts w:ascii="Arial" w:cs="Arial" w:eastAsia="Arial" w:hAnsi="Arial"/>
          <w:sz w:val="16"/>
          <w:szCs w:val="16"/>
          <w:color w:val="auto"/>
        </w:rPr>
      </w:pPr>
      <w:r>
        <w:rPr>
          <w:rFonts w:ascii="Arial" w:cs="Arial" w:eastAsia="Arial" w:hAnsi="Arial"/>
          <w:sz w:val="16"/>
          <w:szCs w:val="16"/>
          <w:color w:val="auto"/>
        </w:rPr>
        <w:t>Our long-term care insurance business increased $4 million as the favorable performance of newer issued policies and higher investment income in the current year were partially offset by higher claims in older issued policies and lower terminations in the current year.</w:t>
      </w:r>
    </w:p>
    <w:p>
      <w:pPr>
        <w:spacing w:after="0" w:line="4" w:lineRule="exact"/>
        <w:rPr>
          <w:rFonts w:ascii="Arial" w:cs="Arial" w:eastAsia="Arial" w:hAnsi="Arial"/>
          <w:sz w:val="16"/>
          <w:szCs w:val="16"/>
          <w:color w:val="auto"/>
        </w:rPr>
      </w:pPr>
    </w:p>
    <w:p>
      <w:pPr>
        <w:ind w:left="900" w:right="40" w:hanging="325"/>
        <w:spacing w:after="0" w:line="268" w:lineRule="auto"/>
        <w:tabs>
          <w:tab w:leader="none" w:pos="9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Our wealth management business increased $8 million from higher average assets under management from favorable equity market performance and positive net flows and a $2 million favorable tax adjustment in the current year.</w:t>
      </w:r>
    </w:p>
    <w:p>
      <w:pPr>
        <w:spacing w:after="0" w:line="50" w:lineRule="exact"/>
        <w:rPr>
          <w:rFonts w:ascii="Arial" w:cs="Arial" w:eastAsia="Arial" w:hAnsi="Arial"/>
          <w:sz w:val="18"/>
          <w:szCs w:val="18"/>
          <w:color w:val="auto"/>
        </w:rPr>
      </w:pPr>
    </w:p>
    <w:p>
      <w:pPr>
        <w:ind w:left="900" w:right="20" w:hanging="325"/>
        <w:spacing w:after="0" w:line="259" w:lineRule="auto"/>
        <w:tabs>
          <w:tab w:leader="none" w:pos="9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Our retirement income business increased $90 million. Our spread-based products increased $61 million primarily from an increase in net investment income. Our fee-based products increased $29 million mainly attributable to lower amortization of deferred acquisition costs from increases in the equity market performance.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90"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Premiums</w:t>
      </w:r>
    </w:p>
    <w:p>
      <w:pPr>
        <w:spacing w:after="0" w:line="90" w:lineRule="exact"/>
        <w:rPr>
          <w:sz w:val="20"/>
          <w:szCs w:val="20"/>
          <w:color w:val="auto"/>
        </w:rPr>
      </w:pPr>
    </w:p>
    <w:p>
      <w:pPr>
        <w:ind w:left="900" w:right="80" w:hanging="325"/>
        <w:spacing w:after="0" w:line="256" w:lineRule="auto"/>
        <w:tabs>
          <w:tab w:leader="none" w:pos="9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Our life insurance business decreased $23 million mainly attributable to the introduction of our term universal life insurance product that is designed to replace new sales of our existing term life insurance products with fees associated with deposits of the new product reflected in insurance and investment product fees and other. The decrease was also a result of an unfavorable reinsurance adjustment of $8 million and higher lapses on policies entering the post-level rate period in the current year.</w:t>
      </w:r>
    </w:p>
    <w:p>
      <w:pPr>
        <w:spacing w:after="0" w:line="62" w:lineRule="exact"/>
        <w:rPr>
          <w:rFonts w:ascii="Arial" w:cs="Arial" w:eastAsia="Arial" w:hAnsi="Arial"/>
          <w:sz w:val="18"/>
          <w:szCs w:val="18"/>
          <w:color w:val="auto"/>
        </w:rPr>
      </w:pPr>
    </w:p>
    <w:p>
      <w:pPr>
        <w:ind w:left="900" w:right="180" w:hanging="325"/>
        <w:spacing w:after="0" w:line="268" w:lineRule="auto"/>
        <w:tabs>
          <w:tab w:leader="none" w:pos="9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Our long-term care insurance business increased $22 million mainly attributable to growth of the in-force block from new sales, renewal premiums and in-force rate actions.</w:t>
      </w:r>
    </w:p>
    <w:p>
      <w:pPr>
        <w:spacing w:after="0" w:line="50" w:lineRule="exact"/>
        <w:rPr>
          <w:rFonts w:ascii="Arial" w:cs="Arial" w:eastAsia="Arial" w:hAnsi="Arial"/>
          <w:sz w:val="18"/>
          <w:szCs w:val="18"/>
          <w:color w:val="auto"/>
        </w:rPr>
      </w:pPr>
    </w:p>
    <w:p>
      <w:pPr>
        <w:ind w:left="900" w:right="320" w:hanging="325"/>
        <w:spacing w:after="0" w:line="268" w:lineRule="auto"/>
        <w:tabs>
          <w:tab w:leader="none" w:pos="9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Our retirement income business decreased $17 million primarily driven by lower life-contingent sales of our spread-based products in the current market environment.</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20"/>
          </w:cols>
          <w:pgMar w:left="240" w:top="459" w:right="23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Net investment income</w:t>
      </w:r>
    </w:p>
    <w:p>
      <w:pPr>
        <w:spacing w:after="0" w:line="90" w:lineRule="exact"/>
        <w:rPr>
          <w:sz w:val="20"/>
          <w:szCs w:val="20"/>
          <w:color w:val="auto"/>
        </w:rPr>
      </w:pPr>
    </w:p>
    <w:p>
      <w:pPr>
        <w:ind w:left="900" w:right="180" w:hanging="325"/>
        <w:spacing w:after="0" w:line="335" w:lineRule="auto"/>
        <w:tabs>
          <w:tab w:leader="none" w:pos="900" w:val="left"/>
        </w:tabs>
        <w:numPr>
          <w:ilvl w:val="0"/>
          <w:numId w:val="70"/>
        </w:numPr>
        <w:rPr>
          <w:rFonts w:ascii="Arial" w:cs="Arial" w:eastAsia="Arial" w:hAnsi="Arial"/>
          <w:sz w:val="15"/>
          <w:szCs w:val="15"/>
          <w:color w:val="auto"/>
        </w:rPr>
      </w:pPr>
      <w:r>
        <w:rPr>
          <w:rFonts w:ascii="Arial" w:cs="Arial" w:eastAsia="Arial" w:hAnsi="Arial"/>
          <w:sz w:val="15"/>
          <w:szCs w:val="15"/>
          <w:color w:val="auto"/>
        </w:rPr>
        <w:t>Our life insurance business increased $14 million mainly related to $24 million of lower losses in the current year related to limited partnerships accounted for under the equity method. This increase was partially offset by a decline in average invested assets related to our term life insurance products and lower yields on the assets backing our non-recourse funding obligations supporting certain term and universal life insurance reserves.</w:t>
      </w:r>
    </w:p>
    <w:p>
      <w:pPr>
        <w:spacing w:after="0" w:line="7" w:lineRule="exact"/>
        <w:rPr>
          <w:rFonts w:ascii="Arial" w:cs="Arial" w:eastAsia="Arial" w:hAnsi="Arial"/>
          <w:sz w:val="15"/>
          <w:szCs w:val="15"/>
          <w:color w:val="auto"/>
        </w:rPr>
      </w:pPr>
    </w:p>
    <w:p>
      <w:pPr>
        <w:ind w:left="900" w:hanging="325"/>
        <w:spacing w:after="0" w:line="259" w:lineRule="auto"/>
        <w:tabs>
          <w:tab w:leader="none" w:pos="900" w:val="left"/>
        </w:tabs>
        <w:numPr>
          <w:ilvl w:val="0"/>
          <w:numId w:val="70"/>
        </w:numPr>
        <w:rPr>
          <w:rFonts w:ascii="Arial" w:cs="Arial" w:eastAsia="Arial" w:hAnsi="Arial"/>
          <w:sz w:val="18"/>
          <w:szCs w:val="18"/>
          <w:color w:val="auto"/>
        </w:rPr>
      </w:pPr>
      <w:r>
        <w:rPr>
          <w:rFonts w:ascii="Arial" w:cs="Arial" w:eastAsia="Arial" w:hAnsi="Arial"/>
          <w:sz w:val="18"/>
          <w:szCs w:val="18"/>
          <w:color w:val="auto"/>
        </w:rPr>
        <w:t>Our long-term care insurance business increased $64 million largely as a result of an increase in average invested assets due to growth of our in-force block. Additionally, net investment income in the current year included $17 million of lower losses related to limited partnerships accounted for under the equity method.</w:t>
      </w:r>
    </w:p>
    <w:p>
      <w:pPr>
        <w:spacing w:after="0" w:line="59" w:lineRule="exact"/>
        <w:rPr>
          <w:rFonts w:ascii="Arial" w:cs="Arial" w:eastAsia="Arial" w:hAnsi="Arial"/>
          <w:sz w:val="18"/>
          <w:szCs w:val="18"/>
          <w:color w:val="auto"/>
        </w:rPr>
      </w:pPr>
    </w:p>
    <w:p>
      <w:pPr>
        <w:ind w:left="900" w:right="20" w:hanging="325"/>
        <w:spacing w:after="0" w:line="306" w:lineRule="auto"/>
        <w:tabs>
          <w:tab w:leader="none" w:pos="900" w:val="left"/>
        </w:tabs>
        <w:numPr>
          <w:ilvl w:val="0"/>
          <w:numId w:val="70"/>
        </w:numPr>
        <w:rPr>
          <w:rFonts w:ascii="Arial" w:cs="Arial" w:eastAsia="Arial" w:hAnsi="Arial"/>
          <w:sz w:val="16"/>
          <w:szCs w:val="16"/>
          <w:color w:val="auto"/>
        </w:rPr>
      </w:pPr>
      <w:r>
        <w:rPr>
          <w:rFonts w:ascii="Arial" w:cs="Arial" w:eastAsia="Arial" w:hAnsi="Arial"/>
          <w:sz w:val="16"/>
          <w:szCs w:val="16"/>
          <w:color w:val="auto"/>
        </w:rPr>
        <w:t>Our retirement income business increased $63 million primarily attributable to $78 million of lower losses related to limited partnerships accounted for under the equity method. Net investment income for our spread-based products also benefited from the reinvestment of the high cash balances we were holding during 2009. These increases were partially offset by a decline in average invested assets of our fee-based products.</w:t>
      </w:r>
    </w:p>
    <w:p>
      <w:pPr>
        <w:spacing w:after="0" w:line="107" w:lineRule="exact"/>
        <w:rPr>
          <w:sz w:val="20"/>
          <w:szCs w:val="20"/>
          <w:color w:val="auto"/>
        </w:rPr>
      </w:pPr>
    </w:p>
    <w:p>
      <w:pPr>
        <w:ind w:right="520" w:firstLine="571"/>
        <w:spacing w:after="0" w:line="268" w:lineRule="auto"/>
        <w:rPr>
          <w:sz w:val="20"/>
          <w:szCs w:val="20"/>
          <w:color w:val="auto"/>
        </w:rPr>
      </w:pPr>
      <w:r>
        <w:rPr>
          <w:rFonts w:ascii="Arial" w:cs="Arial" w:eastAsia="Arial" w:hAnsi="Arial"/>
          <w:sz w:val="18"/>
          <w:szCs w:val="18"/>
          <w:i w:val="1"/>
          <w:iCs w:val="1"/>
          <w:color w:val="auto"/>
        </w:rPr>
        <w:t xml:space="preserve">Net investment gains (losses). </w:t>
      </w:r>
      <w:r>
        <w:rPr>
          <w:rFonts w:ascii="Arial" w:cs="Arial" w:eastAsia="Arial" w:hAnsi="Arial"/>
          <w:sz w:val="18"/>
          <w:szCs w:val="18"/>
          <w:color w:val="auto"/>
        </w:rPr>
        <w:t>For further discussion of the change in net investment gains (losses), see the comparison for this line item under “—</w:t>
      </w:r>
      <w:r>
        <w:rPr>
          <w:rFonts w:ascii="Arial" w:cs="Arial" w:eastAsia="Arial" w:hAnsi="Arial"/>
          <w:sz w:val="18"/>
          <w:szCs w:val="18"/>
          <w:i w:val="1"/>
          <w:iCs w:val="1"/>
          <w:color w:val="auto"/>
        </w:rPr>
        <w:t xml:space="preserve"> </w:t>
      </w:r>
      <w:r>
        <w:rPr>
          <w:rFonts w:ascii="Arial" w:cs="Arial" w:eastAsia="Arial" w:hAnsi="Arial"/>
          <w:sz w:val="18"/>
          <w:szCs w:val="18"/>
          <w:color w:val="auto"/>
        </w:rPr>
        <w:t>Investments and Derivative Instruments.”</w:t>
      </w:r>
    </w:p>
    <w:p>
      <w:pPr>
        <w:spacing w:after="0" w:line="51" w:lineRule="exact"/>
        <w:rPr>
          <w:sz w:val="20"/>
          <w:szCs w:val="20"/>
          <w:color w:val="auto"/>
        </w:rPr>
      </w:pPr>
    </w:p>
    <w:p>
      <w:pPr>
        <w:ind w:left="900" w:right="200" w:hanging="325"/>
        <w:spacing w:after="0" w:line="268" w:lineRule="auto"/>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Net investment losses in our life insurance business decreased $169 million primarily driven by lower losses from the sale of investment securities related to portfolio repositioning and lower impairments recorded in the current year.</w:t>
      </w:r>
    </w:p>
    <w:p>
      <w:pPr>
        <w:spacing w:after="0" w:line="50" w:lineRule="exact"/>
        <w:rPr>
          <w:rFonts w:ascii="Arial" w:cs="Arial" w:eastAsia="Arial" w:hAnsi="Arial"/>
          <w:sz w:val="18"/>
          <w:szCs w:val="18"/>
          <w:color w:val="auto"/>
        </w:rPr>
      </w:pPr>
    </w:p>
    <w:p>
      <w:pPr>
        <w:ind w:left="900" w:right="180" w:hanging="325"/>
        <w:spacing w:after="0" w:line="259" w:lineRule="auto"/>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Our long-term care insurance business had net investment gains in the current year from the sale of investment securities related to portfolio repositioning as compared to net investment losses in the prior year from derivative losses related to our derivative strategy to mitigate interest rate risk associated with our statutory capital position.</w:t>
      </w:r>
    </w:p>
    <w:p>
      <w:pPr>
        <w:spacing w:after="0" w:line="59" w:lineRule="exact"/>
        <w:rPr>
          <w:rFonts w:ascii="Arial" w:cs="Arial" w:eastAsia="Arial" w:hAnsi="Arial"/>
          <w:sz w:val="18"/>
          <w:szCs w:val="18"/>
          <w:color w:val="auto"/>
        </w:rPr>
      </w:pPr>
    </w:p>
    <w:p>
      <w:pPr>
        <w:ind w:left="900" w:right="200" w:hanging="325"/>
        <w:spacing w:after="0" w:line="332" w:lineRule="auto"/>
        <w:tabs>
          <w:tab w:leader="none" w:pos="900" w:val="left"/>
        </w:tabs>
        <w:numPr>
          <w:ilvl w:val="0"/>
          <w:numId w:val="71"/>
        </w:numPr>
        <w:rPr>
          <w:rFonts w:ascii="Arial" w:cs="Arial" w:eastAsia="Arial" w:hAnsi="Arial"/>
          <w:sz w:val="16"/>
          <w:szCs w:val="16"/>
          <w:color w:val="auto"/>
        </w:rPr>
      </w:pPr>
      <w:r>
        <w:rPr>
          <w:rFonts w:ascii="Arial" w:cs="Arial" w:eastAsia="Arial" w:hAnsi="Arial"/>
          <w:sz w:val="16"/>
          <w:szCs w:val="16"/>
          <w:color w:val="auto"/>
        </w:rPr>
        <w:t>Net investment losses in our retirement income business decreased $16 million primarily related to lower impairments recorded in the current year which were partially offset by higher losses related to embedded derivatives associated with our variable annuity products with GMWBs.</w:t>
      </w:r>
    </w:p>
    <w:p>
      <w:pPr>
        <w:spacing w:after="0" w:line="166"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Insurance and investment product fees and other</w:t>
      </w:r>
    </w:p>
    <w:p>
      <w:pPr>
        <w:spacing w:after="0" w:line="90" w:lineRule="exact"/>
        <w:rPr>
          <w:sz w:val="20"/>
          <w:szCs w:val="20"/>
          <w:color w:val="auto"/>
        </w:rPr>
      </w:pPr>
    </w:p>
    <w:p>
      <w:pPr>
        <w:ind w:left="900" w:right="100" w:hanging="325"/>
        <w:spacing w:after="0" w:line="268" w:lineRule="auto"/>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Our life insurance business increased $24 million primarily from growth of our new term universal life insurance product that is designed to replace sales of our traditional term life insurance products.</w:t>
      </w:r>
    </w:p>
    <w:p>
      <w:pPr>
        <w:spacing w:after="0" w:line="50" w:lineRule="exact"/>
        <w:rPr>
          <w:rFonts w:ascii="Arial" w:cs="Arial" w:eastAsia="Arial" w:hAnsi="Arial"/>
          <w:sz w:val="18"/>
          <w:szCs w:val="18"/>
          <w:color w:val="auto"/>
        </w:rPr>
      </w:pPr>
    </w:p>
    <w:p>
      <w:pPr>
        <w:ind w:left="900" w:right="300" w:hanging="325"/>
        <w:spacing w:after="0" w:line="268" w:lineRule="auto"/>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Our wealth management business increased $40 million primarily attributable to higher average assets under management from favorable market impacts and positive net flows as gross flows exceeded redemptions.</w:t>
      </w:r>
    </w:p>
    <w:p>
      <w:pPr>
        <w:spacing w:after="0" w:line="50" w:lineRule="exact"/>
        <w:rPr>
          <w:rFonts w:ascii="Arial" w:cs="Arial" w:eastAsia="Arial" w:hAnsi="Arial"/>
          <w:sz w:val="18"/>
          <w:szCs w:val="18"/>
          <w:color w:val="auto"/>
        </w:rPr>
      </w:pPr>
    </w:p>
    <w:p>
      <w:pPr>
        <w:ind w:left="900" w:right="780" w:hanging="325"/>
        <w:spacing w:after="0" w:line="268" w:lineRule="auto"/>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Our retirement income business increased $19 million mainly due to higher average account values of our fee-based products from market improvement in the second half of 2009 and the first quarter of 2010.</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400"/>
          </w:cols>
          <w:pgMar w:left="240" w:top="459" w:right="25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Benefits and expenses</w:t>
      </w:r>
    </w:p>
    <w:p>
      <w:pPr>
        <w:spacing w:after="0" w:line="90"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Benefits and other changes in policy reserves</w:t>
      </w:r>
    </w:p>
    <w:p>
      <w:pPr>
        <w:spacing w:after="0" w:line="90" w:lineRule="exact"/>
        <w:rPr>
          <w:sz w:val="20"/>
          <w:szCs w:val="20"/>
          <w:color w:val="auto"/>
        </w:rPr>
      </w:pPr>
    </w:p>
    <w:p>
      <w:pPr>
        <w:ind w:left="900" w:right="200" w:hanging="325"/>
        <w:spacing w:after="0" w:line="268" w:lineRule="auto"/>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Our life insurance business increased $39 million principally related to increased claims associated with higher mortality in our term life insurance products compared to the prior year and aging of our life insurance products.</w:t>
      </w:r>
    </w:p>
    <w:p>
      <w:pPr>
        <w:spacing w:after="0" w:line="50" w:lineRule="exact"/>
        <w:rPr>
          <w:rFonts w:ascii="Arial" w:cs="Arial" w:eastAsia="Arial" w:hAnsi="Arial"/>
          <w:sz w:val="18"/>
          <w:szCs w:val="18"/>
          <w:color w:val="auto"/>
        </w:rPr>
      </w:pPr>
    </w:p>
    <w:p>
      <w:pPr>
        <w:ind w:left="900" w:right="360" w:hanging="325"/>
        <w:spacing w:after="0" w:line="268" w:lineRule="auto"/>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Our long-term care insurance business increased $69 million primarily as a result of the aging and growth of the in-force block, higher claims in older issued policies and lower terminations in the current year.</w:t>
      </w:r>
    </w:p>
    <w:p>
      <w:pPr>
        <w:spacing w:after="0" w:line="50" w:lineRule="exact"/>
        <w:rPr>
          <w:rFonts w:ascii="Arial" w:cs="Arial" w:eastAsia="Arial" w:hAnsi="Arial"/>
          <w:sz w:val="18"/>
          <w:szCs w:val="18"/>
          <w:color w:val="auto"/>
        </w:rPr>
      </w:pPr>
    </w:p>
    <w:p>
      <w:pPr>
        <w:ind w:left="900" w:right="40" w:hanging="325"/>
        <w:spacing w:after="0" w:line="298" w:lineRule="auto"/>
        <w:tabs>
          <w:tab w:leader="none" w:pos="900" w:val="left"/>
        </w:tabs>
        <w:numPr>
          <w:ilvl w:val="0"/>
          <w:numId w:val="73"/>
        </w:numPr>
        <w:rPr>
          <w:rFonts w:ascii="Arial" w:cs="Arial" w:eastAsia="Arial" w:hAnsi="Arial"/>
          <w:sz w:val="16"/>
          <w:szCs w:val="16"/>
          <w:color w:val="auto"/>
        </w:rPr>
      </w:pPr>
      <w:r>
        <w:rPr>
          <w:rFonts w:ascii="Arial" w:cs="Arial" w:eastAsia="Arial" w:hAnsi="Arial"/>
          <w:sz w:val="16"/>
          <w:szCs w:val="16"/>
          <w:color w:val="auto"/>
        </w:rPr>
        <w:t>Our retirement income business decreased $10 million attributable to a decrease of $5 million from our fee-based products related to a decrease in guaranteed minimum death benefit claims, partially offset by an increase related to our guaranteed minimum benefit liabilities driven by unfavorable market performance in the current year. Our life-contingent spread-based products decreased $5 million driven by a decline in sales in the current market environment, partially offset by higher amortization of sales inducements as a result of lower net investment losses in the current year.</w:t>
      </w:r>
    </w:p>
    <w:p>
      <w:pPr>
        <w:spacing w:after="0" w:line="113" w:lineRule="exact"/>
        <w:rPr>
          <w:sz w:val="20"/>
          <w:szCs w:val="20"/>
          <w:color w:val="auto"/>
        </w:rPr>
      </w:pPr>
    </w:p>
    <w:p>
      <w:pPr>
        <w:ind w:firstLine="571"/>
        <w:spacing w:after="0" w:line="268" w:lineRule="auto"/>
        <w:rPr>
          <w:sz w:val="20"/>
          <w:szCs w:val="20"/>
          <w:color w:val="auto"/>
        </w:rPr>
      </w:pPr>
      <w:r>
        <w:rPr>
          <w:rFonts w:ascii="Arial" w:cs="Arial" w:eastAsia="Arial" w:hAnsi="Arial"/>
          <w:sz w:val="18"/>
          <w:szCs w:val="18"/>
          <w:i w:val="1"/>
          <w:iCs w:val="1"/>
          <w:color w:val="auto"/>
        </w:rPr>
        <w:t xml:space="preserve">Interest credited. </w:t>
      </w:r>
      <w:r>
        <w:rPr>
          <w:rFonts w:ascii="Arial" w:cs="Arial" w:eastAsia="Arial" w:hAnsi="Arial"/>
          <w:sz w:val="18"/>
          <w:szCs w:val="18"/>
          <w:color w:val="auto"/>
        </w:rPr>
        <w:t>Interest credited decreased $20 million primarily related to our retirement income business from lower account values on fixed annuities</w:t>
      </w:r>
      <w:r>
        <w:rPr>
          <w:rFonts w:ascii="Arial" w:cs="Arial" w:eastAsia="Arial" w:hAnsi="Arial"/>
          <w:sz w:val="18"/>
          <w:szCs w:val="18"/>
          <w:i w:val="1"/>
          <w:iCs w:val="1"/>
          <w:color w:val="auto"/>
        </w:rPr>
        <w:t xml:space="preserve"> </w:t>
      </w:r>
      <w:r>
        <w:rPr>
          <w:rFonts w:ascii="Arial" w:cs="Arial" w:eastAsia="Arial" w:hAnsi="Arial"/>
          <w:sz w:val="18"/>
          <w:szCs w:val="18"/>
          <w:color w:val="auto"/>
        </w:rPr>
        <w:t>and lower crediting rates as the fixed annuities reach the end of their initial crediting rate guarantee period.</w:t>
      </w:r>
    </w:p>
    <w:p>
      <w:pPr>
        <w:spacing w:after="0" w:line="213"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Acquisition and operating expenses, net of deferrals</w:t>
      </w:r>
    </w:p>
    <w:p>
      <w:pPr>
        <w:spacing w:after="0" w:line="90" w:lineRule="exact"/>
        <w:rPr>
          <w:sz w:val="20"/>
          <w:szCs w:val="20"/>
          <w:color w:val="auto"/>
        </w:rPr>
      </w:pPr>
    </w:p>
    <w:p>
      <w:pPr>
        <w:ind w:left="900" w:hanging="325"/>
        <w:spacing w:after="0"/>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color w:val="auto"/>
        </w:rPr>
        <w:t>Our life insurance business increased $12 million primarily from growth of our life insurance products.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color w:val="auto"/>
        </w:rPr>
        <w:t>Our long-term care insurance business increased $21 million related to growth of our in-force block.</w:t>
      </w:r>
    </w:p>
    <w:p>
      <w:pPr>
        <w:spacing w:after="0" w:line="90" w:lineRule="exact"/>
        <w:rPr>
          <w:rFonts w:ascii="Arial" w:cs="Arial" w:eastAsia="Arial" w:hAnsi="Arial"/>
          <w:sz w:val="18"/>
          <w:szCs w:val="18"/>
          <w:color w:val="auto"/>
        </w:rPr>
      </w:pPr>
    </w:p>
    <w:p>
      <w:pPr>
        <w:ind w:left="900" w:right="140" w:hanging="325"/>
        <w:spacing w:after="0" w:line="268" w:lineRule="auto"/>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color w:val="auto"/>
        </w:rPr>
        <w:t>Our wealth management business increased $31 million primarily from increased asset-based expenses as assets under management increased from favorable market impacts and positive net flows.</w:t>
      </w:r>
    </w:p>
    <w:p>
      <w:pPr>
        <w:spacing w:after="0" w:line="50" w:lineRule="exact"/>
        <w:rPr>
          <w:rFonts w:ascii="Arial" w:cs="Arial" w:eastAsia="Arial" w:hAnsi="Arial"/>
          <w:sz w:val="18"/>
          <w:szCs w:val="18"/>
          <w:color w:val="auto"/>
        </w:rPr>
      </w:pPr>
    </w:p>
    <w:p>
      <w:pPr>
        <w:ind w:left="900" w:right="140" w:hanging="325"/>
        <w:spacing w:after="0" w:line="268" w:lineRule="auto"/>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color w:val="auto"/>
        </w:rPr>
        <w:t>Our retirement income business increased $4 million primarily from higher costs associated with sales of our fee-based products, partially offset by lower sales of our spread-based products.</w:t>
      </w:r>
    </w:p>
    <w:p>
      <w:pPr>
        <w:spacing w:after="0" w:line="213"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Amortization of deferred acquisition costs and intangibles</w:t>
      </w:r>
    </w:p>
    <w:p>
      <w:pPr>
        <w:spacing w:after="0" w:line="90" w:lineRule="exact"/>
        <w:rPr>
          <w:sz w:val="20"/>
          <w:szCs w:val="20"/>
          <w:color w:val="auto"/>
        </w:rPr>
      </w:pPr>
    </w:p>
    <w:p>
      <w:pPr>
        <w:ind w:left="900" w:right="280" w:hanging="325"/>
        <w:spacing w:after="0" w:line="268" w:lineRule="auto"/>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Our life insurance business increased $24 million primarily attributable to an increase in amortization related to lower persistency in our term life insurance products entering the post-level rate period.</w:t>
      </w:r>
    </w:p>
    <w:p>
      <w:pPr>
        <w:spacing w:after="0" w:line="50" w:lineRule="exact"/>
        <w:rPr>
          <w:rFonts w:ascii="Arial" w:cs="Arial" w:eastAsia="Arial" w:hAnsi="Arial"/>
          <w:sz w:val="18"/>
          <w:szCs w:val="18"/>
          <w:color w:val="auto"/>
        </w:rPr>
      </w:pPr>
    </w:p>
    <w:p>
      <w:pPr>
        <w:ind w:left="900" w:right="200" w:hanging="325"/>
        <w:spacing w:after="0" w:line="268" w:lineRule="auto"/>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Our long-term care insurance business decreased $12 million from lower terminations in the current year, partially offset by growth of our in-force block.</w:t>
      </w:r>
    </w:p>
    <w:p>
      <w:pPr>
        <w:spacing w:after="0" w:line="50" w:lineRule="exact"/>
        <w:rPr>
          <w:rFonts w:ascii="Arial" w:cs="Arial" w:eastAsia="Arial" w:hAnsi="Arial"/>
          <w:sz w:val="18"/>
          <w:szCs w:val="18"/>
          <w:color w:val="auto"/>
        </w:rPr>
      </w:pPr>
    </w:p>
    <w:p>
      <w:pPr>
        <w:ind w:left="900" w:right="40" w:hanging="325"/>
        <w:spacing w:after="0" w:line="291" w:lineRule="auto"/>
        <w:tabs>
          <w:tab w:leader="none" w:pos="900" w:val="left"/>
        </w:tabs>
        <w:numPr>
          <w:ilvl w:val="0"/>
          <w:numId w:val="75"/>
        </w:numPr>
        <w:rPr>
          <w:rFonts w:ascii="Arial" w:cs="Arial" w:eastAsia="Arial" w:hAnsi="Arial"/>
          <w:sz w:val="16"/>
          <w:szCs w:val="16"/>
          <w:color w:val="auto"/>
        </w:rPr>
      </w:pPr>
      <w:r>
        <w:rPr>
          <w:rFonts w:ascii="Arial" w:cs="Arial" w:eastAsia="Arial" w:hAnsi="Arial"/>
          <w:sz w:val="16"/>
          <w:szCs w:val="16"/>
          <w:color w:val="auto"/>
        </w:rPr>
        <w:t>Our retirement income business decreased $104 million primarily related to a decrease of $107 million in our fee-based products largely attributable to lower amortization of deferred acquisition costs from improved equity market performance. The decrease was also related to a $12 million favorable adjustment in the current year. The prior year included additional amortization of deferred acquisition costs of $54 million from loss recognition testing that did not recur. This decrease was partially offset by an increase of $3 million in our spread-based products mainly from higher amortization of deferred acquisition costs attributable to lower net investment losses in the current year, partially offset by a $9 million favorable unlocking primarily related to lower lapse trends in the current year.</w:t>
      </w:r>
    </w:p>
    <w:p>
      <w:pPr>
        <w:spacing w:after="0" w:line="120" w:lineRule="exact"/>
        <w:rPr>
          <w:sz w:val="20"/>
          <w:szCs w:val="20"/>
          <w:color w:val="auto"/>
        </w:rPr>
      </w:pPr>
    </w:p>
    <w:p>
      <w:pPr>
        <w:ind w:right="300" w:firstLine="571"/>
        <w:spacing w:after="0" w:line="259" w:lineRule="auto"/>
        <w:rPr>
          <w:sz w:val="20"/>
          <w:szCs w:val="20"/>
          <w:color w:val="auto"/>
        </w:rPr>
      </w:pPr>
      <w:r>
        <w:rPr>
          <w:rFonts w:ascii="Arial" w:cs="Arial" w:eastAsia="Arial" w:hAnsi="Arial"/>
          <w:sz w:val="18"/>
          <w:szCs w:val="18"/>
          <w:i w:val="1"/>
          <w:iCs w:val="1"/>
          <w:color w:val="auto"/>
        </w:rPr>
        <w:t xml:space="preserve">Provision (benefit) for income taxes. </w:t>
      </w:r>
      <w:r>
        <w:rPr>
          <w:rFonts w:ascii="Arial" w:cs="Arial" w:eastAsia="Arial" w:hAnsi="Arial"/>
          <w:sz w:val="18"/>
          <w:szCs w:val="18"/>
          <w:color w:val="auto"/>
        </w:rPr>
        <w:t>The effective tax rate decreased to 30.7% for the six months ended June 30, 2010 from 37.8% for the six months</w:t>
      </w:r>
      <w:r>
        <w:rPr>
          <w:rFonts w:ascii="Arial" w:cs="Arial" w:eastAsia="Arial" w:hAnsi="Arial"/>
          <w:sz w:val="18"/>
          <w:szCs w:val="18"/>
          <w:i w:val="1"/>
          <w:iCs w:val="1"/>
          <w:color w:val="auto"/>
        </w:rPr>
        <w:t xml:space="preserve"> </w:t>
      </w:r>
      <w:r>
        <w:rPr>
          <w:rFonts w:ascii="Arial" w:cs="Arial" w:eastAsia="Arial" w:hAnsi="Arial"/>
          <w:sz w:val="18"/>
          <w:szCs w:val="18"/>
          <w:color w:val="auto"/>
        </w:rPr>
        <w:t>ended June 30, 2009. This decrease in the effective tax rate was primarily attributable to tax favored investments recognized in the current year and the relationship of tax favored investments recognized in the prior year to the pre-tax loss.</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400"/>
          </w:cols>
          <w:pgMar w:left="240" w:top="459" w:right="25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and Protection selected financial and operating performance measures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Life insurance</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tables set forth selected operating performance measures regarding our life insurance business as of or for the dates indicated:</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3"/>
          </w:tcPr>
          <w:p>
            <w:pPr>
              <w:jc w:val="right"/>
              <w:ind w:right="112"/>
              <w:spacing w:after="0"/>
              <w:rPr>
                <w:sz w:val="20"/>
                <w:szCs w:val="20"/>
                <w:color w:val="auto"/>
              </w:rPr>
            </w:pPr>
            <w:r>
              <w:rPr>
                <w:rFonts w:ascii="Arial" w:cs="Arial" w:eastAsia="Arial" w:hAnsi="Arial"/>
                <w:sz w:val="14"/>
                <w:szCs w:val="14"/>
                <w:b w:val="1"/>
                <w:bCs w:val="1"/>
                <w:color w:val="auto"/>
                <w:w w:val="90"/>
              </w:rPr>
              <w:t>Three months</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00" w:type="dxa"/>
            <w:vAlign w:val="bottom"/>
            <w:gridSpan w:val="3"/>
          </w:tcPr>
          <w:p>
            <w:pPr>
              <w:jc w:val="center"/>
              <w:ind w:right="520"/>
              <w:spacing w:after="0"/>
              <w:rPr>
                <w:sz w:val="20"/>
                <w:szCs w:val="20"/>
                <w:color w:val="auto"/>
              </w:rPr>
            </w:pPr>
            <w:r>
              <w:rPr>
                <w:rFonts w:ascii="Arial" w:cs="Arial" w:eastAsia="Arial" w:hAnsi="Arial"/>
                <w:sz w:val="14"/>
                <w:szCs w:val="14"/>
                <w:b w:val="1"/>
                <w:bCs w:val="1"/>
                <w:color w:val="auto"/>
                <w:w w:val="84"/>
              </w:rPr>
              <w:t>Increase (decrease)</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0" w:type="dxa"/>
            <w:vAlign w:val="bottom"/>
            <w:gridSpan w:val="4"/>
          </w:tcPr>
          <w:p>
            <w:pPr>
              <w:jc w:val="center"/>
              <w:ind w:right="480"/>
              <w:spacing w:after="0"/>
              <w:rPr>
                <w:sz w:val="20"/>
                <w:szCs w:val="20"/>
                <w:color w:val="auto"/>
              </w:rPr>
            </w:pPr>
            <w:r>
              <w:rPr>
                <w:rFonts w:ascii="Arial" w:cs="Arial" w:eastAsia="Arial" w:hAnsi="Arial"/>
                <w:sz w:val="14"/>
                <w:szCs w:val="14"/>
                <w:b w:val="1"/>
                <w:bCs w:val="1"/>
                <w:color w:val="auto"/>
                <w:w w:val="84"/>
              </w:rPr>
              <w:t>Six months</w:t>
            </w:r>
          </w:p>
        </w:tc>
        <w:tc>
          <w:tcPr>
            <w:tcW w:w="120" w:type="dxa"/>
            <w:vAlign w:val="bottom"/>
          </w:tcPr>
          <w:p>
            <w:pPr>
              <w:spacing w:after="0"/>
              <w:rPr>
                <w:sz w:val="14"/>
                <w:szCs w:val="14"/>
                <w:color w:val="auto"/>
              </w:rPr>
            </w:pPr>
          </w:p>
        </w:tc>
        <w:tc>
          <w:tcPr>
            <w:tcW w:w="1760" w:type="dxa"/>
            <w:vAlign w:val="bottom"/>
            <w:gridSpan w:val="3"/>
          </w:tcPr>
          <w:p>
            <w:pPr>
              <w:jc w:val="center"/>
              <w:ind w:right="380"/>
              <w:spacing w:after="0"/>
              <w:rPr>
                <w:sz w:val="20"/>
                <w:szCs w:val="20"/>
                <w:color w:val="auto"/>
              </w:rPr>
            </w:pPr>
            <w:r>
              <w:rPr>
                <w:rFonts w:ascii="Arial" w:cs="Arial" w:eastAsia="Arial" w:hAnsi="Arial"/>
                <w:sz w:val="14"/>
                <w:szCs w:val="14"/>
                <w:b w:val="1"/>
                <w:bCs w:val="1"/>
                <w:color w:val="auto"/>
                <w:w w:val="84"/>
              </w:rPr>
              <w:t>Increase (decrease)</w:t>
            </w:r>
          </w:p>
        </w:tc>
        <w:tc>
          <w:tcPr>
            <w:tcW w:w="0" w:type="dxa"/>
            <w:vAlign w:val="bottom"/>
          </w:tcPr>
          <w:p>
            <w:pPr>
              <w:spacing w:after="0"/>
              <w:rPr>
                <w:sz w:val="1"/>
                <w:szCs w:val="1"/>
                <w:color w:val="auto"/>
              </w:rPr>
            </w:pPr>
          </w:p>
        </w:tc>
      </w:tr>
      <w:tr>
        <w:trPr>
          <w:trHeight w:val="161"/>
        </w:trPr>
        <w:tc>
          <w:tcPr>
            <w:tcW w:w="40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3"/>
          </w:tcPr>
          <w:p>
            <w:pPr>
              <w:jc w:val="right"/>
              <w:ind w:right="72"/>
              <w:spacing w:after="0"/>
              <w:rPr>
                <w:sz w:val="20"/>
                <w:szCs w:val="20"/>
                <w:color w:val="auto"/>
              </w:rPr>
            </w:pPr>
            <w:r>
              <w:rPr>
                <w:rFonts w:ascii="Arial" w:cs="Arial" w:eastAsia="Arial" w:hAnsi="Arial"/>
                <w:sz w:val="14"/>
                <w:szCs w:val="14"/>
                <w:b w:val="1"/>
                <w:bCs w:val="1"/>
                <w:color w:val="auto"/>
                <w:w w:val="86"/>
              </w:rPr>
              <w:t>ended June 30,</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00" w:type="dxa"/>
            <w:vAlign w:val="bottom"/>
            <w:gridSpan w:val="3"/>
          </w:tcPr>
          <w:p>
            <w:pPr>
              <w:jc w:val="center"/>
              <w:ind w:right="540"/>
              <w:spacing w:after="0"/>
              <w:rPr>
                <w:sz w:val="20"/>
                <w:szCs w:val="20"/>
                <w:color w:val="auto"/>
              </w:rPr>
            </w:pPr>
            <w:r>
              <w:rPr>
                <w:rFonts w:ascii="Arial" w:cs="Arial" w:eastAsia="Arial" w:hAnsi="Arial"/>
                <w:sz w:val="14"/>
                <w:szCs w:val="14"/>
                <w:b w:val="1"/>
                <w:bCs w:val="1"/>
                <w:color w:val="auto"/>
                <w:w w:val="84"/>
              </w:rPr>
              <w:t>and percentage change</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0" w:type="dxa"/>
            <w:vAlign w:val="bottom"/>
            <w:gridSpan w:val="4"/>
          </w:tcPr>
          <w:p>
            <w:pPr>
              <w:jc w:val="center"/>
              <w:ind w:right="460"/>
              <w:spacing w:after="0"/>
              <w:rPr>
                <w:sz w:val="20"/>
                <w:szCs w:val="20"/>
                <w:color w:val="auto"/>
              </w:rPr>
            </w:pPr>
            <w:r>
              <w:rPr>
                <w:rFonts w:ascii="Arial" w:cs="Arial" w:eastAsia="Arial" w:hAnsi="Arial"/>
                <w:sz w:val="14"/>
                <w:szCs w:val="14"/>
                <w:b w:val="1"/>
                <w:bCs w:val="1"/>
                <w:color w:val="auto"/>
                <w:w w:val="84"/>
              </w:rPr>
              <w:t>ended June 30,</w:t>
            </w:r>
          </w:p>
        </w:tc>
        <w:tc>
          <w:tcPr>
            <w:tcW w:w="120" w:type="dxa"/>
            <w:vAlign w:val="bottom"/>
          </w:tcPr>
          <w:p>
            <w:pPr>
              <w:spacing w:after="0"/>
              <w:rPr>
                <w:sz w:val="14"/>
                <w:szCs w:val="14"/>
                <w:color w:val="auto"/>
              </w:rPr>
            </w:pPr>
          </w:p>
        </w:tc>
        <w:tc>
          <w:tcPr>
            <w:tcW w:w="176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84"/>
              </w:rPr>
              <w:t>and percentage change</w:t>
            </w:r>
          </w:p>
        </w:tc>
        <w:tc>
          <w:tcPr>
            <w:tcW w:w="0" w:type="dxa"/>
            <w:vAlign w:val="bottom"/>
          </w:tcPr>
          <w:p>
            <w:pPr>
              <w:spacing w:after="0"/>
              <w:rPr>
                <w:sz w:val="1"/>
                <w:szCs w:val="1"/>
                <w:color w:val="auto"/>
              </w:rPr>
            </w:pPr>
          </w:p>
        </w:tc>
      </w:tr>
      <w:tr>
        <w:trPr>
          <w:trHeight w:val="142"/>
        </w:trPr>
        <w:tc>
          <w:tcPr>
            <w:tcW w:w="4080" w:type="dxa"/>
            <w:vAlign w:val="bottom"/>
            <w:gridSpan w:val="3"/>
            <w:vMerge w:val="continue"/>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2010</w:t>
            </w:r>
          </w:p>
        </w:tc>
        <w:tc>
          <w:tcPr>
            <w:tcW w:w="78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2009</w:t>
            </w:r>
          </w:p>
        </w:tc>
        <w:tc>
          <w:tcPr>
            <w:tcW w:w="3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20" w:type="dxa"/>
            <w:vAlign w:val="bottom"/>
            <w:tcBorders>
              <w:top w:val="single" w:sz="8" w:color="auto"/>
            </w:tcBorders>
          </w:tcPr>
          <w:p>
            <w:pPr>
              <w:jc w:val="center"/>
              <w:ind w:left="117"/>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360" w:type="dxa"/>
            <w:vAlign w:val="bottom"/>
            <w:tcBorders>
              <w:top w:val="single" w:sz="8" w:color="auto"/>
            </w:tcBorders>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2010</w:t>
            </w:r>
          </w:p>
        </w:tc>
        <w:tc>
          <w:tcPr>
            <w:tcW w:w="36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2009</w:t>
            </w:r>
          </w:p>
        </w:tc>
        <w:tc>
          <w:tcPr>
            <w:tcW w:w="3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tcPr>
          <w:p>
            <w:pPr>
              <w:jc w:val="center"/>
              <w:ind w:left="137"/>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360" w:type="dxa"/>
            <w:vAlign w:val="bottom"/>
            <w:tcBorders>
              <w:top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0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Term life insurance</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tcPr>
          <w:p>
            <w:pPr>
              <w:ind w:left="420"/>
              <w:spacing w:after="0"/>
              <w:rPr>
                <w:sz w:val="20"/>
                <w:szCs w:val="20"/>
                <w:color w:val="auto"/>
              </w:rPr>
            </w:pPr>
            <w:r>
              <w:rPr>
                <w:rFonts w:ascii="Arial" w:cs="Arial" w:eastAsia="Arial" w:hAnsi="Arial"/>
                <w:sz w:val="18"/>
                <w:szCs w:val="18"/>
                <w:color w:val="auto"/>
              </w:rPr>
              <w:t>Net earned premiums</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w w:val="86"/>
              </w:rPr>
              <w:t>228</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$ 238</w:t>
            </w: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537"/>
              <w:spacing w:after="0"/>
              <w:rPr>
                <w:sz w:val="20"/>
                <w:szCs w:val="20"/>
                <w:color w:val="auto"/>
              </w:rPr>
            </w:pPr>
            <w:r>
              <w:rPr>
                <w:rFonts w:ascii="Arial" w:cs="Arial" w:eastAsia="Arial" w:hAnsi="Arial"/>
                <w:sz w:val="18"/>
                <w:szCs w:val="18"/>
                <w:color w:val="auto"/>
              </w:rPr>
              <w:t>(10)</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(4)%</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360"/>
              <w:spacing w:after="0"/>
              <w:rPr>
                <w:sz w:val="20"/>
                <w:szCs w:val="20"/>
                <w:color w:val="auto"/>
              </w:rPr>
            </w:pPr>
            <w:r>
              <w:rPr>
                <w:rFonts w:ascii="Arial" w:cs="Arial" w:eastAsia="Arial" w:hAnsi="Arial"/>
                <w:sz w:val="18"/>
                <w:szCs w:val="18"/>
                <w:color w:val="auto"/>
                <w:w w:val="86"/>
              </w:rPr>
              <w:t>452</w:t>
            </w:r>
          </w:p>
        </w:tc>
        <w:tc>
          <w:tcPr>
            <w:tcW w:w="760" w:type="dxa"/>
            <w:vAlign w:val="bottom"/>
            <w:gridSpan w:val="2"/>
          </w:tcPr>
          <w:p>
            <w:pPr>
              <w:jc w:val="right"/>
              <w:ind w:right="340"/>
              <w:spacing w:after="0"/>
              <w:rPr>
                <w:sz w:val="20"/>
                <w:szCs w:val="20"/>
                <w:color w:val="auto"/>
              </w:rPr>
            </w:pPr>
            <w:r>
              <w:rPr>
                <w:rFonts w:ascii="Arial" w:cs="Arial" w:eastAsia="Arial" w:hAnsi="Arial"/>
                <w:sz w:val="18"/>
                <w:szCs w:val="18"/>
                <w:color w:val="auto"/>
                <w:w w:val="88"/>
              </w:rPr>
              <w:t>$ 475</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537"/>
              <w:spacing w:after="0"/>
              <w:rPr>
                <w:sz w:val="20"/>
                <w:szCs w:val="20"/>
                <w:color w:val="auto"/>
              </w:rPr>
            </w:pPr>
            <w:r>
              <w:rPr>
                <w:rFonts w:ascii="Arial" w:cs="Arial" w:eastAsia="Arial" w:hAnsi="Arial"/>
                <w:sz w:val="18"/>
                <w:szCs w:val="18"/>
                <w:color w:val="auto"/>
              </w:rPr>
              <w:t>(23)</w:t>
            </w: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Annualized first-year premiums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37"/>
              <w:spacing w:after="0"/>
              <w:rPr>
                <w:sz w:val="20"/>
                <w:szCs w:val="20"/>
                <w:color w:val="auto"/>
              </w:rPr>
            </w:pPr>
            <w:r>
              <w:rPr>
                <w:rFonts w:ascii="Arial" w:cs="Arial" w:eastAsia="Arial" w:hAnsi="Arial"/>
                <w:sz w:val="18"/>
                <w:szCs w:val="18"/>
                <w:color w:val="auto"/>
              </w:rPr>
              <w:t>(14)</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18</w:t>
            </w:r>
          </w:p>
        </w:tc>
        <w:tc>
          <w:tcPr>
            <w:tcW w:w="7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37</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37"/>
              <w:spacing w:after="0"/>
              <w:rPr>
                <w:sz w:val="20"/>
                <w:szCs w:val="20"/>
                <w:color w:val="auto"/>
              </w:rPr>
            </w:pPr>
            <w:r>
              <w:rPr>
                <w:rFonts w:ascii="Arial" w:cs="Arial" w:eastAsia="Arial" w:hAnsi="Arial"/>
                <w:sz w:val="18"/>
                <w:szCs w:val="18"/>
                <w:color w:val="auto"/>
              </w:rPr>
              <w:t>(19)</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323"/>
        </w:trPr>
        <w:tc>
          <w:tcPr>
            <w:tcW w:w="4080" w:type="dxa"/>
            <w:vAlign w:val="bottom"/>
            <w:gridSpan w:val="3"/>
          </w:tcPr>
          <w:p>
            <w:pPr>
              <w:spacing w:after="0"/>
              <w:rPr>
                <w:sz w:val="20"/>
                <w:szCs w:val="20"/>
                <w:color w:val="auto"/>
              </w:rPr>
            </w:pPr>
            <w:r>
              <w:rPr>
                <w:rFonts w:ascii="Arial" w:cs="Arial" w:eastAsia="Arial" w:hAnsi="Arial"/>
                <w:sz w:val="18"/>
                <w:szCs w:val="18"/>
                <w:b w:val="1"/>
                <w:bCs w:val="1"/>
                <w:color w:val="auto"/>
              </w:rPr>
              <w:t>Term universal life insurance</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0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Net deposits</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36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w w:val="90"/>
              </w:rPr>
              <w:t>$ —</w:t>
            </w: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597"/>
              <w:spacing w:after="0"/>
              <w:rPr>
                <w:sz w:val="20"/>
                <w:szCs w:val="20"/>
                <w:color w:val="auto"/>
              </w:rPr>
            </w:pPr>
            <w:r>
              <w:rPr>
                <w:rFonts w:ascii="Arial" w:cs="Arial" w:eastAsia="Arial" w:hAnsi="Arial"/>
                <w:sz w:val="18"/>
                <w:szCs w:val="18"/>
                <w:color w:val="auto"/>
              </w:rPr>
              <w:t>14</w:t>
            </w: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19</w:t>
            </w:r>
          </w:p>
        </w:tc>
        <w:tc>
          <w:tcPr>
            <w:tcW w:w="7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90"/>
              </w:rPr>
              <w:t>$ —</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ind w:right="597"/>
              <w:spacing w:after="0"/>
              <w:rPr>
                <w:sz w:val="20"/>
                <w:szCs w:val="20"/>
                <w:color w:val="auto"/>
              </w:rPr>
            </w:pPr>
            <w:r>
              <w:rPr>
                <w:rFonts w:ascii="Arial" w:cs="Arial" w:eastAsia="Arial" w:hAnsi="Arial"/>
                <w:sz w:val="18"/>
                <w:szCs w:val="18"/>
                <w:color w:val="auto"/>
              </w:rPr>
              <w:t>19</w:t>
            </w:r>
          </w:p>
        </w:tc>
        <w:tc>
          <w:tcPr>
            <w:tcW w:w="6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060" w:type="dxa"/>
            <w:vAlign w:val="bottom"/>
            <w:gridSpan w:val="2"/>
          </w:tcPr>
          <w:p>
            <w:pPr>
              <w:ind w:left="420"/>
              <w:spacing w:after="0"/>
              <w:rPr>
                <w:sz w:val="20"/>
                <w:szCs w:val="20"/>
                <w:color w:val="auto"/>
              </w:rPr>
            </w:pPr>
            <w:r>
              <w:rPr>
                <w:rFonts w:ascii="Arial" w:cs="Arial" w:eastAsia="Arial" w:hAnsi="Arial"/>
                <w:sz w:val="18"/>
                <w:szCs w:val="18"/>
                <w:color w:val="auto"/>
                <w:w w:val="93"/>
              </w:rPr>
              <w:t>Term universal life annualized first-year deposits</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24</w:t>
            </w:r>
          </w:p>
        </w:tc>
        <w:tc>
          <w:tcPr>
            <w:tcW w:w="360" w:type="dxa"/>
            <w:vAlign w:val="bottom"/>
          </w:tcPr>
          <w:p>
            <w:pPr>
              <w:spacing w:after="0"/>
              <w:rPr>
                <w:sz w:val="19"/>
                <w:szCs w:val="19"/>
                <w:color w:val="auto"/>
              </w:rPr>
            </w:pPr>
          </w:p>
        </w:tc>
        <w:tc>
          <w:tcPr>
            <w:tcW w:w="42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ind w:right="597"/>
              <w:spacing w:after="0"/>
              <w:rPr>
                <w:sz w:val="20"/>
                <w:szCs w:val="20"/>
                <w:color w:val="auto"/>
              </w:rPr>
            </w:pPr>
            <w:r>
              <w:rPr>
                <w:rFonts w:ascii="Arial" w:cs="Arial" w:eastAsia="Arial" w:hAnsi="Arial"/>
                <w:sz w:val="18"/>
                <w:szCs w:val="18"/>
                <w:color w:val="auto"/>
              </w:rPr>
              <w:t>24</w:t>
            </w:r>
          </w:p>
        </w:tc>
        <w:tc>
          <w:tcPr>
            <w:tcW w:w="780" w:type="dxa"/>
            <w:vAlign w:val="bottom"/>
            <w:gridSpan w:val="2"/>
          </w:tcPr>
          <w:p>
            <w:pPr>
              <w:jc w:val="right"/>
              <w:ind w:right="28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gridSpan w:val="2"/>
          </w:tcPr>
          <w:p>
            <w:pPr>
              <w:jc w:val="right"/>
              <w:ind w:right="360"/>
              <w:spacing w:after="0"/>
              <w:rPr>
                <w:sz w:val="20"/>
                <w:szCs w:val="20"/>
                <w:color w:val="auto"/>
              </w:rPr>
            </w:pPr>
            <w:r>
              <w:rPr>
                <w:rFonts w:ascii="Arial" w:cs="Arial" w:eastAsia="Arial" w:hAnsi="Arial"/>
                <w:sz w:val="18"/>
                <w:szCs w:val="18"/>
                <w:color w:val="auto"/>
              </w:rPr>
              <w:t>34</w:t>
            </w:r>
          </w:p>
        </w:tc>
        <w:tc>
          <w:tcPr>
            <w:tcW w:w="76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140" w:type="dxa"/>
            <w:vAlign w:val="bottom"/>
          </w:tcPr>
          <w:p>
            <w:pPr>
              <w:jc w:val="right"/>
              <w:ind w:right="597"/>
              <w:spacing w:after="0"/>
              <w:rPr>
                <w:sz w:val="20"/>
                <w:szCs w:val="20"/>
                <w:color w:val="auto"/>
              </w:rPr>
            </w:pPr>
            <w:r>
              <w:rPr>
                <w:rFonts w:ascii="Arial" w:cs="Arial" w:eastAsia="Arial" w:hAnsi="Arial"/>
                <w:sz w:val="18"/>
                <w:szCs w:val="18"/>
                <w:color w:val="auto"/>
              </w:rPr>
              <w:t>34</w:t>
            </w:r>
          </w:p>
        </w:tc>
        <w:tc>
          <w:tcPr>
            <w:tcW w:w="620" w:type="dxa"/>
            <w:vAlign w:val="bottom"/>
            <w:gridSpan w:val="2"/>
          </w:tcPr>
          <w:p>
            <w:pPr>
              <w:ind w:left="8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320" w:type="dxa"/>
            <w:vAlign w:val="bottom"/>
          </w:tcPr>
          <w:p>
            <w:pPr>
              <w:spacing w:after="0"/>
              <w:rPr>
                <w:sz w:val="8"/>
                <w:szCs w:val="8"/>
                <w:color w:val="auto"/>
              </w:rPr>
            </w:pPr>
          </w:p>
        </w:tc>
        <w:tc>
          <w:tcPr>
            <w:tcW w:w="27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Universal and whole life insurance</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tcPr>
          <w:p>
            <w:pPr>
              <w:ind w:left="420"/>
              <w:spacing w:after="0"/>
              <w:rPr>
                <w:sz w:val="20"/>
                <w:szCs w:val="20"/>
                <w:color w:val="auto"/>
              </w:rPr>
            </w:pPr>
            <w:r>
              <w:rPr>
                <w:rFonts w:ascii="Arial" w:cs="Arial" w:eastAsia="Arial" w:hAnsi="Arial"/>
                <w:sz w:val="18"/>
                <w:szCs w:val="18"/>
                <w:color w:val="auto"/>
              </w:rPr>
              <w:t>Net earned premiums and deposits</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w w:val="86"/>
              </w:rPr>
              <w:t>121</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$ 116</w:t>
            </w: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597"/>
              <w:spacing w:after="0"/>
              <w:rPr>
                <w:sz w:val="20"/>
                <w:szCs w:val="20"/>
                <w:color w:val="auto"/>
              </w:rPr>
            </w:pPr>
            <w:r>
              <w:rPr>
                <w:rFonts w:ascii="Arial" w:cs="Arial" w:eastAsia="Arial" w:hAnsi="Arial"/>
                <w:sz w:val="18"/>
                <w:szCs w:val="18"/>
                <w:color w:val="auto"/>
              </w:rPr>
              <w:t>5</w:t>
            </w:r>
          </w:p>
        </w:tc>
        <w:tc>
          <w:tcPr>
            <w:tcW w:w="780" w:type="dxa"/>
            <w:vAlign w:val="bottom"/>
            <w:gridSpan w:val="2"/>
          </w:tcPr>
          <w:p>
            <w:pPr>
              <w:jc w:val="right"/>
              <w:ind w:right="260"/>
              <w:spacing w:after="0"/>
              <w:rPr>
                <w:sz w:val="20"/>
                <w:szCs w:val="20"/>
                <w:color w:val="auto"/>
              </w:rPr>
            </w:pPr>
            <w:r>
              <w:rPr>
                <w:rFonts w:ascii="Arial" w:cs="Arial" w:eastAsia="Arial" w:hAnsi="Arial"/>
                <w:sz w:val="18"/>
                <w:szCs w:val="18"/>
                <w:color w:val="auto"/>
              </w:rPr>
              <w:t>4%</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360"/>
              <w:spacing w:after="0"/>
              <w:rPr>
                <w:sz w:val="20"/>
                <w:szCs w:val="20"/>
                <w:color w:val="auto"/>
              </w:rPr>
            </w:pPr>
            <w:r>
              <w:rPr>
                <w:rFonts w:ascii="Arial" w:cs="Arial" w:eastAsia="Arial" w:hAnsi="Arial"/>
                <w:sz w:val="18"/>
                <w:szCs w:val="18"/>
                <w:color w:val="auto"/>
                <w:w w:val="86"/>
              </w:rPr>
              <w:t>239</w:t>
            </w:r>
          </w:p>
        </w:tc>
        <w:tc>
          <w:tcPr>
            <w:tcW w:w="760" w:type="dxa"/>
            <w:vAlign w:val="bottom"/>
            <w:gridSpan w:val="2"/>
          </w:tcPr>
          <w:p>
            <w:pPr>
              <w:jc w:val="right"/>
              <w:ind w:right="340"/>
              <w:spacing w:after="0"/>
              <w:rPr>
                <w:sz w:val="20"/>
                <w:szCs w:val="20"/>
                <w:color w:val="auto"/>
              </w:rPr>
            </w:pPr>
            <w:r>
              <w:rPr>
                <w:rFonts w:ascii="Arial" w:cs="Arial" w:eastAsia="Arial" w:hAnsi="Arial"/>
                <w:sz w:val="18"/>
                <w:szCs w:val="18"/>
                <w:color w:val="auto"/>
                <w:w w:val="88"/>
              </w:rPr>
              <w:t>$ 240</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537"/>
              <w:spacing w:after="0"/>
              <w:rPr>
                <w:sz w:val="20"/>
                <w:szCs w:val="20"/>
                <w:color w:val="auto"/>
              </w:rPr>
            </w:pPr>
            <w:r>
              <w:rPr>
                <w:rFonts w:ascii="Arial" w:cs="Arial" w:eastAsia="Arial" w:hAnsi="Arial"/>
                <w:sz w:val="18"/>
                <w:szCs w:val="18"/>
                <w:color w:val="auto"/>
              </w:rPr>
              <w:t>(1)</w:t>
            </w:r>
          </w:p>
        </w:tc>
        <w:tc>
          <w:tcPr>
            <w:tcW w:w="620" w:type="dxa"/>
            <w:vAlign w:val="bottom"/>
            <w:gridSpan w:val="2"/>
          </w:tcPr>
          <w:p>
            <w:pPr>
              <w:ind w:left="10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Universal life annualized first-year deposits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97"/>
              <w:spacing w:after="0"/>
              <w:rPr>
                <w:sz w:val="20"/>
                <w:szCs w:val="20"/>
                <w:color w:val="auto"/>
              </w:rPr>
            </w:pPr>
            <w:r>
              <w:rPr>
                <w:rFonts w:ascii="Arial" w:cs="Arial" w:eastAsia="Arial" w:hAnsi="Arial"/>
                <w:sz w:val="18"/>
                <w:szCs w:val="18"/>
                <w:color w:val="auto"/>
              </w:rPr>
              <w:t>2</w:t>
            </w:r>
          </w:p>
        </w:tc>
        <w:tc>
          <w:tcPr>
            <w:tcW w:w="7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17</w:t>
            </w:r>
          </w:p>
        </w:tc>
        <w:tc>
          <w:tcPr>
            <w:tcW w:w="7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17</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77"/>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060" w:type="dxa"/>
            <w:vAlign w:val="bottom"/>
            <w:gridSpan w:val="2"/>
          </w:tcPr>
          <w:p>
            <w:pPr>
              <w:ind w:left="420"/>
              <w:spacing w:after="0"/>
              <w:rPr>
                <w:sz w:val="20"/>
                <w:szCs w:val="20"/>
                <w:color w:val="auto"/>
              </w:rPr>
            </w:pPr>
            <w:r>
              <w:rPr>
                <w:rFonts w:ascii="Arial" w:cs="Arial" w:eastAsia="Arial" w:hAnsi="Arial"/>
                <w:sz w:val="18"/>
                <w:szCs w:val="18"/>
                <w:color w:val="auto"/>
              </w:rPr>
              <w:t>Universal life excess deposits</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28</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23</w:t>
            </w: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ind w:right="597"/>
              <w:spacing w:after="0"/>
              <w:rPr>
                <w:sz w:val="20"/>
                <w:szCs w:val="20"/>
                <w:color w:val="auto"/>
              </w:rPr>
            </w:pPr>
            <w:r>
              <w:rPr>
                <w:rFonts w:ascii="Arial" w:cs="Arial" w:eastAsia="Arial" w:hAnsi="Arial"/>
                <w:sz w:val="18"/>
                <w:szCs w:val="18"/>
                <w:color w:val="auto"/>
              </w:rPr>
              <w:t>5</w:t>
            </w:r>
          </w:p>
        </w:tc>
        <w:tc>
          <w:tcPr>
            <w:tcW w:w="780" w:type="dxa"/>
            <w:vAlign w:val="bottom"/>
            <w:gridSpan w:val="2"/>
          </w:tcPr>
          <w:p>
            <w:pPr>
              <w:jc w:val="right"/>
              <w:ind w:right="260"/>
              <w:spacing w:after="0"/>
              <w:rPr>
                <w:sz w:val="20"/>
                <w:szCs w:val="20"/>
                <w:color w:val="auto"/>
              </w:rPr>
            </w:pPr>
            <w:r>
              <w:rPr>
                <w:rFonts w:ascii="Arial" w:cs="Arial" w:eastAsia="Arial" w:hAnsi="Arial"/>
                <w:sz w:val="18"/>
                <w:szCs w:val="18"/>
                <w:color w:val="auto"/>
              </w:rPr>
              <w:t>22%</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gridSpan w:val="2"/>
          </w:tcPr>
          <w:p>
            <w:pPr>
              <w:jc w:val="right"/>
              <w:ind w:right="360"/>
              <w:spacing w:after="0"/>
              <w:rPr>
                <w:sz w:val="20"/>
                <w:szCs w:val="20"/>
                <w:color w:val="auto"/>
              </w:rPr>
            </w:pPr>
            <w:r>
              <w:rPr>
                <w:rFonts w:ascii="Arial" w:cs="Arial" w:eastAsia="Arial" w:hAnsi="Arial"/>
                <w:sz w:val="18"/>
                <w:szCs w:val="18"/>
                <w:color w:val="auto"/>
              </w:rPr>
              <w:t>48</w:t>
            </w:r>
          </w:p>
        </w:tc>
        <w:tc>
          <w:tcPr>
            <w:tcW w:w="760" w:type="dxa"/>
            <w:vAlign w:val="bottom"/>
            <w:gridSpan w:val="2"/>
          </w:tcPr>
          <w:p>
            <w:pPr>
              <w:jc w:val="right"/>
              <w:ind w:right="340"/>
              <w:spacing w:after="0"/>
              <w:rPr>
                <w:sz w:val="20"/>
                <w:szCs w:val="20"/>
                <w:color w:val="auto"/>
              </w:rPr>
            </w:pPr>
            <w:r>
              <w:rPr>
                <w:rFonts w:ascii="Arial" w:cs="Arial" w:eastAsia="Arial" w:hAnsi="Arial"/>
                <w:sz w:val="18"/>
                <w:szCs w:val="18"/>
                <w:color w:val="auto"/>
              </w:rPr>
              <w:t>51</w:t>
            </w:r>
          </w:p>
        </w:tc>
        <w:tc>
          <w:tcPr>
            <w:tcW w:w="120" w:type="dxa"/>
            <w:vAlign w:val="bottom"/>
          </w:tcPr>
          <w:p>
            <w:pPr>
              <w:spacing w:after="0"/>
              <w:rPr>
                <w:sz w:val="19"/>
                <w:szCs w:val="19"/>
                <w:color w:val="auto"/>
              </w:rPr>
            </w:pPr>
          </w:p>
        </w:tc>
        <w:tc>
          <w:tcPr>
            <w:tcW w:w="1140" w:type="dxa"/>
            <w:vAlign w:val="bottom"/>
          </w:tcPr>
          <w:p>
            <w:pPr>
              <w:jc w:val="right"/>
              <w:ind w:right="537"/>
              <w:spacing w:after="0"/>
              <w:rPr>
                <w:sz w:val="20"/>
                <w:szCs w:val="20"/>
                <w:color w:val="auto"/>
              </w:rPr>
            </w:pPr>
            <w:r>
              <w:rPr>
                <w:rFonts w:ascii="Arial" w:cs="Arial" w:eastAsia="Arial" w:hAnsi="Arial"/>
                <w:sz w:val="18"/>
                <w:szCs w:val="18"/>
                <w:color w:val="auto"/>
              </w:rPr>
              <w:t>(3)</w:t>
            </w: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320" w:type="dxa"/>
            <w:vAlign w:val="bottom"/>
          </w:tcPr>
          <w:p>
            <w:pPr>
              <w:spacing w:after="0"/>
              <w:rPr>
                <w:sz w:val="8"/>
                <w:szCs w:val="8"/>
                <w:color w:val="auto"/>
              </w:rPr>
            </w:pPr>
          </w:p>
        </w:tc>
        <w:tc>
          <w:tcPr>
            <w:tcW w:w="27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life insurance</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tcPr>
          <w:p>
            <w:pPr>
              <w:ind w:left="420"/>
              <w:spacing w:after="0"/>
              <w:rPr>
                <w:sz w:val="20"/>
                <w:szCs w:val="20"/>
                <w:color w:val="auto"/>
              </w:rPr>
            </w:pPr>
            <w:r>
              <w:rPr>
                <w:rFonts w:ascii="Arial" w:cs="Arial" w:eastAsia="Arial" w:hAnsi="Arial"/>
                <w:sz w:val="18"/>
                <w:szCs w:val="18"/>
                <w:color w:val="auto"/>
              </w:rPr>
              <w:t>Net earned premiums and deposits</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w w:val="86"/>
              </w:rPr>
              <w:t>363</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$ 354</w:t>
            </w: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597"/>
              <w:spacing w:after="0"/>
              <w:rPr>
                <w:sz w:val="20"/>
                <w:szCs w:val="20"/>
                <w:color w:val="auto"/>
              </w:rPr>
            </w:pPr>
            <w:r>
              <w:rPr>
                <w:rFonts w:ascii="Arial" w:cs="Arial" w:eastAsia="Arial" w:hAnsi="Arial"/>
                <w:sz w:val="18"/>
                <w:szCs w:val="18"/>
                <w:color w:val="auto"/>
              </w:rPr>
              <w:t>9</w:t>
            </w:r>
          </w:p>
        </w:tc>
        <w:tc>
          <w:tcPr>
            <w:tcW w:w="780" w:type="dxa"/>
            <w:vAlign w:val="bottom"/>
            <w:gridSpan w:val="2"/>
          </w:tcPr>
          <w:p>
            <w:pPr>
              <w:jc w:val="right"/>
              <w:ind w:right="260"/>
              <w:spacing w:after="0"/>
              <w:rPr>
                <w:sz w:val="20"/>
                <w:szCs w:val="20"/>
                <w:color w:val="auto"/>
              </w:rPr>
            </w:pPr>
            <w:r>
              <w:rPr>
                <w:rFonts w:ascii="Arial" w:cs="Arial" w:eastAsia="Arial" w:hAnsi="Arial"/>
                <w:sz w:val="18"/>
                <w:szCs w:val="18"/>
                <w:color w:val="auto"/>
              </w:rPr>
              <w:t>3%</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360"/>
              <w:spacing w:after="0"/>
              <w:rPr>
                <w:sz w:val="20"/>
                <w:szCs w:val="20"/>
                <w:color w:val="auto"/>
              </w:rPr>
            </w:pPr>
            <w:r>
              <w:rPr>
                <w:rFonts w:ascii="Arial" w:cs="Arial" w:eastAsia="Arial" w:hAnsi="Arial"/>
                <w:sz w:val="18"/>
                <w:szCs w:val="18"/>
                <w:color w:val="auto"/>
                <w:w w:val="86"/>
              </w:rPr>
              <w:t>710</w:t>
            </w:r>
          </w:p>
        </w:tc>
        <w:tc>
          <w:tcPr>
            <w:tcW w:w="760" w:type="dxa"/>
            <w:vAlign w:val="bottom"/>
            <w:gridSpan w:val="2"/>
          </w:tcPr>
          <w:p>
            <w:pPr>
              <w:jc w:val="right"/>
              <w:ind w:right="340"/>
              <w:spacing w:after="0"/>
              <w:rPr>
                <w:sz w:val="20"/>
                <w:szCs w:val="20"/>
                <w:color w:val="auto"/>
              </w:rPr>
            </w:pPr>
            <w:r>
              <w:rPr>
                <w:rFonts w:ascii="Arial" w:cs="Arial" w:eastAsia="Arial" w:hAnsi="Arial"/>
                <w:sz w:val="18"/>
                <w:szCs w:val="18"/>
                <w:color w:val="auto"/>
                <w:w w:val="88"/>
              </w:rPr>
              <w:t>$ 715</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537"/>
              <w:spacing w:after="0"/>
              <w:rPr>
                <w:sz w:val="20"/>
                <w:szCs w:val="20"/>
                <w:color w:val="auto"/>
              </w:rPr>
            </w:pPr>
            <w:r>
              <w:rPr>
                <w:rFonts w:ascii="Arial" w:cs="Arial" w:eastAsia="Arial" w:hAnsi="Arial"/>
                <w:sz w:val="18"/>
                <w:szCs w:val="18"/>
                <w:color w:val="auto"/>
              </w:rPr>
              <w:t>(5)</w:t>
            </w: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Annualized first-year premiums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37"/>
              <w:spacing w:after="0"/>
              <w:rPr>
                <w:sz w:val="20"/>
                <w:szCs w:val="20"/>
                <w:color w:val="auto"/>
              </w:rPr>
            </w:pPr>
            <w:r>
              <w:rPr>
                <w:rFonts w:ascii="Arial" w:cs="Arial" w:eastAsia="Arial" w:hAnsi="Arial"/>
                <w:sz w:val="18"/>
                <w:szCs w:val="18"/>
                <w:color w:val="auto"/>
              </w:rPr>
              <w:t>(14)</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18</w:t>
            </w:r>
          </w:p>
        </w:tc>
        <w:tc>
          <w:tcPr>
            <w:tcW w:w="7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37</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37"/>
              <w:spacing w:after="0"/>
              <w:rPr>
                <w:sz w:val="20"/>
                <w:szCs w:val="20"/>
                <w:color w:val="auto"/>
              </w:rPr>
            </w:pPr>
            <w:r>
              <w:rPr>
                <w:rFonts w:ascii="Arial" w:cs="Arial" w:eastAsia="Arial" w:hAnsi="Arial"/>
                <w:sz w:val="18"/>
                <w:szCs w:val="18"/>
                <w:color w:val="auto"/>
              </w:rPr>
              <w:t>(19)</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tcPr>
          <w:p>
            <w:pPr>
              <w:ind w:left="420"/>
              <w:spacing w:after="0"/>
              <w:rPr>
                <w:sz w:val="20"/>
                <w:szCs w:val="20"/>
                <w:color w:val="auto"/>
              </w:rPr>
            </w:pPr>
            <w:r>
              <w:rPr>
                <w:rFonts w:ascii="Arial" w:cs="Arial" w:eastAsia="Arial" w:hAnsi="Arial"/>
                <w:sz w:val="18"/>
                <w:szCs w:val="18"/>
                <w:color w:val="auto"/>
              </w:rPr>
              <w:t>Annualized first-year deposits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34</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8</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right"/>
              <w:ind w:right="597"/>
              <w:spacing w:after="0"/>
              <w:rPr>
                <w:sz w:val="20"/>
                <w:szCs w:val="20"/>
                <w:color w:val="auto"/>
              </w:rPr>
            </w:pPr>
            <w:r>
              <w:rPr>
                <w:rFonts w:ascii="Arial" w:cs="Arial" w:eastAsia="Arial" w:hAnsi="Arial"/>
                <w:sz w:val="18"/>
                <w:szCs w:val="18"/>
                <w:color w:val="auto"/>
              </w:rPr>
              <w:t>26</w:t>
            </w:r>
          </w:p>
        </w:tc>
        <w:tc>
          <w:tcPr>
            <w:tcW w:w="780" w:type="dxa"/>
            <w:vAlign w:val="bottom"/>
            <w:gridSpan w:val="2"/>
          </w:tcPr>
          <w:p>
            <w:pPr>
              <w:jc w:val="right"/>
              <w:ind w:right="28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gridSpan w:val="2"/>
          </w:tcPr>
          <w:p>
            <w:pPr>
              <w:jc w:val="right"/>
              <w:ind w:right="360"/>
              <w:spacing w:after="0"/>
              <w:rPr>
                <w:sz w:val="20"/>
                <w:szCs w:val="20"/>
                <w:color w:val="auto"/>
              </w:rPr>
            </w:pPr>
            <w:r>
              <w:rPr>
                <w:rFonts w:ascii="Arial" w:cs="Arial" w:eastAsia="Arial" w:hAnsi="Arial"/>
                <w:sz w:val="18"/>
                <w:szCs w:val="18"/>
                <w:color w:val="auto"/>
              </w:rPr>
              <w:t>51</w:t>
            </w:r>
          </w:p>
        </w:tc>
        <w:tc>
          <w:tcPr>
            <w:tcW w:w="760" w:type="dxa"/>
            <w:vAlign w:val="bottom"/>
            <w:gridSpan w:val="2"/>
          </w:tcPr>
          <w:p>
            <w:pPr>
              <w:jc w:val="right"/>
              <w:ind w:right="340"/>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18"/>
                <w:szCs w:val="18"/>
                <w:color w:val="auto"/>
              </w:rPr>
            </w:pPr>
          </w:p>
        </w:tc>
        <w:tc>
          <w:tcPr>
            <w:tcW w:w="1140" w:type="dxa"/>
            <w:vAlign w:val="bottom"/>
          </w:tcPr>
          <w:p>
            <w:pPr>
              <w:jc w:val="right"/>
              <w:ind w:right="597"/>
              <w:spacing w:after="0"/>
              <w:rPr>
                <w:sz w:val="20"/>
                <w:szCs w:val="20"/>
                <w:color w:val="auto"/>
              </w:rPr>
            </w:pPr>
            <w:r>
              <w:rPr>
                <w:rFonts w:ascii="Arial" w:cs="Arial" w:eastAsia="Arial" w:hAnsi="Arial"/>
                <w:sz w:val="18"/>
                <w:szCs w:val="18"/>
                <w:color w:val="auto"/>
              </w:rPr>
              <w:t>34</w:t>
            </w:r>
          </w:p>
        </w:tc>
        <w:tc>
          <w:tcPr>
            <w:tcW w:w="620" w:type="dxa"/>
            <w:vAlign w:val="bottom"/>
            <w:gridSpan w:val="2"/>
          </w:tcPr>
          <w:p>
            <w:pPr>
              <w:jc w:val="right"/>
              <w:ind w:right="120"/>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Excess deposits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97"/>
              <w:spacing w:after="0"/>
              <w:rPr>
                <w:sz w:val="20"/>
                <w:szCs w:val="20"/>
                <w:color w:val="auto"/>
              </w:rPr>
            </w:pPr>
            <w:r>
              <w:rPr>
                <w:rFonts w:ascii="Arial" w:cs="Arial" w:eastAsia="Arial" w:hAnsi="Arial"/>
                <w:sz w:val="18"/>
                <w:szCs w:val="18"/>
                <w:color w:val="auto"/>
              </w:rPr>
              <w:t>5</w:t>
            </w:r>
          </w:p>
        </w:tc>
        <w:tc>
          <w:tcPr>
            <w:tcW w:w="7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48</w:t>
            </w:r>
          </w:p>
        </w:tc>
        <w:tc>
          <w:tcPr>
            <w:tcW w:w="7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51</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37"/>
              <w:spacing w:after="0"/>
              <w:rPr>
                <w:sz w:val="20"/>
                <w:szCs w:val="20"/>
                <w:color w:val="auto"/>
              </w:rPr>
            </w:pPr>
            <w:r>
              <w:rPr>
                <w:rFonts w:ascii="Arial" w:cs="Arial" w:eastAsia="Arial" w:hAnsi="Arial"/>
                <w:sz w:val="18"/>
                <w:szCs w:val="18"/>
                <w:color w:val="auto"/>
              </w:rPr>
              <w:t>(3)</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bl>
    <w:p>
      <w:pPr>
        <w:spacing w:after="0" w:line="110" w:lineRule="exact"/>
        <w:rPr>
          <w:sz w:val="20"/>
          <w:szCs w:val="20"/>
          <w:color w:val="auto"/>
        </w:rPr>
      </w:pPr>
    </w:p>
    <w:p>
      <w:pPr>
        <w:ind w:left="460" w:hanging="452"/>
        <w:spacing w:after="0"/>
        <w:tabs>
          <w:tab w:leader="none" w:pos="460" w:val="left"/>
        </w:tabs>
        <w:numPr>
          <w:ilvl w:val="0"/>
          <w:numId w:val="76"/>
        </w:numPr>
        <w:rPr>
          <w:rFonts w:ascii="Arial" w:cs="Arial" w:eastAsia="Arial" w:hAnsi="Arial"/>
          <w:sz w:val="22"/>
          <w:szCs w:val="22"/>
          <w:color w:val="auto"/>
          <w:vertAlign w:val="superscript"/>
        </w:rPr>
      </w:pPr>
      <w:r>
        <w:rPr>
          <w:rFonts w:ascii="Arial" w:cs="Arial" w:eastAsia="Arial" w:hAnsi="Arial"/>
          <w:sz w:val="18"/>
          <w:szCs w:val="18"/>
          <w:color w:val="auto"/>
        </w:rPr>
        <w:t>We define “NM” as not meaningful for increases or decreases greater than 200%.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66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4"/>
              </w:rPr>
              <w:t>Percentage</w:t>
            </w:r>
          </w:p>
        </w:tc>
        <w:tc>
          <w:tcPr>
            <w:tcW w:w="0" w:type="dxa"/>
            <w:vAlign w:val="bottom"/>
          </w:tcPr>
          <w:p>
            <w:pPr>
              <w:spacing w:after="0"/>
              <w:rPr>
                <w:sz w:val="1"/>
                <w:szCs w:val="1"/>
                <w:color w:val="auto"/>
              </w:rPr>
            </w:pPr>
          </w:p>
        </w:tc>
      </w:tr>
      <w:tr>
        <w:trPr>
          <w:trHeight w:val="161"/>
        </w:trPr>
        <w:tc>
          <w:tcPr>
            <w:tcW w:w="79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2320" w:type="dxa"/>
            <w:vAlign w:val="bottom"/>
            <w:gridSpan w:val="6"/>
          </w:tcPr>
          <w:p>
            <w:pPr>
              <w:ind w:left="420"/>
              <w:spacing w:after="0"/>
              <w:rPr>
                <w:sz w:val="20"/>
                <w:szCs w:val="20"/>
                <w:color w:val="auto"/>
              </w:rPr>
            </w:pPr>
            <w:r>
              <w:rPr>
                <w:rFonts w:ascii="Arial" w:cs="Arial" w:eastAsia="Arial" w:hAnsi="Arial"/>
                <w:sz w:val="14"/>
                <w:szCs w:val="14"/>
                <w:b w:val="1"/>
                <w:bCs w:val="1"/>
                <w:color w:val="auto"/>
              </w:rPr>
              <w:t>As of June 30,</w:t>
            </w: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1"/>
              </w:rPr>
              <w:t>change</w:t>
            </w:r>
          </w:p>
        </w:tc>
        <w:tc>
          <w:tcPr>
            <w:tcW w:w="0" w:type="dxa"/>
            <w:vAlign w:val="bottom"/>
          </w:tcPr>
          <w:p>
            <w:pPr>
              <w:spacing w:after="0"/>
              <w:rPr>
                <w:sz w:val="1"/>
                <w:szCs w:val="1"/>
                <w:color w:val="auto"/>
              </w:rPr>
            </w:pPr>
          </w:p>
        </w:tc>
      </w:tr>
      <w:tr>
        <w:trPr>
          <w:trHeight w:val="142"/>
        </w:trPr>
        <w:tc>
          <w:tcPr>
            <w:tcW w:w="7980" w:type="dxa"/>
            <w:vAlign w:val="bottom"/>
            <w:gridSpan w:val="3"/>
            <w:vMerge w:val="continue"/>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jc w:val="right"/>
              <w:ind w:right="136"/>
              <w:spacing w:after="0" w:line="142" w:lineRule="exact"/>
              <w:rPr>
                <w:sz w:val="20"/>
                <w:szCs w:val="20"/>
                <w:color w:val="auto"/>
              </w:rPr>
            </w:pPr>
            <w:r>
              <w:rPr>
                <w:rFonts w:ascii="Arial" w:cs="Arial" w:eastAsia="Arial" w:hAnsi="Arial"/>
                <w:sz w:val="14"/>
                <w:szCs w:val="14"/>
                <w:b w:val="1"/>
                <w:bCs w:val="1"/>
                <w:color w:val="auto"/>
              </w:rPr>
              <w:t>2010</w:t>
            </w:r>
          </w:p>
        </w:tc>
        <w:tc>
          <w:tcPr>
            <w:tcW w:w="26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2009</w:t>
            </w:r>
          </w:p>
        </w:tc>
        <w:tc>
          <w:tcPr>
            <w:tcW w:w="540" w:type="dxa"/>
            <w:vAlign w:val="bottom"/>
          </w:tcPr>
          <w:p>
            <w:pPr>
              <w:spacing w:after="0"/>
              <w:rPr>
                <w:sz w:val="12"/>
                <w:szCs w:val="12"/>
                <w:color w:val="auto"/>
              </w:rPr>
            </w:pPr>
          </w:p>
        </w:tc>
        <w:tc>
          <w:tcPr>
            <w:tcW w:w="7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6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Term life insurance</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tcPr>
          <w:p>
            <w:pPr>
              <w:ind w:left="420"/>
              <w:spacing w:after="0"/>
              <w:rPr>
                <w:sz w:val="20"/>
                <w:szCs w:val="20"/>
                <w:color w:val="auto"/>
              </w:rPr>
            </w:pPr>
            <w:r>
              <w:rPr>
                <w:rFonts w:ascii="Arial" w:cs="Arial" w:eastAsia="Arial" w:hAnsi="Arial"/>
                <w:sz w:val="18"/>
                <w:szCs w:val="18"/>
                <w:color w:val="auto"/>
              </w:rPr>
              <w:t>Life insurance in-force, net of reinsurance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w w:val="86"/>
              </w:rPr>
              <w:t>468,098</w:t>
            </w:r>
          </w:p>
        </w:tc>
        <w:tc>
          <w:tcPr>
            <w:tcW w:w="3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w w:val="86"/>
              </w:rPr>
              <w:t>477,759</w:t>
            </w: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Life insurance in-force before reinsurance</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6"/>
              </w:rPr>
              <w:t>612,284</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6"/>
              </w:rPr>
              <w:t>623,139</w:t>
            </w: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323"/>
        </w:trPr>
        <w:tc>
          <w:tcPr>
            <w:tcW w:w="7980" w:type="dxa"/>
            <w:vAlign w:val="bottom"/>
            <w:gridSpan w:val="3"/>
          </w:tcPr>
          <w:p>
            <w:pPr>
              <w:spacing w:after="0"/>
              <w:rPr>
                <w:sz w:val="20"/>
                <w:szCs w:val="20"/>
                <w:color w:val="auto"/>
              </w:rPr>
            </w:pPr>
            <w:r>
              <w:rPr>
                <w:rFonts w:ascii="Arial" w:cs="Arial" w:eastAsia="Arial" w:hAnsi="Arial"/>
                <w:sz w:val="18"/>
                <w:szCs w:val="18"/>
                <w:b w:val="1"/>
                <w:bCs w:val="1"/>
                <w:color w:val="auto"/>
              </w:rPr>
              <w:t>Term universal life insurance</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9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Life insurance in-force, net of reinsurance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17,754</w:t>
            </w:r>
          </w:p>
        </w:tc>
        <w:tc>
          <w:tcPr>
            <w:tcW w:w="3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960" w:type="dxa"/>
            <w:vAlign w:val="bottom"/>
            <w:gridSpan w:val="2"/>
          </w:tcPr>
          <w:p>
            <w:pPr>
              <w:ind w:left="420"/>
              <w:spacing w:after="0"/>
              <w:rPr>
                <w:sz w:val="20"/>
                <w:szCs w:val="20"/>
                <w:color w:val="auto"/>
              </w:rPr>
            </w:pPr>
            <w:r>
              <w:rPr>
                <w:rFonts w:ascii="Arial" w:cs="Arial" w:eastAsia="Arial" w:hAnsi="Arial"/>
                <w:sz w:val="18"/>
                <w:szCs w:val="18"/>
                <w:color w:val="auto"/>
              </w:rPr>
              <w:t>Life insurance in-force before reinsurance</w:t>
            </w:r>
          </w:p>
        </w:tc>
        <w:tc>
          <w:tcPr>
            <w:tcW w:w="100" w:type="dxa"/>
            <w:vAlign w:val="bottom"/>
          </w:tcPr>
          <w:p>
            <w:pPr>
              <w:spacing w:after="0"/>
              <w:rPr>
                <w:sz w:val="19"/>
                <w:szCs w:val="19"/>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17,820</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20" w:type="dxa"/>
            <w:vAlign w:val="bottom"/>
            <w:gridSpan w:val="2"/>
          </w:tcPr>
          <w:p>
            <w:pPr>
              <w:ind w:left="48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320" w:type="dxa"/>
            <w:vAlign w:val="bottom"/>
          </w:tcPr>
          <w:p>
            <w:pPr>
              <w:spacing w:after="0"/>
              <w:rPr>
                <w:sz w:val="8"/>
                <w:szCs w:val="8"/>
                <w:color w:val="auto"/>
              </w:rPr>
            </w:pPr>
          </w:p>
        </w:tc>
        <w:tc>
          <w:tcPr>
            <w:tcW w:w="664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5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Universal and whole life insurance</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tcPr>
          <w:p>
            <w:pPr>
              <w:ind w:left="420"/>
              <w:spacing w:after="0"/>
              <w:rPr>
                <w:sz w:val="20"/>
                <w:szCs w:val="20"/>
                <w:color w:val="auto"/>
              </w:rPr>
            </w:pPr>
            <w:r>
              <w:rPr>
                <w:rFonts w:ascii="Arial" w:cs="Arial" w:eastAsia="Arial" w:hAnsi="Arial"/>
                <w:sz w:val="18"/>
                <w:szCs w:val="18"/>
                <w:color w:val="auto"/>
              </w:rPr>
              <w:t>Life insurance in-force, net of reinsurance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43,743</w:t>
            </w:r>
          </w:p>
        </w:tc>
        <w:tc>
          <w:tcPr>
            <w:tcW w:w="3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43,800</w:t>
            </w:r>
          </w:p>
        </w:tc>
        <w:tc>
          <w:tcPr>
            <w:tcW w:w="1020" w:type="dxa"/>
            <w:vAlign w:val="bottom"/>
            <w:gridSpan w:val="2"/>
          </w:tcPr>
          <w:p>
            <w:pPr>
              <w:ind w:left="50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Life insurance in-force before reinsurance</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50,617</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50,994</w:t>
            </w: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323"/>
        </w:trPr>
        <w:tc>
          <w:tcPr>
            <w:tcW w:w="7980" w:type="dxa"/>
            <w:vAlign w:val="bottom"/>
            <w:gridSpan w:val="3"/>
          </w:tcPr>
          <w:p>
            <w:pPr>
              <w:spacing w:after="0"/>
              <w:rPr>
                <w:sz w:val="20"/>
                <w:szCs w:val="20"/>
                <w:color w:val="auto"/>
              </w:rPr>
            </w:pPr>
            <w:r>
              <w:rPr>
                <w:rFonts w:ascii="Arial" w:cs="Arial" w:eastAsia="Arial" w:hAnsi="Arial"/>
                <w:sz w:val="18"/>
                <w:szCs w:val="18"/>
                <w:b w:val="1"/>
                <w:bCs w:val="1"/>
                <w:color w:val="auto"/>
              </w:rPr>
              <w:t>Total life insurance</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9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Life insurance in-force, net of reinsurance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6"/>
              </w:rPr>
              <w:t>529,595</w:t>
            </w:r>
          </w:p>
        </w:tc>
        <w:tc>
          <w:tcPr>
            <w:tcW w:w="3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6"/>
              </w:rPr>
              <w:t>521,559</w:t>
            </w: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960" w:type="dxa"/>
            <w:vAlign w:val="bottom"/>
            <w:gridSpan w:val="2"/>
          </w:tcPr>
          <w:p>
            <w:pPr>
              <w:ind w:left="420"/>
              <w:spacing w:after="0"/>
              <w:rPr>
                <w:sz w:val="20"/>
                <w:szCs w:val="20"/>
                <w:color w:val="auto"/>
              </w:rPr>
            </w:pPr>
            <w:r>
              <w:rPr>
                <w:rFonts w:ascii="Arial" w:cs="Arial" w:eastAsia="Arial" w:hAnsi="Arial"/>
                <w:sz w:val="18"/>
                <w:szCs w:val="18"/>
                <w:color w:val="auto"/>
              </w:rPr>
              <w:t>Life insurance in-force before reinsurance</w:t>
            </w:r>
          </w:p>
        </w:tc>
        <w:tc>
          <w:tcPr>
            <w:tcW w:w="100" w:type="dxa"/>
            <w:vAlign w:val="bottom"/>
          </w:tcPr>
          <w:p>
            <w:pPr>
              <w:spacing w:after="0"/>
              <w:rPr>
                <w:sz w:val="19"/>
                <w:szCs w:val="19"/>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w w:val="86"/>
              </w:rPr>
              <w:t>680,721</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w w:val="86"/>
              </w:rPr>
              <w:t>674,133</w:t>
            </w: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bl>
    <w:p>
      <w:pPr>
        <w:spacing w:after="0" w:line="134" w:lineRule="exact"/>
        <w:rPr>
          <w:sz w:val="20"/>
          <w:szCs w:val="20"/>
          <w:color w:val="auto"/>
        </w:rPr>
      </w:pPr>
    </w:p>
    <w:p>
      <w:pPr>
        <w:ind w:left="5620" w:right="5260" w:hanging="5612"/>
        <w:spacing w:after="0" w:line="322" w:lineRule="auto"/>
        <w:tabs>
          <w:tab w:leader="none" w:pos="448" w:val="left"/>
        </w:tabs>
        <w:numPr>
          <w:ilvl w:val="0"/>
          <w:numId w:val="77"/>
        </w:numPr>
        <w:rPr>
          <w:rFonts w:ascii="Arial" w:cs="Arial" w:eastAsia="Arial" w:hAnsi="Arial"/>
          <w:sz w:val="19"/>
          <w:szCs w:val="19"/>
          <w:color w:val="auto"/>
          <w:vertAlign w:val="superscript"/>
        </w:rPr>
      </w:pPr>
      <w:r>
        <w:rPr>
          <w:rFonts w:ascii="Arial" w:cs="Arial" w:eastAsia="Arial" w:hAnsi="Arial"/>
          <w:sz w:val="15"/>
          <w:szCs w:val="15"/>
          <w:color w:val="auto"/>
        </w:rPr>
        <w:t>We define “NM” as not meaningful for increases or decreases greater than 200%. 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898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Term life insurance</w:t>
      </w:r>
    </w:p>
    <w:p>
      <w:pPr>
        <w:spacing w:after="0" w:line="90" w:lineRule="exact"/>
        <w:rPr>
          <w:sz w:val="20"/>
          <w:szCs w:val="20"/>
          <w:color w:val="auto"/>
        </w:rPr>
      </w:pPr>
    </w:p>
    <w:p>
      <w:pPr>
        <w:jc w:val="both"/>
        <w:ind w:right="140" w:firstLine="456"/>
        <w:spacing w:after="0" w:line="298" w:lineRule="auto"/>
        <w:rPr>
          <w:sz w:val="20"/>
          <w:szCs w:val="20"/>
          <w:color w:val="auto"/>
        </w:rPr>
      </w:pPr>
      <w:r>
        <w:rPr>
          <w:rFonts w:ascii="Arial" w:cs="Arial" w:eastAsia="Arial" w:hAnsi="Arial"/>
          <w:sz w:val="16"/>
          <w:szCs w:val="16"/>
          <w:color w:val="auto"/>
        </w:rPr>
        <w:t>Net earned premiums decreased mainly as a result of lower sales in the current year from the introduction of our term universal life insurance product that is designed to replace new sales of our existing term life insurance products and higher lapses on policies entering the post-level rate period. For the six months ended June 30, 2010, the decrease was also attributable to an unfavorable reinsurance adjustment of $8 million in the first quarter of 2010. Annualized first-year premiums decreased as we focused on sales of our new term universal life insurance product.</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Term universal life insurance</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late 2009, we introduced a new term universal life insurance product that is designed to replace new sales of our existing term life insurance products.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This new product provides greater flexibility typically associated with universal life insurance coverage.</w:t>
      </w:r>
    </w:p>
    <w:p>
      <w:pPr>
        <w:spacing w:after="0" w:line="24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Universal and whole life insurance</w:t>
      </w:r>
    </w:p>
    <w:p>
      <w:pPr>
        <w:spacing w:after="0" w:line="90" w:lineRule="exact"/>
        <w:rPr>
          <w:sz w:val="20"/>
          <w:szCs w:val="20"/>
          <w:color w:val="auto"/>
        </w:rPr>
      </w:pPr>
    </w:p>
    <w:p>
      <w:pPr>
        <w:ind w:right="300" w:firstLine="456"/>
        <w:spacing w:after="0" w:line="332" w:lineRule="auto"/>
        <w:rPr>
          <w:sz w:val="20"/>
          <w:szCs w:val="20"/>
          <w:color w:val="auto"/>
        </w:rPr>
      </w:pPr>
      <w:r>
        <w:rPr>
          <w:rFonts w:ascii="Arial" w:cs="Arial" w:eastAsia="Arial" w:hAnsi="Arial"/>
          <w:sz w:val="16"/>
          <w:szCs w:val="16"/>
          <w:color w:val="auto"/>
        </w:rPr>
        <w:t>Annualized first-year deposits remained relatively flat as we maintained our focus on smaller face amounts. The in-force block was relatively flat as the growth of our universal life insurance products was offset by the continued runoff of our closed block of whole life insurance.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Long-term care insurance</w:t>
      </w:r>
    </w:p>
    <w:p>
      <w:pPr>
        <w:spacing w:after="0" w:line="90"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The following table sets forth selected financial and operating performance measures regarding our long-term care insurance business, which includes individual and group long-term care insurance, Medicare supplement insurance, linked-benefits products, as well as several runoff blocks of accident and health insurance for the periods indicated:</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jc w:val="center"/>
              <w:ind w:right="112"/>
              <w:spacing w:after="0"/>
              <w:rPr>
                <w:sz w:val="20"/>
                <w:szCs w:val="20"/>
                <w:color w:val="auto"/>
              </w:rPr>
            </w:pPr>
            <w:r>
              <w:rPr>
                <w:rFonts w:ascii="Arial" w:cs="Arial" w:eastAsia="Arial" w:hAnsi="Arial"/>
                <w:sz w:val="14"/>
                <w:szCs w:val="14"/>
                <w:b w:val="1"/>
                <w:bCs w:val="1"/>
                <w:color w:val="auto"/>
                <w:w w:val="84"/>
              </w:rPr>
              <w:t>Increase</w:t>
            </w: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jc w:val="center"/>
              <w:spacing w:after="0"/>
              <w:rPr>
                <w:sz w:val="20"/>
                <w:szCs w:val="20"/>
                <w:color w:val="auto"/>
              </w:rPr>
            </w:pPr>
            <w:r>
              <w:rPr>
                <w:rFonts w:ascii="Arial" w:cs="Arial" w:eastAsia="Arial" w:hAnsi="Arial"/>
                <w:sz w:val="14"/>
                <w:szCs w:val="14"/>
                <w:b w:val="1"/>
                <w:bCs w:val="1"/>
                <w:color w:val="auto"/>
                <w:w w:val="84"/>
              </w:rPr>
              <w:t>Increase</w:t>
            </w: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left="21"/>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4"/>
          </w:tcPr>
          <w:p>
            <w:pPr>
              <w:jc w:val="right"/>
              <w:ind w:right="56"/>
              <w:spacing w:after="0" w:line="149" w:lineRule="exact"/>
              <w:rPr>
                <w:sz w:val="20"/>
                <w:szCs w:val="20"/>
                <w:color w:val="auto"/>
              </w:rPr>
            </w:pPr>
            <w:r>
              <w:rPr>
                <w:rFonts w:ascii="Arial" w:cs="Arial" w:eastAsia="Arial" w:hAnsi="Arial"/>
                <w:sz w:val="14"/>
                <w:szCs w:val="14"/>
                <w:b w:val="1"/>
                <w:bCs w:val="1"/>
                <w:color w:val="auto"/>
                <w:w w:val="87"/>
              </w:rPr>
              <w:t>Three months ended</w:t>
            </w: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left="21"/>
              <w:spacing w:after="0" w:line="149" w:lineRule="exact"/>
              <w:rPr>
                <w:sz w:val="20"/>
                <w:szCs w:val="20"/>
                <w:color w:val="auto"/>
              </w:rPr>
            </w:pPr>
            <w:r>
              <w:rPr>
                <w:rFonts w:ascii="Arial" w:cs="Arial" w:eastAsia="Arial" w:hAnsi="Arial"/>
                <w:sz w:val="14"/>
                <w:szCs w:val="14"/>
                <w:b w:val="1"/>
                <w:bCs w:val="1"/>
                <w:color w:val="auto"/>
                <w:w w:val="85"/>
              </w:rPr>
              <w:t>percentage</w:t>
            </w: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gridSpan w:val="5"/>
          </w:tcPr>
          <w:p>
            <w:pPr>
              <w:jc w:val="right"/>
              <w:ind w:right="116"/>
              <w:spacing w:after="0" w:line="149" w:lineRule="exact"/>
              <w:rPr>
                <w:sz w:val="20"/>
                <w:szCs w:val="20"/>
                <w:color w:val="auto"/>
              </w:rPr>
            </w:pPr>
            <w:r>
              <w:rPr>
                <w:rFonts w:ascii="Arial" w:cs="Arial" w:eastAsia="Arial" w:hAnsi="Arial"/>
                <w:sz w:val="14"/>
                <w:szCs w:val="14"/>
                <w:b w:val="1"/>
                <w:bCs w:val="1"/>
                <w:color w:val="auto"/>
                <w:w w:val="91"/>
              </w:rPr>
              <w:t>Six months ended</w:t>
            </w: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2"/>
              </w:rPr>
              <w:t>percentage</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43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June 30,</w:t>
            </w:r>
          </w:p>
        </w:tc>
        <w:tc>
          <w:tcPr>
            <w:tcW w:w="46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81"/>
              </w:rPr>
              <w:t>change</w:t>
            </w:r>
          </w:p>
        </w:tc>
        <w:tc>
          <w:tcPr>
            <w:tcW w:w="28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4"/>
          </w:tcPr>
          <w:p>
            <w:pPr>
              <w:jc w:val="right"/>
              <w:ind w:right="60"/>
              <w:spacing w:after="0"/>
              <w:rPr>
                <w:sz w:val="20"/>
                <w:szCs w:val="20"/>
                <w:color w:val="auto"/>
              </w:rPr>
            </w:pPr>
            <w:r>
              <w:rPr>
                <w:rFonts w:ascii="Arial" w:cs="Arial" w:eastAsia="Arial" w:hAnsi="Arial"/>
                <w:sz w:val="14"/>
                <w:szCs w:val="14"/>
                <w:b w:val="1"/>
                <w:bCs w:val="1"/>
                <w:color w:val="auto"/>
              </w:rPr>
              <w:t>June 30,</w:t>
            </w:r>
          </w:p>
        </w:tc>
        <w:tc>
          <w:tcPr>
            <w:tcW w:w="420" w:type="dxa"/>
            <w:vAlign w:val="bottom"/>
            <w:tcBorders>
              <w:bottom w:val="single" w:sz="8" w:color="auto"/>
            </w:tcBorders>
          </w:tcPr>
          <w:p>
            <w:pPr>
              <w:spacing w:after="0"/>
              <w:rPr>
                <w:sz w:val="14"/>
                <w:szCs w:val="14"/>
                <w:color w:val="auto"/>
              </w:rPr>
            </w:pPr>
          </w:p>
        </w:tc>
        <w:tc>
          <w:tcPr>
            <w:tcW w:w="3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1"/>
              </w:rPr>
              <w:t>change</w:t>
            </w:r>
          </w:p>
        </w:tc>
        <w:tc>
          <w:tcPr>
            <w:tcW w:w="2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38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jc w:val="right"/>
              <w:ind w:right="61"/>
              <w:spacing w:after="0" w:line="142" w:lineRule="exact"/>
              <w:rPr>
                <w:sz w:val="20"/>
                <w:szCs w:val="20"/>
                <w:color w:val="auto"/>
              </w:rPr>
            </w:pPr>
            <w:r>
              <w:rPr>
                <w:rFonts w:ascii="Arial" w:cs="Arial" w:eastAsia="Arial" w:hAnsi="Arial"/>
                <w:sz w:val="14"/>
                <w:szCs w:val="14"/>
                <w:b w:val="1"/>
                <w:bCs w:val="1"/>
                <w:color w:val="auto"/>
                <w:w w:val="89"/>
              </w:rPr>
              <w:t>2010</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ind w:right="76"/>
              <w:spacing w:after="0" w:line="142" w:lineRule="exact"/>
              <w:rPr>
                <w:sz w:val="20"/>
                <w:szCs w:val="20"/>
                <w:color w:val="auto"/>
              </w:rPr>
            </w:pPr>
            <w:r>
              <w:rPr>
                <w:rFonts w:ascii="Arial" w:cs="Arial" w:eastAsia="Arial" w:hAnsi="Arial"/>
                <w:sz w:val="14"/>
                <w:szCs w:val="14"/>
                <w:b w:val="1"/>
                <w:bCs w:val="1"/>
                <w:color w:val="auto"/>
                <w:w w:val="89"/>
              </w:rPr>
              <w:t>2009</w:t>
            </w: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left="21"/>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61"/>
              <w:spacing w:after="0" w:line="142" w:lineRule="exact"/>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56"/>
              <w:spacing w:after="0" w:line="142" w:lineRule="exact"/>
              <w:rPr>
                <w:sz w:val="20"/>
                <w:szCs w:val="20"/>
                <w:color w:val="auto"/>
              </w:rPr>
            </w:pPr>
            <w:r>
              <w:rPr>
                <w:rFonts w:ascii="Arial" w:cs="Arial" w:eastAsia="Arial" w:hAnsi="Arial"/>
                <w:sz w:val="14"/>
                <w:szCs w:val="14"/>
                <w:b w:val="1"/>
                <w:bCs w:val="1"/>
                <w:color w:val="auto"/>
                <w:w w:val="83"/>
              </w:rPr>
              <w:t>2009</w:t>
            </w: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earned premiums:</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2"/>
          </w:tcPr>
          <w:p>
            <w:pPr>
              <w:ind w:left="420"/>
              <w:spacing w:after="0"/>
              <w:rPr>
                <w:sz w:val="20"/>
                <w:szCs w:val="20"/>
                <w:color w:val="auto"/>
              </w:rPr>
            </w:pPr>
            <w:r>
              <w:rPr>
                <w:rFonts w:ascii="Arial" w:cs="Arial" w:eastAsia="Arial" w:hAnsi="Arial"/>
                <w:sz w:val="18"/>
                <w:szCs w:val="18"/>
                <w:color w:val="auto"/>
              </w:rPr>
              <w:t>Long-term care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480</w:t>
            </w:r>
          </w:p>
        </w:tc>
        <w:tc>
          <w:tcPr>
            <w:tcW w:w="4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478</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rPr>
              <w:t>2</w:t>
            </w:r>
          </w:p>
        </w:tc>
        <w:tc>
          <w:tcPr>
            <w:tcW w:w="660" w:type="dxa"/>
            <w:vAlign w:val="bottom"/>
          </w:tcPr>
          <w:p>
            <w:pPr>
              <w:spacing w:after="0"/>
              <w:rPr>
                <w:sz w:val="18"/>
                <w:szCs w:val="18"/>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 %</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60"/>
              <w:spacing w:after="0"/>
              <w:rPr>
                <w:sz w:val="20"/>
                <w:szCs w:val="20"/>
                <w:color w:val="auto"/>
              </w:rPr>
            </w:pPr>
            <w:r>
              <w:rPr>
                <w:rFonts w:ascii="Arial" w:cs="Arial" w:eastAsia="Arial" w:hAnsi="Arial"/>
                <w:sz w:val="18"/>
                <w:szCs w:val="18"/>
                <w:color w:val="auto"/>
              </w:rPr>
              <w:t>959</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953</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540"/>
              <w:spacing w:after="0"/>
              <w:rPr>
                <w:sz w:val="20"/>
                <w:szCs w:val="20"/>
                <w:color w:val="auto"/>
              </w:rPr>
            </w:pPr>
            <w:r>
              <w:rPr>
                <w:rFonts w:ascii="Arial" w:cs="Arial" w:eastAsia="Arial" w:hAnsi="Arial"/>
                <w:sz w:val="18"/>
                <w:szCs w:val="18"/>
                <w:color w:val="auto"/>
              </w:rPr>
              <w:t>6</w:t>
            </w:r>
          </w:p>
        </w:tc>
        <w:tc>
          <w:tcPr>
            <w:tcW w:w="400" w:type="dxa"/>
            <w:vAlign w:val="bottom"/>
            <w:gridSpan w:val="2"/>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Medicare supplement and other</w:t>
            </w:r>
          </w:p>
        </w:tc>
        <w:tc>
          <w:tcPr>
            <w:tcW w:w="12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3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3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6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w:t>
            </w:r>
          </w:p>
        </w:tc>
        <w:tc>
          <w:tcPr>
            <w:tcW w:w="2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w:t>
            </w:r>
          </w:p>
        </w:tc>
        <w:tc>
          <w:tcPr>
            <w:tcW w:w="3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54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8"/>
              </w:rPr>
              <w:t>11%</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360" w:type="dxa"/>
            <w:vAlign w:val="bottom"/>
            <w:gridSpan w:val="2"/>
          </w:tcPr>
          <w:p>
            <w:pPr>
              <w:ind w:left="420"/>
              <w:spacing w:after="0"/>
              <w:rPr>
                <w:sz w:val="20"/>
                <w:szCs w:val="20"/>
                <w:color w:val="auto"/>
              </w:rPr>
            </w:pPr>
            <w:r>
              <w:rPr>
                <w:rFonts w:ascii="Arial" w:cs="Arial" w:eastAsia="Arial" w:hAnsi="Arial"/>
                <w:sz w:val="18"/>
                <w:szCs w:val="18"/>
                <w:color w:val="auto"/>
              </w:rPr>
              <w:t>Total</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558</w:t>
            </w:r>
          </w:p>
        </w:tc>
        <w:tc>
          <w:tcPr>
            <w:tcW w:w="4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550</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rPr>
              <w:t>8</w:t>
            </w:r>
          </w:p>
        </w:tc>
        <w:tc>
          <w:tcPr>
            <w:tcW w:w="660" w:type="dxa"/>
            <w:vAlign w:val="bottom"/>
          </w:tcPr>
          <w:p>
            <w:pPr>
              <w:spacing w:after="0"/>
              <w:rPr>
                <w:sz w:val="19"/>
                <w:szCs w:val="19"/>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1%</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60"/>
              <w:spacing w:after="0"/>
              <w:rPr>
                <w:sz w:val="20"/>
                <w:szCs w:val="20"/>
                <w:color w:val="auto"/>
              </w:rPr>
            </w:pPr>
            <w:r>
              <w:rPr>
                <w:rFonts w:ascii="Arial" w:cs="Arial" w:eastAsia="Arial" w:hAnsi="Arial"/>
                <w:sz w:val="18"/>
                <w:szCs w:val="18"/>
                <w:color w:val="auto"/>
                <w:w w:val="93"/>
              </w:rPr>
              <w:t>1,117</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tcPr>
          <w:p>
            <w:pPr>
              <w:jc w:val="right"/>
              <w:spacing w:after="0"/>
              <w:rPr>
                <w:sz w:val="20"/>
                <w:szCs w:val="20"/>
                <w:color w:val="auto"/>
              </w:rPr>
            </w:pPr>
            <w:r>
              <w:rPr>
                <w:rFonts w:ascii="Arial" w:cs="Arial" w:eastAsia="Arial" w:hAnsi="Arial"/>
                <w:sz w:val="18"/>
                <w:szCs w:val="18"/>
                <w:color w:val="auto"/>
                <w:w w:val="88"/>
              </w:rPr>
              <w:t>1,095</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540"/>
              <w:spacing w:after="0"/>
              <w:rPr>
                <w:sz w:val="20"/>
                <w:szCs w:val="20"/>
                <w:color w:val="auto"/>
              </w:rPr>
            </w:pPr>
            <w:r>
              <w:rPr>
                <w:rFonts w:ascii="Arial" w:cs="Arial" w:eastAsia="Arial" w:hAnsi="Arial"/>
                <w:sz w:val="18"/>
                <w:szCs w:val="18"/>
                <w:color w:val="auto"/>
              </w:rPr>
              <w:t>22</w:t>
            </w:r>
          </w:p>
        </w:tc>
        <w:tc>
          <w:tcPr>
            <w:tcW w:w="40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4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Annualized first-year premiums and deposits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6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36%</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127</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36</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8"/>
              </w:rPr>
              <w:t>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320" w:firstLine="456"/>
        <w:spacing w:after="0" w:line="259" w:lineRule="auto"/>
        <w:rPr>
          <w:sz w:val="20"/>
          <w:szCs w:val="20"/>
          <w:color w:val="auto"/>
        </w:rPr>
      </w:pPr>
      <w:r>
        <w:rPr>
          <w:rFonts w:ascii="Arial" w:cs="Arial" w:eastAsia="Arial" w:hAnsi="Arial"/>
          <w:sz w:val="18"/>
          <w:szCs w:val="18"/>
          <w:color w:val="auto"/>
        </w:rPr>
        <w:t>Net earned premiums increased mainly attributable to growth of our in-force block from new sales, renewal premiums and in-force rate actions. The increase in annualized first-year premiums and deposits was primarily attributable to growth of our individual and group long-term care insurance and linked-benefits products.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Wealth management</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sets forth selected financial performance measures regarding our wealth management business as of or for the dates indicated:</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3180" w:type="dxa"/>
            <w:vAlign w:val="bottom"/>
          </w:tcPr>
          <w:p>
            <w:pPr>
              <w:spacing w:after="0"/>
              <w:rPr>
                <w:sz w:val="14"/>
                <w:szCs w:val="14"/>
                <w:color w:val="auto"/>
              </w:rPr>
            </w:pPr>
          </w:p>
        </w:tc>
        <w:tc>
          <w:tcPr>
            <w:tcW w:w="2040" w:type="dxa"/>
            <w:vAlign w:val="bottom"/>
            <w:gridSpan w:val="4"/>
          </w:tcPr>
          <w:p>
            <w:pPr>
              <w:jc w:val="right"/>
              <w:ind w:right="620"/>
              <w:spacing w:after="0"/>
              <w:rPr>
                <w:sz w:val="20"/>
                <w:szCs w:val="20"/>
                <w:color w:val="auto"/>
              </w:rPr>
            </w:pPr>
            <w:r>
              <w:rPr>
                <w:rFonts w:ascii="Arial" w:cs="Arial" w:eastAsia="Arial" w:hAnsi="Arial"/>
                <w:sz w:val="14"/>
                <w:szCs w:val="14"/>
                <w:b w:val="1"/>
                <w:bCs w:val="1"/>
                <w:color w:val="auto"/>
              </w:rPr>
              <w:t>As of or for the three</w:t>
            </w:r>
          </w:p>
        </w:tc>
        <w:tc>
          <w:tcPr>
            <w:tcW w:w="1720" w:type="dxa"/>
            <w:vAlign w:val="bottom"/>
            <w:gridSpan w:val="5"/>
          </w:tcPr>
          <w:p>
            <w:pPr>
              <w:ind w:left="280"/>
              <w:spacing w:after="0"/>
              <w:rPr>
                <w:sz w:val="20"/>
                <w:szCs w:val="20"/>
                <w:color w:val="auto"/>
              </w:rPr>
            </w:pPr>
            <w:r>
              <w:rPr>
                <w:rFonts w:ascii="Arial" w:cs="Arial" w:eastAsia="Arial" w:hAnsi="Arial"/>
                <w:sz w:val="14"/>
                <w:szCs w:val="14"/>
                <w:b w:val="1"/>
                <w:bCs w:val="1"/>
                <w:color w:val="auto"/>
              </w:rPr>
              <w:t>As of or for the six</w:t>
            </w:r>
          </w:p>
        </w:tc>
        <w:tc>
          <w:tcPr>
            <w:tcW w:w="0" w:type="dxa"/>
            <w:vAlign w:val="bottom"/>
          </w:tcPr>
          <w:p>
            <w:pPr>
              <w:spacing w:after="0"/>
              <w:rPr>
                <w:sz w:val="1"/>
                <w:szCs w:val="1"/>
                <w:color w:val="auto"/>
              </w:rPr>
            </w:pPr>
          </w:p>
        </w:tc>
      </w:tr>
      <w:tr>
        <w:trPr>
          <w:trHeight w:val="161"/>
        </w:trPr>
        <w:tc>
          <w:tcPr>
            <w:tcW w:w="44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3180" w:type="dxa"/>
            <w:vAlign w:val="bottom"/>
          </w:tcPr>
          <w:p>
            <w:pPr>
              <w:spacing w:after="0"/>
              <w:rPr>
                <w:sz w:val="14"/>
                <w:szCs w:val="14"/>
                <w:color w:val="auto"/>
              </w:rPr>
            </w:pPr>
          </w:p>
        </w:tc>
        <w:tc>
          <w:tcPr>
            <w:tcW w:w="2040" w:type="dxa"/>
            <w:vAlign w:val="bottom"/>
            <w:gridSpan w:val="4"/>
          </w:tcPr>
          <w:p>
            <w:pPr>
              <w:jc w:val="right"/>
              <w:ind w:right="580"/>
              <w:spacing w:after="0"/>
              <w:rPr>
                <w:sz w:val="20"/>
                <w:szCs w:val="20"/>
                <w:color w:val="auto"/>
              </w:rPr>
            </w:pPr>
            <w:r>
              <w:rPr>
                <w:rFonts w:ascii="Arial" w:cs="Arial" w:eastAsia="Arial" w:hAnsi="Arial"/>
                <w:sz w:val="14"/>
                <w:szCs w:val="14"/>
                <w:b w:val="1"/>
                <w:bCs w:val="1"/>
                <w:color w:val="auto"/>
                <w:w w:val="92"/>
              </w:rPr>
              <w:t>months ended June 30,</w:t>
            </w:r>
          </w:p>
        </w:tc>
        <w:tc>
          <w:tcPr>
            <w:tcW w:w="1720" w:type="dxa"/>
            <w:vAlign w:val="bottom"/>
            <w:gridSpan w:val="5"/>
          </w:tcPr>
          <w:p>
            <w:pPr>
              <w:ind w:left="140"/>
              <w:spacing w:after="0"/>
              <w:rPr>
                <w:sz w:val="20"/>
                <w:szCs w:val="20"/>
                <w:color w:val="auto"/>
              </w:rPr>
            </w:pPr>
            <w:r>
              <w:rPr>
                <w:rFonts w:ascii="Arial" w:cs="Arial" w:eastAsia="Arial" w:hAnsi="Arial"/>
                <w:sz w:val="14"/>
                <w:szCs w:val="14"/>
                <w:b w:val="1"/>
                <w:bCs w:val="1"/>
                <w:color w:val="auto"/>
              </w:rPr>
              <w:t>months ended June 30,</w:t>
            </w:r>
          </w:p>
        </w:tc>
        <w:tc>
          <w:tcPr>
            <w:tcW w:w="0" w:type="dxa"/>
            <w:vAlign w:val="bottom"/>
          </w:tcPr>
          <w:p>
            <w:pPr>
              <w:spacing w:after="0"/>
              <w:rPr>
                <w:sz w:val="1"/>
                <w:szCs w:val="1"/>
                <w:color w:val="auto"/>
              </w:rPr>
            </w:pPr>
          </w:p>
        </w:tc>
      </w:tr>
      <w:tr>
        <w:trPr>
          <w:trHeight w:val="142"/>
        </w:trPr>
        <w:tc>
          <w:tcPr>
            <w:tcW w:w="4480" w:type="dxa"/>
            <w:vAlign w:val="bottom"/>
            <w:gridSpan w:val="3"/>
            <w:vMerge w:val="continue"/>
          </w:tcPr>
          <w:p>
            <w:pPr>
              <w:spacing w:after="0"/>
              <w:rPr>
                <w:sz w:val="12"/>
                <w:szCs w:val="12"/>
                <w:color w:val="auto"/>
              </w:rPr>
            </w:pPr>
          </w:p>
        </w:tc>
        <w:tc>
          <w:tcPr>
            <w:tcW w:w="3180" w:type="dxa"/>
            <w:vAlign w:val="bottom"/>
          </w:tcPr>
          <w:p>
            <w:pPr>
              <w:spacing w:after="0"/>
              <w:rPr>
                <w:sz w:val="12"/>
                <w:szCs w:val="12"/>
                <w:color w:val="auto"/>
              </w:rPr>
            </w:pPr>
          </w:p>
        </w:tc>
        <w:tc>
          <w:tcPr>
            <w:tcW w:w="580" w:type="dxa"/>
            <w:vAlign w:val="bottom"/>
            <w:tcBorders>
              <w:top w:val="single" w:sz="8" w:color="auto"/>
            </w:tcBorders>
          </w:tcPr>
          <w:p>
            <w:pPr>
              <w:jc w:val="right"/>
              <w:ind w:right="61"/>
              <w:spacing w:after="0" w:line="142" w:lineRule="exact"/>
              <w:rPr>
                <w:sz w:val="20"/>
                <w:szCs w:val="20"/>
                <w:color w:val="auto"/>
              </w:rPr>
            </w:pPr>
            <w:r>
              <w:rPr>
                <w:rFonts w:ascii="Arial" w:cs="Arial" w:eastAsia="Arial" w:hAnsi="Arial"/>
                <w:sz w:val="14"/>
                <w:szCs w:val="14"/>
                <w:b w:val="1"/>
                <w:bCs w:val="1"/>
                <w:color w:val="auto"/>
              </w:rPr>
              <w:t>2010</w:t>
            </w:r>
          </w:p>
        </w:tc>
        <w:tc>
          <w:tcPr>
            <w:tcW w:w="44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75"/>
              <w:spacing w:after="0" w:line="142" w:lineRule="exact"/>
              <w:rPr>
                <w:sz w:val="20"/>
                <w:szCs w:val="20"/>
                <w:color w:val="auto"/>
              </w:rPr>
            </w:pPr>
            <w:r>
              <w:rPr>
                <w:rFonts w:ascii="Arial" w:cs="Arial" w:eastAsia="Arial" w:hAnsi="Arial"/>
                <w:sz w:val="14"/>
                <w:szCs w:val="14"/>
                <w:b w:val="1"/>
                <w:bCs w:val="1"/>
                <w:color w:val="auto"/>
              </w:rPr>
              <w:t>2009</w:t>
            </w:r>
          </w:p>
        </w:tc>
        <w:tc>
          <w:tcPr>
            <w:tcW w:w="420" w:type="dxa"/>
            <w:vAlign w:val="bottom"/>
          </w:tcPr>
          <w:p>
            <w:pPr>
              <w:spacing w:after="0"/>
              <w:rPr>
                <w:sz w:val="12"/>
                <w:szCs w:val="12"/>
                <w:color w:val="auto"/>
              </w:rPr>
            </w:pPr>
          </w:p>
        </w:tc>
        <w:tc>
          <w:tcPr>
            <w:tcW w:w="580" w:type="dxa"/>
            <w:vAlign w:val="bottom"/>
            <w:tcBorders>
              <w:top w:val="single" w:sz="8" w:color="auto"/>
            </w:tcBorders>
          </w:tcPr>
          <w:p>
            <w:pPr>
              <w:ind w:left="160"/>
              <w:spacing w:after="0" w:line="142" w:lineRule="exact"/>
              <w:rPr>
                <w:sz w:val="20"/>
                <w:szCs w:val="20"/>
                <w:color w:val="auto"/>
              </w:rPr>
            </w:pPr>
            <w:r>
              <w:rPr>
                <w:rFonts w:ascii="Arial" w:cs="Arial" w:eastAsia="Arial" w:hAnsi="Arial"/>
                <w:sz w:val="14"/>
                <w:szCs w:val="14"/>
                <w:b w:val="1"/>
                <w:bCs w:val="1"/>
                <w:color w:val="auto"/>
              </w:rPr>
              <w:t>2010</w:t>
            </w:r>
          </w:p>
        </w:tc>
        <w:tc>
          <w:tcPr>
            <w:tcW w:w="26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gridSpan w:val="2"/>
          </w:tcPr>
          <w:p>
            <w:pPr>
              <w:jc w:val="right"/>
              <w:ind w:right="180"/>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Assets under management, beginning of period</w:t>
            </w:r>
          </w:p>
        </w:tc>
        <w:tc>
          <w:tcPr>
            <w:tcW w:w="3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$20,037</w:t>
            </w:r>
          </w:p>
        </w:tc>
        <w:tc>
          <w:tcPr>
            <w:tcW w:w="4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2"/>
              </w:rPr>
              <w:t>$ 14,210</w:t>
            </w:r>
          </w:p>
        </w:tc>
        <w:tc>
          <w:tcPr>
            <w:tcW w:w="4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6"/>
              </w:rPr>
              <w:t>$18,865</w:t>
            </w:r>
          </w:p>
        </w:tc>
        <w:tc>
          <w:tcPr>
            <w:tcW w:w="8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$ 15,447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gridSpan w:val="2"/>
          </w:tcPr>
          <w:p>
            <w:pPr>
              <w:ind w:left="420"/>
              <w:spacing w:after="0"/>
              <w:rPr>
                <w:sz w:val="20"/>
                <w:szCs w:val="20"/>
                <w:color w:val="auto"/>
              </w:rPr>
            </w:pPr>
            <w:r>
              <w:rPr>
                <w:rFonts w:ascii="Arial" w:cs="Arial" w:eastAsia="Arial" w:hAnsi="Arial"/>
                <w:sz w:val="18"/>
                <w:szCs w:val="18"/>
                <w:color w:val="auto"/>
              </w:rPr>
              <w:t>Gross flows</w:t>
            </w:r>
          </w:p>
        </w:tc>
        <w:tc>
          <w:tcPr>
            <w:tcW w:w="3760" w:type="dxa"/>
            <w:vAlign w:val="bottom"/>
            <w:gridSpan w:val="2"/>
          </w:tcPr>
          <w:p>
            <w:pPr>
              <w:jc w:val="right"/>
              <w:spacing w:after="0"/>
              <w:rPr>
                <w:sz w:val="20"/>
                <w:szCs w:val="20"/>
                <w:color w:val="auto"/>
              </w:rPr>
            </w:pPr>
            <w:r>
              <w:rPr>
                <w:rFonts w:ascii="Arial" w:cs="Arial" w:eastAsia="Arial" w:hAnsi="Arial"/>
                <w:sz w:val="18"/>
                <w:szCs w:val="18"/>
                <w:color w:val="auto"/>
              </w:rPr>
              <w:t>1,362</w:t>
            </w:r>
          </w:p>
        </w:tc>
        <w:tc>
          <w:tcPr>
            <w:tcW w:w="4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1,113</w:t>
            </w:r>
          </w:p>
        </w:tc>
        <w:tc>
          <w:tcPr>
            <w:tcW w:w="420" w:type="dxa"/>
            <w:vAlign w:val="bottom"/>
          </w:tcPr>
          <w:p>
            <w:pPr>
              <w:spacing w:after="0"/>
              <w:rPr>
                <w:sz w:val="18"/>
                <w:szCs w:val="18"/>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2,837</w:t>
            </w:r>
          </w:p>
        </w:tc>
        <w:tc>
          <w:tcPr>
            <w:tcW w:w="880" w:type="dxa"/>
            <w:vAlign w:val="bottom"/>
            <w:gridSpan w:val="3"/>
          </w:tcPr>
          <w:p>
            <w:pPr>
              <w:jc w:val="right"/>
              <w:ind w:right="100"/>
              <w:spacing w:after="0"/>
              <w:rPr>
                <w:sz w:val="20"/>
                <w:szCs w:val="20"/>
                <w:color w:val="auto"/>
              </w:rPr>
            </w:pPr>
            <w:r>
              <w:rPr>
                <w:rFonts w:ascii="Arial" w:cs="Arial" w:eastAsia="Arial" w:hAnsi="Arial"/>
                <w:sz w:val="18"/>
                <w:szCs w:val="18"/>
                <w:color w:val="auto"/>
              </w:rPr>
              <w:t>1,909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Redemptions</w:t>
            </w:r>
          </w:p>
        </w:tc>
        <w:tc>
          <w:tcPr>
            <w:tcW w:w="31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(926)</w:t>
            </w: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(953)</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(1,897)</w:t>
            </w:r>
          </w:p>
        </w:tc>
        <w:tc>
          <w:tcPr>
            <w:tcW w:w="8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(2,227)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gridSpan w:val="2"/>
            <w:vMerge w:val="restart"/>
          </w:tcPr>
          <w:p>
            <w:pPr>
              <w:ind w:left="860"/>
              <w:spacing w:after="0"/>
              <w:rPr>
                <w:sz w:val="20"/>
                <w:szCs w:val="20"/>
                <w:color w:val="auto"/>
              </w:rPr>
            </w:pPr>
            <w:r>
              <w:rPr>
                <w:rFonts w:ascii="Arial" w:cs="Arial" w:eastAsia="Arial" w:hAnsi="Arial"/>
                <w:sz w:val="18"/>
                <w:szCs w:val="18"/>
                <w:color w:val="auto"/>
              </w:rPr>
              <w:t>Net flows</w:t>
            </w:r>
          </w:p>
        </w:tc>
        <w:tc>
          <w:tcPr>
            <w:tcW w:w="31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4460" w:type="dxa"/>
            <w:vAlign w:val="bottom"/>
            <w:gridSpan w:val="2"/>
            <w:vMerge w:val="continue"/>
          </w:tcPr>
          <w:p>
            <w:pPr>
              <w:spacing w:after="0"/>
              <w:rPr>
                <w:sz w:val="19"/>
                <w:szCs w:val="19"/>
                <w:color w:val="auto"/>
              </w:rPr>
            </w:pPr>
          </w:p>
        </w:tc>
        <w:tc>
          <w:tcPr>
            <w:tcW w:w="31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436</w:t>
            </w:r>
          </w:p>
        </w:tc>
        <w:tc>
          <w:tcPr>
            <w:tcW w:w="4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160</w:t>
            </w:r>
          </w:p>
        </w:tc>
        <w:tc>
          <w:tcPr>
            <w:tcW w:w="420" w:type="dxa"/>
            <w:vAlign w:val="bottom"/>
          </w:tcPr>
          <w:p>
            <w:pPr>
              <w:spacing w:after="0"/>
              <w:rPr>
                <w:sz w:val="19"/>
                <w:szCs w:val="19"/>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940</w:t>
            </w:r>
          </w:p>
        </w:tc>
        <w:tc>
          <w:tcPr>
            <w:tcW w:w="880" w:type="dxa"/>
            <w:vAlign w:val="bottom"/>
            <w:gridSpan w:val="3"/>
          </w:tcPr>
          <w:p>
            <w:pPr>
              <w:jc w:val="right"/>
              <w:ind w:right="40"/>
              <w:spacing w:after="0"/>
              <w:rPr>
                <w:sz w:val="20"/>
                <w:szCs w:val="20"/>
                <w:color w:val="auto"/>
              </w:rPr>
            </w:pPr>
            <w:r>
              <w:rPr>
                <w:rFonts w:ascii="Arial" w:cs="Arial" w:eastAsia="Arial" w:hAnsi="Arial"/>
                <w:sz w:val="18"/>
                <w:szCs w:val="18"/>
                <w:color w:val="auto"/>
              </w:rPr>
              <w:t>(318)</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4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Market performance</w:t>
            </w:r>
          </w:p>
        </w:tc>
        <w:tc>
          <w:tcPr>
            <w:tcW w:w="31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(925)</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1,539</w:t>
            </w:r>
          </w:p>
        </w:tc>
        <w:tc>
          <w:tcPr>
            <w:tcW w:w="4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(257)</w:t>
            </w:r>
          </w:p>
        </w:tc>
        <w:tc>
          <w:tcPr>
            <w:tcW w:w="8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780</w:t>
            </w:r>
          </w:p>
        </w:tc>
        <w:tc>
          <w:tcPr>
            <w:tcW w:w="0" w:type="dxa"/>
            <w:vAlign w:val="bottom"/>
          </w:tcPr>
          <w:p>
            <w:pPr>
              <w:spacing w:after="0"/>
              <w:rPr>
                <w:sz w:val="1"/>
                <w:szCs w:val="1"/>
                <w:color w:val="auto"/>
              </w:rPr>
            </w:pPr>
          </w:p>
        </w:tc>
      </w:tr>
      <w:tr>
        <w:trPr>
          <w:trHeight w:val="20"/>
        </w:trPr>
        <w:tc>
          <w:tcPr>
            <w:tcW w:w="4480" w:type="dxa"/>
            <w:vAlign w:val="bottom"/>
            <w:gridSpan w:val="3"/>
            <w:vMerge w:val="restart"/>
          </w:tcPr>
          <w:p>
            <w:pPr>
              <w:spacing w:after="0"/>
              <w:rPr>
                <w:sz w:val="20"/>
                <w:szCs w:val="20"/>
                <w:color w:val="auto"/>
              </w:rPr>
            </w:pPr>
            <w:r>
              <w:rPr>
                <w:rFonts w:ascii="Arial" w:cs="Arial" w:eastAsia="Arial" w:hAnsi="Arial"/>
                <w:sz w:val="18"/>
                <w:szCs w:val="18"/>
                <w:color w:val="auto"/>
              </w:rPr>
              <w:t>Assets under management, end of period</w:t>
            </w:r>
          </w:p>
        </w:tc>
        <w:tc>
          <w:tcPr>
            <w:tcW w:w="31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4480" w:type="dxa"/>
            <w:vAlign w:val="bottom"/>
            <w:gridSpan w:val="3"/>
            <w:vMerge w:val="continue"/>
          </w:tcPr>
          <w:p>
            <w:pPr>
              <w:spacing w:after="0"/>
              <w:rPr>
                <w:sz w:val="19"/>
                <w:szCs w:val="19"/>
                <w:color w:val="auto"/>
              </w:rPr>
            </w:pPr>
          </w:p>
        </w:tc>
        <w:tc>
          <w:tcPr>
            <w:tcW w:w="31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19,548</w:t>
            </w:r>
          </w:p>
        </w:tc>
        <w:tc>
          <w:tcPr>
            <w:tcW w:w="4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2"/>
              </w:rPr>
              <w:t>$ 15,909</w:t>
            </w:r>
          </w:p>
        </w:tc>
        <w:tc>
          <w:tcPr>
            <w:tcW w:w="420" w:type="dxa"/>
            <w:vAlign w:val="bottom"/>
          </w:tcPr>
          <w:p>
            <w:pPr>
              <w:spacing w:after="0"/>
              <w:rPr>
                <w:sz w:val="19"/>
                <w:szCs w:val="19"/>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19,548</w:t>
            </w:r>
          </w:p>
        </w:tc>
        <w:tc>
          <w:tcPr>
            <w:tcW w:w="880" w:type="dxa"/>
            <w:vAlign w:val="bottom"/>
            <w:gridSpan w:val="3"/>
          </w:tcPr>
          <w:p>
            <w:pPr>
              <w:jc w:val="right"/>
              <w:ind w:right="100"/>
              <w:spacing w:after="0"/>
              <w:rPr>
                <w:sz w:val="20"/>
                <w:szCs w:val="20"/>
                <w:color w:val="auto"/>
              </w:rPr>
            </w:pPr>
            <w:r>
              <w:rPr>
                <w:rFonts w:ascii="Arial" w:cs="Arial" w:eastAsia="Arial" w:hAnsi="Arial"/>
                <w:sz w:val="18"/>
                <w:szCs w:val="18"/>
                <w:color w:val="auto"/>
              </w:rPr>
              <w:t>$ 15,909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3180" w:type="dxa"/>
            <w:vAlign w:val="bottom"/>
            <w:vMerge w:val="restart"/>
          </w:tcPr>
          <w:p>
            <w:pPr>
              <w:jc w:val="right"/>
              <w:ind w:right="1772"/>
              <w:spacing w:after="0"/>
              <w:rPr>
                <w:sz w:val="20"/>
                <w:szCs w:val="20"/>
                <w:color w:val="auto"/>
              </w:rPr>
            </w:pPr>
            <w:r>
              <w:rPr>
                <w:rFonts w:ascii="Arial" w:cs="Arial" w:eastAsia="Arial" w:hAnsi="Arial"/>
                <w:sz w:val="18"/>
                <w:szCs w:val="18"/>
                <w:color w:val="auto"/>
              </w:rPr>
              <w:t>90</w:t>
            </w:r>
          </w:p>
        </w:tc>
        <w:tc>
          <w:tcPr>
            <w:tcW w:w="5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3140" w:type="dxa"/>
            <w:vAlign w:val="bottom"/>
          </w:tcPr>
          <w:p>
            <w:pPr>
              <w:spacing w:after="0"/>
              <w:rPr>
                <w:sz w:val="24"/>
                <w:szCs w:val="24"/>
                <w:color w:val="auto"/>
              </w:rPr>
            </w:pPr>
          </w:p>
        </w:tc>
        <w:tc>
          <w:tcPr>
            <w:tcW w:w="3180" w:type="dxa"/>
            <w:vAlign w:val="bottom"/>
            <w:vMerge w:val="continue"/>
          </w:tcPr>
          <w:p>
            <w:pPr>
              <w:spacing w:after="0"/>
              <w:rPr>
                <w:sz w:val="24"/>
                <w:szCs w:val="24"/>
                <w:color w:val="auto"/>
              </w:rPr>
            </w:pPr>
          </w:p>
        </w:tc>
        <w:tc>
          <w:tcPr>
            <w:tcW w:w="5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Wealth management results represent Genworth Financial Wealth Management, Inc., Genworth Financial Investment Services, Inc., Genworth Financial Trust Company, Centurion Financial Advisers, Inc. and Quantuvis Consulting, Inc.</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increase in assets under management was primarily attributable to favorable equity market performance and positive net flows.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income</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Fee-based products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selected operating performance measures regarding our fee-based products as of or for the dates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80" w:type="dxa"/>
            <w:vAlign w:val="bottom"/>
            <w:gridSpan w:val="6"/>
          </w:tcPr>
          <w:p>
            <w:pPr>
              <w:jc w:val="right"/>
              <w:ind w:right="760"/>
              <w:spacing w:after="0"/>
              <w:rPr>
                <w:sz w:val="20"/>
                <w:szCs w:val="20"/>
                <w:color w:val="auto"/>
              </w:rPr>
            </w:pPr>
            <w:r>
              <w:rPr>
                <w:rFonts w:ascii="Arial" w:cs="Arial" w:eastAsia="Arial" w:hAnsi="Arial"/>
                <w:sz w:val="14"/>
                <w:szCs w:val="14"/>
                <w:b w:val="1"/>
                <w:bCs w:val="1"/>
                <w:color w:val="auto"/>
                <w:w w:val="93"/>
              </w:rPr>
              <w:t>As of or for the three</w:t>
            </w:r>
          </w:p>
        </w:tc>
        <w:tc>
          <w:tcPr>
            <w:tcW w:w="120" w:type="dxa"/>
            <w:vAlign w:val="bottom"/>
          </w:tcPr>
          <w:p>
            <w:pPr>
              <w:spacing w:after="0"/>
              <w:rPr>
                <w:sz w:val="14"/>
                <w:szCs w:val="14"/>
                <w:color w:val="auto"/>
              </w:rPr>
            </w:pPr>
          </w:p>
        </w:tc>
        <w:tc>
          <w:tcPr>
            <w:tcW w:w="1680" w:type="dxa"/>
            <w:vAlign w:val="bottom"/>
            <w:gridSpan w:val="5"/>
          </w:tcPr>
          <w:p>
            <w:pPr>
              <w:jc w:val="right"/>
              <w:ind w:right="420"/>
              <w:spacing w:after="0"/>
              <w:rPr>
                <w:sz w:val="20"/>
                <w:szCs w:val="20"/>
                <w:color w:val="auto"/>
              </w:rPr>
            </w:pPr>
            <w:r>
              <w:rPr>
                <w:rFonts w:ascii="Arial" w:cs="Arial" w:eastAsia="Arial" w:hAnsi="Arial"/>
                <w:sz w:val="14"/>
                <w:szCs w:val="14"/>
                <w:b w:val="1"/>
                <w:bCs w:val="1"/>
                <w:color w:val="auto"/>
              </w:rPr>
              <w:t>As of or for the six</w:t>
            </w:r>
          </w:p>
        </w:tc>
        <w:tc>
          <w:tcPr>
            <w:tcW w:w="0" w:type="dxa"/>
            <w:vAlign w:val="bottom"/>
          </w:tcPr>
          <w:p>
            <w:pPr>
              <w:spacing w:after="0"/>
              <w:rPr>
                <w:sz w:val="1"/>
                <w:szCs w:val="1"/>
                <w:color w:val="auto"/>
              </w:rPr>
            </w:pPr>
          </w:p>
        </w:tc>
      </w:tr>
      <w:tr>
        <w:trPr>
          <w:trHeight w:val="161"/>
        </w:trPr>
        <w:tc>
          <w:tcPr>
            <w:tcW w:w="56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80" w:type="dxa"/>
            <w:vAlign w:val="bottom"/>
            <w:gridSpan w:val="6"/>
          </w:tcPr>
          <w:p>
            <w:pPr>
              <w:jc w:val="right"/>
              <w:ind w:right="700"/>
              <w:spacing w:after="0"/>
              <w:rPr>
                <w:sz w:val="20"/>
                <w:szCs w:val="20"/>
                <w:color w:val="auto"/>
              </w:rPr>
            </w:pPr>
            <w:r>
              <w:rPr>
                <w:rFonts w:ascii="Arial" w:cs="Arial" w:eastAsia="Arial" w:hAnsi="Arial"/>
                <w:sz w:val="14"/>
                <w:szCs w:val="14"/>
                <w:b w:val="1"/>
                <w:bCs w:val="1"/>
                <w:color w:val="auto"/>
                <w:w w:val="87"/>
              </w:rPr>
              <w:t>months ended June 30,</w:t>
            </w:r>
          </w:p>
        </w:tc>
        <w:tc>
          <w:tcPr>
            <w:tcW w:w="120" w:type="dxa"/>
            <w:vAlign w:val="bottom"/>
          </w:tcPr>
          <w:p>
            <w:pPr>
              <w:spacing w:after="0"/>
              <w:rPr>
                <w:sz w:val="14"/>
                <w:szCs w:val="14"/>
                <w:color w:val="auto"/>
              </w:rPr>
            </w:pPr>
          </w:p>
        </w:tc>
        <w:tc>
          <w:tcPr>
            <w:tcW w:w="1680" w:type="dxa"/>
            <w:vAlign w:val="bottom"/>
            <w:gridSpan w:val="5"/>
          </w:tcPr>
          <w:p>
            <w:pPr>
              <w:jc w:val="right"/>
              <w:ind w:right="300"/>
              <w:spacing w:after="0"/>
              <w:rPr>
                <w:sz w:val="20"/>
                <w:szCs w:val="20"/>
                <w:color w:val="auto"/>
              </w:rPr>
            </w:pPr>
            <w:r>
              <w:rPr>
                <w:rFonts w:ascii="Arial" w:cs="Arial" w:eastAsia="Arial" w:hAnsi="Arial"/>
                <w:sz w:val="14"/>
                <w:szCs w:val="14"/>
                <w:b w:val="1"/>
                <w:bCs w:val="1"/>
                <w:color w:val="auto"/>
                <w:w w:val="87"/>
              </w:rPr>
              <w:t>months ended June 30,</w:t>
            </w:r>
          </w:p>
        </w:tc>
        <w:tc>
          <w:tcPr>
            <w:tcW w:w="0" w:type="dxa"/>
            <w:vAlign w:val="bottom"/>
          </w:tcPr>
          <w:p>
            <w:pPr>
              <w:spacing w:after="0"/>
              <w:rPr>
                <w:sz w:val="1"/>
                <w:szCs w:val="1"/>
                <w:color w:val="auto"/>
              </w:rPr>
            </w:pPr>
          </w:p>
        </w:tc>
      </w:tr>
      <w:tr>
        <w:trPr>
          <w:trHeight w:val="142"/>
        </w:trPr>
        <w:tc>
          <w:tcPr>
            <w:tcW w:w="5640" w:type="dxa"/>
            <w:vAlign w:val="bottom"/>
            <w:gridSpan w:val="3"/>
            <w:vMerge w:val="continue"/>
          </w:tcPr>
          <w:p>
            <w:pPr>
              <w:spacing w:after="0"/>
              <w:rPr>
                <w:sz w:val="12"/>
                <w:szCs w:val="12"/>
                <w:color w:val="auto"/>
              </w:rPr>
            </w:pPr>
          </w:p>
        </w:tc>
        <w:tc>
          <w:tcPr>
            <w:tcW w:w="17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ind w:right="55"/>
              <w:spacing w:after="0" w:line="142" w:lineRule="exact"/>
              <w:rPr>
                <w:sz w:val="20"/>
                <w:szCs w:val="20"/>
                <w:color w:val="auto"/>
              </w:rPr>
            </w:pPr>
            <w:r>
              <w:rPr>
                <w:rFonts w:ascii="Arial" w:cs="Arial" w:eastAsia="Arial" w:hAnsi="Arial"/>
                <w:sz w:val="14"/>
                <w:szCs w:val="14"/>
                <w:b w:val="1"/>
                <w:bCs w:val="1"/>
                <w:color w:val="auto"/>
                <w:w w:val="89"/>
              </w:rPr>
              <w:t>2010</w:t>
            </w:r>
          </w:p>
        </w:tc>
        <w:tc>
          <w:tcPr>
            <w:tcW w:w="30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jc w:val="right"/>
              <w:ind w:right="93"/>
              <w:spacing w:after="0" w:line="142" w:lineRule="exact"/>
              <w:rPr>
                <w:sz w:val="20"/>
                <w:szCs w:val="20"/>
                <w:color w:val="auto"/>
              </w:rPr>
            </w:pPr>
            <w:r>
              <w:rPr>
                <w:rFonts w:ascii="Arial" w:cs="Arial" w:eastAsia="Arial" w:hAnsi="Arial"/>
                <w:sz w:val="14"/>
                <w:szCs w:val="14"/>
                <w:b w:val="1"/>
                <w:bCs w:val="1"/>
                <w:color w:val="auto"/>
                <w:w w:val="89"/>
              </w:rPr>
              <w:t>2009</w:t>
            </w:r>
          </w:p>
        </w:tc>
        <w:tc>
          <w:tcPr>
            <w:tcW w:w="5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ind w:right="75"/>
              <w:spacing w:after="0" w:line="142" w:lineRule="exact"/>
              <w:rPr>
                <w:sz w:val="20"/>
                <w:szCs w:val="20"/>
                <w:color w:val="auto"/>
              </w:rPr>
            </w:pPr>
            <w:r>
              <w:rPr>
                <w:rFonts w:ascii="Arial" w:cs="Arial" w:eastAsia="Arial" w:hAnsi="Arial"/>
                <w:sz w:val="14"/>
                <w:szCs w:val="14"/>
                <w:b w:val="1"/>
                <w:bCs w:val="1"/>
                <w:color w:val="auto"/>
                <w:w w:val="89"/>
              </w:rPr>
              <w:t>2010</w:t>
            </w:r>
          </w:p>
        </w:tc>
        <w:tc>
          <w:tcPr>
            <w:tcW w:w="5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jc w:val="right"/>
              <w:ind w:right="93"/>
              <w:spacing w:after="0" w:line="142" w:lineRule="exact"/>
              <w:rPr>
                <w:sz w:val="20"/>
                <w:szCs w:val="20"/>
                <w:color w:val="auto"/>
              </w:rPr>
            </w:pPr>
            <w:r>
              <w:rPr>
                <w:rFonts w:ascii="Arial" w:cs="Arial" w:eastAsia="Arial" w:hAnsi="Arial"/>
                <w:sz w:val="14"/>
                <w:szCs w:val="14"/>
                <w:b w:val="1"/>
                <w:bCs w:val="1"/>
                <w:color w:val="auto"/>
                <w:w w:val="89"/>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6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 xml:space="preserve">Income Distribution Series </w:t>
            </w:r>
            <w:r>
              <w:rPr>
                <w:rFonts w:ascii="Arial" w:cs="Arial" w:eastAsia="Arial" w:hAnsi="Arial"/>
                <w:sz w:val="11"/>
                <w:szCs w:val="11"/>
                <w:color w:val="auto"/>
              </w:rPr>
              <w:t>(1)</w:t>
            </w:r>
          </w:p>
        </w:tc>
        <w:tc>
          <w:tcPr>
            <w:tcW w:w="1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tcPr>
          <w:p>
            <w:pPr>
              <w:spacing w:after="0"/>
              <w:rPr>
                <w:sz w:val="20"/>
                <w:szCs w:val="20"/>
                <w:color w:val="auto"/>
              </w:rPr>
            </w:pPr>
            <w:r>
              <w:rPr>
                <w:rFonts w:ascii="Arial" w:cs="Arial" w:eastAsia="Arial" w:hAnsi="Arial"/>
                <w:sz w:val="18"/>
                <w:szCs w:val="18"/>
                <w:color w:val="auto"/>
              </w:rPr>
              <w:t>Account value, net of reinsurance, beginning of period</w:t>
            </w:r>
          </w:p>
        </w:tc>
        <w:tc>
          <w:tcPr>
            <w:tcW w:w="19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w w:val="93"/>
              </w:rPr>
              <w:t>6,135</w:t>
            </w:r>
          </w:p>
        </w:tc>
        <w:tc>
          <w:tcPr>
            <w:tcW w:w="300" w:type="dxa"/>
            <w:vAlign w:val="bottom"/>
          </w:tcPr>
          <w:p>
            <w:pPr>
              <w:spacing w:after="0"/>
              <w:rPr>
                <w:sz w:val="18"/>
                <w:szCs w:val="18"/>
                <w:color w:val="auto"/>
              </w:rPr>
            </w:pP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500"/>
              <w:spacing w:after="0"/>
              <w:rPr>
                <w:sz w:val="20"/>
                <w:szCs w:val="20"/>
                <w:color w:val="auto"/>
              </w:rPr>
            </w:pPr>
            <w:r>
              <w:rPr>
                <w:rFonts w:ascii="Arial" w:cs="Arial" w:eastAsia="Arial" w:hAnsi="Arial"/>
                <w:sz w:val="18"/>
                <w:szCs w:val="18"/>
                <w:color w:val="auto"/>
              </w:rPr>
              <w:t>5,093</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500"/>
              <w:spacing w:after="0"/>
              <w:rPr>
                <w:sz w:val="20"/>
                <w:szCs w:val="20"/>
                <w:color w:val="auto"/>
              </w:rPr>
            </w:pPr>
            <w:r>
              <w:rPr>
                <w:rFonts w:ascii="Arial" w:cs="Arial" w:eastAsia="Arial" w:hAnsi="Arial"/>
                <w:sz w:val="18"/>
                <w:szCs w:val="18"/>
                <w:color w:val="auto"/>
                <w:w w:val="97"/>
              </w:rPr>
              <w:t>5,943</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5,234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Deposits</w:t>
            </w:r>
          </w:p>
        </w:tc>
        <w:tc>
          <w:tcPr>
            <w:tcW w:w="1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133</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314</w:t>
            </w:r>
          </w:p>
        </w:tc>
        <w:tc>
          <w:tcPr>
            <w:tcW w:w="14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tcPr>
          <w:p>
            <w:pPr>
              <w:ind w:left="420"/>
              <w:spacing w:after="0"/>
              <w:rPr>
                <w:sz w:val="20"/>
                <w:szCs w:val="20"/>
                <w:color w:val="auto"/>
              </w:rPr>
            </w:pPr>
            <w:r>
              <w:rPr>
                <w:rFonts w:ascii="Arial" w:cs="Arial" w:eastAsia="Arial" w:hAnsi="Arial"/>
                <w:sz w:val="18"/>
                <w:szCs w:val="18"/>
                <w:color w:val="auto"/>
              </w:rPr>
              <w:t>Surrenders, benefits and product charges</w:t>
            </w:r>
          </w:p>
        </w:tc>
        <w:tc>
          <w:tcPr>
            <w:tcW w:w="1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(150)</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460"/>
              <w:spacing w:after="0"/>
              <w:rPr>
                <w:sz w:val="20"/>
                <w:szCs w:val="20"/>
                <w:color w:val="auto"/>
              </w:rPr>
            </w:pPr>
            <w:r>
              <w:rPr>
                <w:rFonts w:ascii="Arial" w:cs="Arial" w:eastAsia="Arial" w:hAnsi="Arial"/>
                <w:sz w:val="18"/>
                <w:szCs w:val="18"/>
                <w:color w:val="auto"/>
              </w:rPr>
              <w:t>(109)</w:t>
            </w:r>
          </w:p>
        </w:tc>
        <w:tc>
          <w:tcPr>
            <w:tcW w:w="120" w:type="dxa"/>
            <w:vAlign w:val="bottom"/>
          </w:tcPr>
          <w:p>
            <w:pPr>
              <w:spacing w:after="0"/>
              <w:rPr>
                <w:sz w:val="18"/>
                <w:szCs w:val="18"/>
                <w:color w:val="auto"/>
              </w:rPr>
            </w:pPr>
          </w:p>
        </w:tc>
        <w:tc>
          <w:tcPr>
            <w:tcW w:w="960" w:type="dxa"/>
            <w:vAlign w:val="bottom"/>
            <w:gridSpan w:val="2"/>
          </w:tcPr>
          <w:p>
            <w:pPr>
              <w:jc w:val="right"/>
              <w:ind w:right="460"/>
              <w:spacing w:after="0"/>
              <w:rPr>
                <w:sz w:val="20"/>
                <w:szCs w:val="20"/>
                <w:color w:val="auto"/>
              </w:rPr>
            </w:pPr>
            <w:r>
              <w:rPr>
                <w:rFonts w:ascii="Arial" w:cs="Arial" w:eastAsia="Arial" w:hAnsi="Arial"/>
                <w:sz w:val="18"/>
                <w:szCs w:val="18"/>
                <w:color w:val="auto"/>
              </w:rPr>
              <w:t>(277)</w:t>
            </w:r>
          </w:p>
        </w:tc>
        <w:tc>
          <w:tcPr>
            <w:tcW w:w="14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(215)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30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Net flows</w:t>
            </w:r>
          </w:p>
        </w:tc>
        <w:tc>
          <w:tcPr>
            <w:tcW w:w="1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24</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37</w:t>
            </w:r>
          </w:p>
        </w:tc>
        <w:tc>
          <w:tcPr>
            <w:tcW w:w="14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620" w:type="dxa"/>
            <w:vAlign w:val="bottom"/>
            <w:gridSpan w:val="2"/>
          </w:tcPr>
          <w:p>
            <w:pPr>
              <w:ind w:left="420"/>
              <w:spacing w:after="0"/>
              <w:rPr>
                <w:sz w:val="20"/>
                <w:szCs w:val="20"/>
                <w:color w:val="auto"/>
              </w:rPr>
            </w:pPr>
            <w:r>
              <w:rPr>
                <w:rFonts w:ascii="Arial" w:cs="Arial" w:eastAsia="Arial" w:hAnsi="Arial"/>
                <w:sz w:val="18"/>
                <w:szCs w:val="18"/>
                <w:color w:val="auto"/>
              </w:rPr>
              <w:t>Interest credited and investment performance</w:t>
            </w:r>
          </w:p>
        </w:tc>
        <w:tc>
          <w:tcPr>
            <w:tcW w:w="1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(162)</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500"/>
              <w:spacing w:after="0"/>
              <w:rPr>
                <w:sz w:val="20"/>
                <w:szCs w:val="20"/>
                <w:color w:val="auto"/>
              </w:rPr>
            </w:pPr>
            <w:r>
              <w:rPr>
                <w:rFonts w:ascii="Arial" w:cs="Arial" w:eastAsia="Arial" w:hAnsi="Arial"/>
                <w:sz w:val="18"/>
                <w:szCs w:val="18"/>
                <w:color w:val="auto"/>
              </w:rPr>
              <w:t>169</w:t>
            </w:r>
          </w:p>
        </w:tc>
        <w:tc>
          <w:tcPr>
            <w:tcW w:w="120" w:type="dxa"/>
            <w:vAlign w:val="bottom"/>
          </w:tcPr>
          <w:p>
            <w:pPr>
              <w:spacing w:after="0"/>
              <w:rPr>
                <w:sz w:val="19"/>
                <w:szCs w:val="19"/>
                <w:color w:val="auto"/>
              </w:rPr>
            </w:pPr>
          </w:p>
        </w:tc>
        <w:tc>
          <w:tcPr>
            <w:tcW w:w="960" w:type="dxa"/>
            <w:vAlign w:val="bottom"/>
            <w:gridSpan w:val="2"/>
          </w:tcPr>
          <w:p>
            <w:pPr>
              <w:jc w:val="right"/>
              <w:ind w:right="460"/>
              <w:spacing w:after="0"/>
              <w:rPr>
                <w:sz w:val="20"/>
                <w:szCs w:val="20"/>
                <w:color w:val="auto"/>
              </w:rPr>
            </w:pPr>
            <w:r>
              <w:rPr>
                <w:rFonts w:ascii="Arial" w:cs="Arial" w:eastAsia="Arial" w:hAnsi="Arial"/>
                <w:sz w:val="18"/>
                <w:szCs w:val="18"/>
                <w:color w:val="auto"/>
              </w:rPr>
              <w:t>(16)</w:t>
            </w:r>
          </w:p>
        </w:tc>
        <w:tc>
          <w:tcPr>
            <w:tcW w:w="140" w:type="dxa"/>
            <w:vAlign w:val="bottom"/>
          </w:tcPr>
          <w:p>
            <w:pPr>
              <w:spacing w:after="0"/>
              <w:rPr>
                <w:sz w:val="19"/>
                <w:szCs w:val="19"/>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Account value, net of reinsurance, end of period</w:t>
            </w:r>
          </w:p>
        </w:tc>
        <w:tc>
          <w:tcPr>
            <w:tcW w:w="1780" w:type="dxa"/>
            <w:vAlign w:val="bottom"/>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5,964</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5,286</w:t>
            </w:r>
          </w:p>
        </w:tc>
        <w:tc>
          <w:tcPr>
            <w:tcW w:w="500" w:type="dxa"/>
            <w:vAlign w:val="bottom"/>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5,964</w:t>
            </w:r>
          </w:p>
        </w:tc>
        <w:tc>
          <w:tcPr>
            <w:tcW w:w="500" w:type="dxa"/>
            <w:vAlign w:val="bottom"/>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5,286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64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Traditional variable annuities</w:t>
            </w:r>
          </w:p>
        </w:tc>
        <w:tc>
          <w:tcPr>
            <w:tcW w:w="17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640" w:type="dxa"/>
            <w:vAlign w:val="bottom"/>
            <w:gridSpan w:val="3"/>
            <w:vMerge w:val="continue"/>
          </w:tcPr>
          <w:p>
            <w:pPr>
              <w:spacing w:after="0"/>
              <w:rPr>
                <w:sz w:val="18"/>
                <w:szCs w:val="18"/>
                <w:color w:val="auto"/>
              </w:rPr>
            </w:pPr>
          </w:p>
        </w:tc>
        <w:tc>
          <w:tcPr>
            <w:tcW w:w="1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Account value, net of reinsurance, beginning of period</w:t>
            </w:r>
          </w:p>
        </w:tc>
        <w:tc>
          <w:tcPr>
            <w:tcW w:w="1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2,048</w:t>
            </w:r>
          </w:p>
        </w:tc>
        <w:tc>
          <w:tcPr>
            <w:tcW w:w="30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1,642</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97"/>
              </w:rPr>
              <w:t>2,016</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tcPr>
          <w:p>
            <w:pPr>
              <w:ind w:left="420"/>
              <w:spacing w:after="0"/>
              <w:rPr>
                <w:sz w:val="20"/>
                <w:szCs w:val="20"/>
                <w:color w:val="auto"/>
              </w:rPr>
            </w:pPr>
            <w:r>
              <w:rPr>
                <w:rFonts w:ascii="Arial" w:cs="Arial" w:eastAsia="Arial" w:hAnsi="Arial"/>
                <w:sz w:val="18"/>
                <w:szCs w:val="18"/>
                <w:color w:val="auto"/>
              </w:rPr>
              <w:t>Deposits</w:t>
            </w:r>
          </w:p>
        </w:tc>
        <w:tc>
          <w:tcPr>
            <w:tcW w:w="1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25</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500"/>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18"/>
                <w:szCs w:val="18"/>
                <w:color w:val="auto"/>
              </w:rPr>
            </w:pPr>
          </w:p>
        </w:tc>
        <w:tc>
          <w:tcPr>
            <w:tcW w:w="960" w:type="dxa"/>
            <w:vAlign w:val="bottom"/>
            <w:gridSpan w:val="2"/>
          </w:tcPr>
          <w:p>
            <w:pPr>
              <w:jc w:val="right"/>
              <w:ind w:right="500"/>
              <w:spacing w:after="0"/>
              <w:rPr>
                <w:sz w:val="20"/>
                <w:szCs w:val="20"/>
                <w:color w:val="auto"/>
              </w:rPr>
            </w:pPr>
            <w:r>
              <w:rPr>
                <w:rFonts w:ascii="Arial" w:cs="Arial" w:eastAsia="Arial" w:hAnsi="Arial"/>
                <w:sz w:val="18"/>
                <w:szCs w:val="18"/>
                <w:color w:val="auto"/>
              </w:rPr>
              <w:t>52</w:t>
            </w:r>
          </w:p>
        </w:tc>
        <w:tc>
          <w:tcPr>
            <w:tcW w:w="14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Surrenders, benefits and product charges</w:t>
            </w:r>
          </w:p>
        </w:tc>
        <w:tc>
          <w:tcPr>
            <w:tcW w:w="1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(70)</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(60)</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(135)</w:t>
            </w:r>
          </w:p>
        </w:tc>
        <w:tc>
          <w:tcPr>
            <w:tcW w:w="14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20" w:type="dxa"/>
            <w:vAlign w:val="bottom"/>
            <w:gridSpan w:val="2"/>
            <w:vMerge w:val="restart"/>
          </w:tcPr>
          <w:p>
            <w:pPr>
              <w:ind w:left="860"/>
              <w:spacing w:after="0"/>
              <w:rPr>
                <w:sz w:val="20"/>
                <w:szCs w:val="20"/>
                <w:color w:val="auto"/>
              </w:rPr>
            </w:pPr>
            <w:r>
              <w:rPr>
                <w:rFonts w:ascii="Arial" w:cs="Arial" w:eastAsia="Arial" w:hAnsi="Arial"/>
                <w:sz w:val="18"/>
                <w:szCs w:val="18"/>
                <w:color w:val="auto"/>
              </w:rPr>
              <w:t>Net flows</w:t>
            </w:r>
          </w:p>
        </w:tc>
        <w:tc>
          <w:tcPr>
            <w:tcW w:w="17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5620" w:type="dxa"/>
            <w:vAlign w:val="bottom"/>
            <w:gridSpan w:val="2"/>
            <w:vMerge w:val="continue"/>
          </w:tcPr>
          <w:p>
            <w:pPr>
              <w:spacing w:after="0"/>
              <w:rPr>
                <w:sz w:val="19"/>
                <w:szCs w:val="19"/>
                <w:color w:val="auto"/>
              </w:rPr>
            </w:pPr>
          </w:p>
        </w:tc>
        <w:tc>
          <w:tcPr>
            <w:tcW w:w="1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(45)</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460"/>
              <w:spacing w:after="0"/>
              <w:rPr>
                <w:sz w:val="20"/>
                <w:szCs w:val="20"/>
                <w:color w:val="auto"/>
              </w:rPr>
            </w:pPr>
            <w:r>
              <w:rPr>
                <w:rFonts w:ascii="Arial" w:cs="Arial" w:eastAsia="Arial" w:hAnsi="Arial"/>
                <w:sz w:val="18"/>
                <w:szCs w:val="18"/>
                <w:color w:val="auto"/>
              </w:rPr>
              <w:t>(44)</w:t>
            </w:r>
          </w:p>
        </w:tc>
        <w:tc>
          <w:tcPr>
            <w:tcW w:w="120" w:type="dxa"/>
            <w:vAlign w:val="bottom"/>
          </w:tcPr>
          <w:p>
            <w:pPr>
              <w:spacing w:after="0"/>
              <w:rPr>
                <w:sz w:val="19"/>
                <w:szCs w:val="19"/>
                <w:color w:val="auto"/>
              </w:rPr>
            </w:pPr>
          </w:p>
        </w:tc>
        <w:tc>
          <w:tcPr>
            <w:tcW w:w="960" w:type="dxa"/>
            <w:vAlign w:val="bottom"/>
            <w:gridSpan w:val="2"/>
          </w:tcPr>
          <w:p>
            <w:pPr>
              <w:jc w:val="right"/>
              <w:ind w:right="460"/>
              <w:spacing w:after="0"/>
              <w:rPr>
                <w:sz w:val="20"/>
                <w:szCs w:val="20"/>
                <w:color w:val="auto"/>
              </w:rPr>
            </w:pPr>
            <w:r>
              <w:rPr>
                <w:rFonts w:ascii="Arial" w:cs="Arial" w:eastAsia="Arial" w:hAnsi="Arial"/>
                <w:sz w:val="18"/>
                <w:szCs w:val="18"/>
                <w:color w:val="auto"/>
              </w:rPr>
              <w:t>(83)</w:t>
            </w:r>
          </w:p>
        </w:tc>
        <w:tc>
          <w:tcPr>
            <w:tcW w:w="140" w:type="dxa"/>
            <w:vAlign w:val="bottom"/>
          </w:tcPr>
          <w:p>
            <w:pPr>
              <w:spacing w:after="0"/>
              <w:rPr>
                <w:sz w:val="19"/>
                <w:szCs w:val="19"/>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6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Interest credited and investment performance</w:t>
            </w:r>
          </w:p>
        </w:tc>
        <w:tc>
          <w:tcPr>
            <w:tcW w:w="1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(124)</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198</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(54)</w:t>
            </w:r>
          </w:p>
        </w:tc>
        <w:tc>
          <w:tcPr>
            <w:tcW w:w="14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22"/>
        </w:trPr>
        <w:tc>
          <w:tcPr>
            <w:tcW w:w="5640" w:type="dxa"/>
            <w:vAlign w:val="bottom"/>
            <w:gridSpan w:val="3"/>
          </w:tcPr>
          <w:p>
            <w:pPr>
              <w:spacing w:after="0"/>
              <w:rPr>
                <w:sz w:val="20"/>
                <w:szCs w:val="20"/>
                <w:color w:val="auto"/>
              </w:rPr>
            </w:pPr>
            <w:r>
              <w:rPr>
                <w:rFonts w:ascii="Arial" w:cs="Arial" w:eastAsia="Arial" w:hAnsi="Arial"/>
                <w:sz w:val="18"/>
                <w:szCs w:val="18"/>
                <w:color w:val="auto"/>
              </w:rPr>
              <w:t>Account value, net of reinsurance, end of period</w:t>
            </w:r>
          </w:p>
        </w:tc>
        <w:tc>
          <w:tcPr>
            <w:tcW w:w="178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1,879</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1,796</w:t>
            </w:r>
          </w:p>
        </w:tc>
        <w:tc>
          <w:tcPr>
            <w:tcW w:w="5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1,879</w:t>
            </w:r>
          </w:p>
        </w:tc>
        <w:tc>
          <w:tcPr>
            <w:tcW w:w="5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1,796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56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Variable life insurance</w:t>
            </w:r>
          </w:p>
        </w:tc>
        <w:tc>
          <w:tcPr>
            <w:tcW w:w="1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tcPr>
          <w:p>
            <w:pPr>
              <w:spacing w:after="0"/>
              <w:rPr>
                <w:sz w:val="20"/>
                <w:szCs w:val="20"/>
                <w:color w:val="auto"/>
              </w:rPr>
            </w:pPr>
            <w:r>
              <w:rPr>
                <w:rFonts w:ascii="Arial" w:cs="Arial" w:eastAsia="Arial" w:hAnsi="Arial"/>
                <w:sz w:val="18"/>
                <w:szCs w:val="18"/>
                <w:color w:val="auto"/>
              </w:rPr>
              <w:t>Account value, beginning of period</w:t>
            </w:r>
          </w:p>
        </w:tc>
        <w:tc>
          <w:tcPr>
            <w:tcW w:w="19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303</w:t>
            </w:r>
          </w:p>
        </w:tc>
        <w:tc>
          <w:tcPr>
            <w:tcW w:w="300" w:type="dxa"/>
            <w:vAlign w:val="bottom"/>
          </w:tcPr>
          <w:p>
            <w:pPr>
              <w:spacing w:after="0"/>
              <w:rPr>
                <w:sz w:val="18"/>
                <w:szCs w:val="18"/>
                <w:color w:val="auto"/>
              </w:rPr>
            </w:pP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500"/>
              <w:spacing w:after="0"/>
              <w:rPr>
                <w:sz w:val="20"/>
                <w:szCs w:val="20"/>
                <w:color w:val="auto"/>
              </w:rPr>
            </w:pPr>
            <w:r>
              <w:rPr>
                <w:rFonts w:ascii="Arial" w:cs="Arial" w:eastAsia="Arial" w:hAnsi="Arial"/>
                <w:sz w:val="18"/>
                <w:szCs w:val="18"/>
                <w:color w:val="auto"/>
              </w:rPr>
              <w:t>248</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500"/>
              <w:spacing w:after="0"/>
              <w:rPr>
                <w:sz w:val="20"/>
                <w:szCs w:val="20"/>
                <w:color w:val="auto"/>
              </w:rPr>
            </w:pPr>
            <w:r>
              <w:rPr>
                <w:rFonts w:ascii="Arial" w:cs="Arial" w:eastAsia="Arial" w:hAnsi="Arial"/>
                <w:sz w:val="18"/>
                <w:szCs w:val="18"/>
                <w:color w:val="auto"/>
              </w:rPr>
              <w:t>298</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266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Deposits</w:t>
            </w:r>
          </w:p>
        </w:tc>
        <w:tc>
          <w:tcPr>
            <w:tcW w:w="1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3</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6</w:t>
            </w:r>
          </w:p>
        </w:tc>
        <w:tc>
          <w:tcPr>
            <w:tcW w:w="14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tcPr>
          <w:p>
            <w:pPr>
              <w:ind w:left="420"/>
              <w:spacing w:after="0"/>
              <w:rPr>
                <w:sz w:val="20"/>
                <w:szCs w:val="20"/>
                <w:color w:val="auto"/>
              </w:rPr>
            </w:pPr>
            <w:r>
              <w:rPr>
                <w:rFonts w:ascii="Arial" w:cs="Arial" w:eastAsia="Arial" w:hAnsi="Arial"/>
                <w:sz w:val="18"/>
                <w:szCs w:val="18"/>
                <w:color w:val="auto"/>
              </w:rPr>
              <w:t>Surrenders, benefits and product charges</w:t>
            </w:r>
          </w:p>
        </w:tc>
        <w:tc>
          <w:tcPr>
            <w:tcW w:w="1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(8)</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460"/>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18"/>
                <w:szCs w:val="18"/>
                <w:color w:val="auto"/>
              </w:rPr>
            </w:pPr>
          </w:p>
        </w:tc>
        <w:tc>
          <w:tcPr>
            <w:tcW w:w="960" w:type="dxa"/>
            <w:vAlign w:val="bottom"/>
            <w:gridSpan w:val="2"/>
          </w:tcPr>
          <w:p>
            <w:pPr>
              <w:jc w:val="right"/>
              <w:ind w:right="460"/>
              <w:spacing w:after="0"/>
              <w:rPr>
                <w:sz w:val="20"/>
                <w:szCs w:val="20"/>
                <w:color w:val="auto"/>
              </w:rPr>
            </w:pPr>
            <w:r>
              <w:rPr>
                <w:rFonts w:ascii="Arial" w:cs="Arial" w:eastAsia="Arial" w:hAnsi="Arial"/>
                <w:sz w:val="18"/>
                <w:szCs w:val="18"/>
                <w:color w:val="auto"/>
              </w:rPr>
              <w:t>(18)</w:t>
            </w:r>
          </w:p>
        </w:tc>
        <w:tc>
          <w:tcPr>
            <w:tcW w:w="14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30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Net flows</w:t>
            </w:r>
          </w:p>
        </w:tc>
        <w:tc>
          <w:tcPr>
            <w:tcW w:w="1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(12)</w:t>
            </w:r>
          </w:p>
        </w:tc>
        <w:tc>
          <w:tcPr>
            <w:tcW w:w="14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620" w:type="dxa"/>
            <w:vAlign w:val="bottom"/>
            <w:gridSpan w:val="2"/>
          </w:tcPr>
          <w:p>
            <w:pPr>
              <w:ind w:left="420"/>
              <w:spacing w:after="0"/>
              <w:rPr>
                <w:sz w:val="20"/>
                <w:szCs w:val="20"/>
                <w:color w:val="auto"/>
              </w:rPr>
            </w:pPr>
            <w:r>
              <w:rPr>
                <w:rFonts w:ascii="Arial" w:cs="Arial" w:eastAsia="Arial" w:hAnsi="Arial"/>
                <w:sz w:val="18"/>
                <w:szCs w:val="18"/>
                <w:color w:val="auto"/>
              </w:rPr>
              <w:t>Interest credited and investment performance</w:t>
            </w:r>
          </w:p>
        </w:tc>
        <w:tc>
          <w:tcPr>
            <w:tcW w:w="1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(19)</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500"/>
              <w:spacing w:after="0"/>
              <w:rPr>
                <w:sz w:val="20"/>
                <w:szCs w:val="20"/>
                <w:color w:val="auto"/>
              </w:rPr>
            </w:pPr>
            <w:r>
              <w:rPr>
                <w:rFonts w:ascii="Arial" w:cs="Arial" w:eastAsia="Arial" w:hAnsi="Arial"/>
                <w:sz w:val="18"/>
                <w:szCs w:val="18"/>
                <w:color w:val="auto"/>
              </w:rPr>
              <w:t>29</w:t>
            </w:r>
          </w:p>
        </w:tc>
        <w:tc>
          <w:tcPr>
            <w:tcW w:w="120" w:type="dxa"/>
            <w:vAlign w:val="bottom"/>
          </w:tcPr>
          <w:p>
            <w:pPr>
              <w:spacing w:after="0"/>
              <w:rPr>
                <w:sz w:val="19"/>
                <w:szCs w:val="19"/>
                <w:color w:val="auto"/>
              </w:rPr>
            </w:pPr>
          </w:p>
        </w:tc>
        <w:tc>
          <w:tcPr>
            <w:tcW w:w="960" w:type="dxa"/>
            <w:vAlign w:val="bottom"/>
            <w:gridSpan w:val="2"/>
          </w:tcPr>
          <w:p>
            <w:pPr>
              <w:jc w:val="right"/>
              <w:ind w:right="460"/>
              <w:spacing w:after="0"/>
              <w:rPr>
                <w:sz w:val="20"/>
                <w:szCs w:val="20"/>
                <w:color w:val="auto"/>
              </w:rPr>
            </w:pPr>
            <w:r>
              <w:rPr>
                <w:rFonts w:ascii="Arial" w:cs="Arial" w:eastAsia="Arial" w:hAnsi="Arial"/>
                <w:sz w:val="18"/>
                <w:szCs w:val="18"/>
                <w:color w:val="auto"/>
              </w:rPr>
              <w:t>(7)</w:t>
            </w:r>
          </w:p>
        </w:tc>
        <w:tc>
          <w:tcPr>
            <w:tcW w:w="140" w:type="dxa"/>
            <w:vAlign w:val="bottom"/>
          </w:tcPr>
          <w:p>
            <w:pPr>
              <w:spacing w:after="0"/>
              <w:rPr>
                <w:sz w:val="19"/>
                <w:szCs w:val="19"/>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Account value, end of period</w:t>
            </w:r>
          </w:p>
        </w:tc>
        <w:tc>
          <w:tcPr>
            <w:tcW w:w="1780" w:type="dxa"/>
            <w:vAlign w:val="bottom"/>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279</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271</w:t>
            </w:r>
          </w:p>
        </w:tc>
        <w:tc>
          <w:tcPr>
            <w:tcW w:w="500" w:type="dxa"/>
            <w:vAlign w:val="bottom"/>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279</w:t>
            </w:r>
          </w:p>
        </w:tc>
        <w:tc>
          <w:tcPr>
            <w:tcW w:w="500" w:type="dxa"/>
            <w:vAlign w:val="bottom"/>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both"/>
        <w:ind w:left="460" w:right="20" w:hanging="452"/>
        <w:spacing w:after="0" w:line="252" w:lineRule="auto"/>
        <w:tabs>
          <w:tab w:leader="none" w:pos="460" w:val="left"/>
        </w:tabs>
        <w:numPr>
          <w:ilvl w:val="0"/>
          <w:numId w:val="78"/>
        </w:numPr>
        <w:rPr>
          <w:rFonts w:ascii="Arial" w:cs="Arial" w:eastAsia="Arial" w:hAnsi="Arial"/>
          <w:sz w:val="21"/>
          <w:szCs w:val="21"/>
          <w:color w:val="auto"/>
          <w:vertAlign w:val="superscript"/>
        </w:rPr>
      </w:pPr>
      <w:r>
        <w:rPr>
          <w:rFonts w:ascii="Arial" w:cs="Arial" w:eastAsia="Arial" w:hAnsi="Arial"/>
          <w:sz w:val="17"/>
          <w:szCs w:val="17"/>
          <w:color w:val="auto"/>
        </w:rPr>
        <w:t>The Income Distribution Series products are comprised of our deferred and immediate variable annuity products, including those variable annuity products with rider options that provide guaranteed income benefits including GMWBs and certain types of guaranteed annuitization benefits. These products do not include fixed single premium immediate annuities or deferred annuities, which may also serve income distribution needs.</w:t>
      </w:r>
    </w:p>
    <w:p>
      <w:pPr>
        <w:spacing w:after="0" w:line="227" w:lineRule="exact"/>
        <w:rPr>
          <w:rFonts w:ascii="Arial" w:cs="Arial" w:eastAsia="Arial" w:hAnsi="Arial"/>
          <w:sz w:val="21"/>
          <w:szCs w:val="21"/>
          <w:color w:val="auto"/>
          <w:vertAlign w:val="superscript"/>
        </w:rPr>
      </w:pPr>
    </w:p>
    <w:p>
      <w:pPr>
        <w:ind w:left="460"/>
        <w:spacing w:after="0"/>
        <w:rPr>
          <w:rFonts w:ascii="Arial" w:cs="Arial" w:eastAsia="Arial" w:hAnsi="Arial"/>
          <w:sz w:val="21"/>
          <w:szCs w:val="21"/>
          <w:color w:val="auto"/>
          <w:vertAlign w:val="superscript"/>
        </w:rPr>
      </w:pPr>
      <w:r>
        <w:rPr>
          <w:rFonts w:ascii="Arial" w:cs="Arial" w:eastAsia="Arial" w:hAnsi="Arial"/>
          <w:sz w:val="18"/>
          <w:szCs w:val="18"/>
          <w:i w:val="1"/>
          <w:iCs w:val="1"/>
          <w:color w:val="auto"/>
        </w:rPr>
        <w:t>Income Distribution Series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-716915</wp:posOffset>
            </wp:positionV>
            <wp:extent cx="72898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70" w:lineRule="exact"/>
        <w:rPr>
          <w:sz w:val="20"/>
          <w:szCs w:val="20"/>
          <w:color w:val="auto"/>
        </w:rPr>
      </w:pPr>
    </w:p>
    <w:p>
      <w:pPr>
        <w:ind w:right="340" w:firstLine="456"/>
        <w:spacing w:after="0" w:line="259" w:lineRule="auto"/>
        <w:rPr>
          <w:sz w:val="20"/>
          <w:szCs w:val="20"/>
          <w:color w:val="auto"/>
        </w:rPr>
      </w:pPr>
      <w:r>
        <w:rPr>
          <w:rFonts w:ascii="Arial" w:cs="Arial" w:eastAsia="Arial" w:hAnsi="Arial"/>
          <w:sz w:val="18"/>
          <w:szCs w:val="18"/>
          <w:color w:val="auto"/>
        </w:rPr>
        <w:t>Account value related to our Income Distribution Series products increased from the prior year attributable to positive net flows and favorable market performance in the second half of 2009 and the first quarter of 2010. Net flows decreased during the second quarter of 2010 due to unfavorable equity market impacts.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420"/>
          </w:cols>
          <w:pgMar w:left="240" w:top="459" w:right="23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Traditional variable annuities</w:t>
      </w:r>
    </w:p>
    <w:p>
      <w:pPr>
        <w:spacing w:after="0" w:line="90"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In our traditional variable annuities, the increase in account value from the prior year was principally the result of improved equity market performance in the second half of 2009, partially offset by surrenders outpacing sales.</w:t>
      </w:r>
    </w:p>
    <w:p>
      <w:pPr>
        <w:spacing w:after="0" w:line="213"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Spread-based products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sets forth selected operating performance measures regarding our spread-based products as of or for the dates indicated:</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40" w:type="dxa"/>
            <w:vAlign w:val="bottom"/>
            <w:gridSpan w:val="5"/>
          </w:tcPr>
          <w:p>
            <w:pPr>
              <w:jc w:val="right"/>
              <w:ind w:right="620"/>
              <w:spacing w:after="0"/>
              <w:rPr>
                <w:sz w:val="20"/>
                <w:szCs w:val="20"/>
                <w:color w:val="auto"/>
              </w:rPr>
            </w:pPr>
            <w:r>
              <w:rPr>
                <w:rFonts w:ascii="Arial" w:cs="Arial" w:eastAsia="Arial" w:hAnsi="Arial"/>
                <w:sz w:val="14"/>
                <w:szCs w:val="14"/>
                <w:b w:val="1"/>
                <w:bCs w:val="1"/>
                <w:color w:val="auto"/>
                <w:w w:val="93"/>
              </w:rPr>
              <w:t>As of or for the three</w:t>
            </w:r>
          </w:p>
        </w:tc>
        <w:tc>
          <w:tcPr>
            <w:tcW w:w="100" w:type="dxa"/>
            <w:vAlign w:val="bottom"/>
          </w:tcPr>
          <w:p>
            <w:pPr>
              <w:spacing w:after="0"/>
              <w:rPr>
                <w:sz w:val="14"/>
                <w:szCs w:val="14"/>
                <w:color w:val="auto"/>
              </w:rPr>
            </w:pPr>
          </w:p>
        </w:tc>
        <w:tc>
          <w:tcPr>
            <w:tcW w:w="162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w w:val="98"/>
              </w:rPr>
              <w:t>As of or for the six</w:t>
            </w:r>
          </w:p>
        </w:tc>
        <w:tc>
          <w:tcPr>
            <w:tcW w:w="0" w:type="dxa"/>
            <w:vAlign w:val="bottom"/>
          </w:tcPr>
          <w:p>
            <w:pPr>
              <w:spacing w:after="0"/>
              <w:rPr>
                <w:sz w:val="1"/>
                <w:szCs w:val="1"/>
                <w:color w:val="auto"/>
              </w:rPr>
            </w:pPr>
          </w:p>
        </w:tc>
      </w:tr>
      <w:tr>
        <w:trPr>
          <w:trHeight w:val="161"/>
        </w:trPr>
        <w:tc>
          <w:tcPr>
            <w:tcW w:w="76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1940" w:type="dxa"/>
            <w:vAlign w:val="bottom"/>
            <w:gridSpan w:val="5"/>
          </w:tcPr>
          <w:p>
            <w:pPr>
              <w:jc w:val="right"/>
              <w:ind w:right="580"/>
              <w:spacing w:after="0"/>
              <w:rPr>
                <w:sz w:val="20"/>
                <w:szCs w:val="20"/>
                <w:color w:val="auto"/>
              </w:rPr>
            </w:pPr>
            <w:r>
              <w:rPr>
                <w:rFonts w:ascii="Arial" w:cs="Arial" w:eastAsia="Arial" w:hAnsi="Arial"/>
                <w:sz w:val="14"/>
                <w:szCs w:val="14"/>
                <w:b w:val="1"/>
                <w:bCs w:val="1"/>
                <w:color w:val="auto"/>
                <w:w w:val="86"/>
              </w:rPr>
              <w:t>months ended June 30,</w:t>
            </w:r>
          </w:p>
        </w:tc>
        <w:tc>
          <w:tcPr>
            <w:tcW w:w="100" w:type="dxa"/>
            <w:vAlign w:val="bottom"/>
          </w:tcPr>
          <w:p>
            <w:pPr>
              <w:spacing w:after="0"/>
              <w:rPr>
                <w:sz w:val="14"/>
                <w:szCs w:val="14"/>
                <w:color w:val="auto"/>
              </w:rPr>
            </w:pPr>
          </w:p>
        </w:tc>
        <w:tc>
          <w:tcPr>
            <w:tcW w:w="1620" w:type="dxa"/>
            <w:vAlign w:val="bottom"/>
            <w:gridSpan w:val="6"/>
          </w:tcPr>
          <w:p>
            <w:pPr>
              <w:jc w:val="right"/>
              <w:ind w:right="260"/>
              <w:spacing w:after="0"/>
              <w:rPr>
                <w:sz w:val="20"/>
                <w:szCs w:val="20"/>
                <w:color w:val="auto"/>
              </w:rPr>
            </w:pPr>
            <w:r>
              <w:rPr>
                <w:rFonts w:ascii="Arial" w:cs="Arial" w:eastAsia="Arial" w:hAnsi="Arial"/>
                <w:sz w:val="14"/>
                <w:szCs w:val="14"/>
                <w:b w:val="1"/>
                <w:bCs w:val="1"/>
                <w:color w:val="auto"/>
                <w:w w:val="86"/>
              </w:rPr>
              <w:t>months ended June 30,</w:t>
            </w:r>
          </w:p>
        </w:tc>
        <w:tc>
          <w:tcPr>
            <w:tcW w:w="0" w:type="dxa"/>
            <w:vAlign w:val="bottom"/>
          </w:tcPr>
          <w:p>
            <w:pPr>
              <w:spacing w:after="0"/>
              <w:rPr>
                <w:sz w:val="1"/>
                <w:szCs w:val="1"/>
                <w:color w:val="auto"/>
              </w:rPr>
            </w:pPr>
          </w:p>
        </w:tc>
      </w:tr>
      <w:tr>
        <w:trPr>
          <w:trHeight w:val="142"/>
        </w:trPr>
        <w:tc>
          <w:tcPr>
            <w:tcW w:w="7660" w:type="dxa"/>
            <w:vAlign w:val="bottom"/>
            <w:gridSpan w:val="3"/>
            <w:vMerge w:val="continue"/>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jc w:val="right"/>
              <w:ind w:right="55"/>
              <w:spacing w:after="0" w:line="142" w:lineRule="exact"/>
              <w:rPr>
                <w:sz w:val="20"/>
                <w:szCs w:val="20"/>
                <w:color w:val="auto"/>
              </w:rPr>
            </w:pPr>
            <w:r>
              <w:rPr>
                <w:rFonts w:ascii="Arial" w:cs="Arial" w:eastAsia="Arial" w:hAnsi="Arial"/>
                <w:sz w:val="14"/>
                <w:szCs w:val="14"/>
                <w:b w:val="1"/>
                <w:bCs w:val="1"/>
                <w:color w:val="auto"/>
              </w:rPr>
              <w:t>2010</w:t>
            </w:r>
          </w:p>
        </w:tc>
        <w:tc>
          <w:tcPr>
            <w:tcW w:w="4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ind w:right="73"/>
              <w:spacing w:after="0" w:line="142" w:lineRule="exact"/>
              <w:rPr>
                <w:sz w:val="20"/>
                <w:szCs w:val="20"/>
                <w:color w:val="auto"/>
              </w:rPr>
            </w:pPr>
            <w:r>
              <w:rPr>
                <w:rFonts w:ascii="Arial" w:cs="Arial" w:eastAsia="Arial" w:hAnsi="Arial"/>
                <w:sz w:val="14"/>
                <w:szCs w:val="14"/>
                <w:b w:val="1"/>
                <w:bCs w:val="1"/>
                <w:color w:val="auto"/>
              </w:rPr>
              <w:t>2009</w:t>
            </w:r>
          </w:p>
        </w:tc>
        <w:tc>
          <w:tcPr>
            <w:tcW w:w="4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jc w:val="right"/>
              <w:ind w:right="55"/>
              <w:spacing w:after="0" w:line="142" w:lineRule="exact"/>
              <w:rPr>
                <w:sz w:val="20"/>
                <w:szCs w:val="20"/>
                <w:color w:val="auto"/>
              </w:rPr>
            </w:pPr>
            <w:r>
              <w:rPr>
                <w:rFonts w:ascii="Arial" w:cs="Arial" w:eastAsia="Arial" w:hAnsi="Arial"/>
                <w:sz w:val="14"/>
                <w:szCs w:val="14"/>
                <w:b w:val="1"/>
                <w:bCs w:val="1"/>
                <w:color w:val="auto"/>
              </w:rPr>
              <w:t>2010</w:t>
            </w:r>
          </w:p>
        </w:tc>
        <w:tc>
          <w:tcPr>
            <w:tcW w:w="26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ind w:right="93"/>
              <w:spacing w:after="0" w:line="142" w:lineRule="exact"/>
              <w:rPr>
                <w:sz w:val="20"/>
                <w:szCs w:val="20"/>
                <w:color w:val="auto"/>
              </w:rPr>
            </w:pPr>
            <w:r>
              <w:rPr>
                <w:rFonts w:ascii="Arial" w:cs="Arial" w:eastAsia="Arial" w:hAnsi="Arial"/>
                <w:sz w:val="14"/>
                <w:szCs w:val="14"/>
                <w:b w:val="1"/>
                <w:bCs w:val="1"/>
                <w:color w:val="auto"/>
                <w:w w:val="96"/>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Fixed annuities</w:t>
            </w:r>
          </w:p>
        </w:tc>
        <w:tc>
          <w:tcPr>
            <w:tcW w:w="6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Account value, net of reinsurance, beginning of period</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11,234</w:t>
            </w:r>
          </w:p>
        </w:tc>
        <w:tc>
          <w:tcPr>
            <w:tcW w:w="4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11,833</w:t>
            </w:r>
          </w:p>
        </w:tc>
        <w:tc>
          <w:tcPr>
            <w:tcW w:w="4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w w:val="83"/>
              </w:rPr>
              <w:t>11,409</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w w:val="87"/>
              </w:rPr>
              <w:t>11,996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Deposits</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133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ind w:left="420"/>
              <w:spacing w:after="0"/>
              <w:rPr>
                <w:sz w:val="20"/>
                <w:szCs w:val="20"/>
                <w:color w:val="auto"/>
              </w:rPr>
            </w:pPr>
            <w:r>
              <w:rPr>
                <w:rFonts w:ascii="Arial" w:cs="Arial" w:eastAsia="Arial" w:hAnsi="Arial"/>
                <w:sz w:val="18"/>
                <w:szCs w:val="18"/>
                <w:color w:val="auto"/>
              </w:rPr>
              <w:t>Surrenders, benefits and product charges</w:t>
            </w:r>
          </w:p>
        </w:tc>
        <w:tc>
          <w:tcPr>
            <w:tcW w:w="10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Arial" w:cs="Arial" w:eastAsia="Arial" w:hAnsi="Arial"/>
                <w:sz w:val="18"/>
                <w:szCs w:val="18"/>
                <w:color w:val="auto"/>
              </w:rPr>
              <w:t>(304)</w:t>
            </w:r>
          </w:p>
        </w:tc>
        <w:tc>
          <w:tcPr>
            <w:tcW w:w="10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(394)</w:t>
            </w:r>
          </w:p>
        </w:tc>
        <w:tc>
          <w:tcPr>
            <w:tcW w:w="100" w:type="dxa"/>
            <w:vAlign w:val="bottom"/>
          </w:tcPr>
          <w:p>
            <w:pPr>
              <w:spacing w:after="0"/>
              <w:rPr>
                <w:sz w:val="18"/>
                <w:szCs w:val="18"/>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(616)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40"/>
              <w:spacing w:after="0"/>
              <w:rPr>
                <w:sz w:val="20"/>
                <w:szCs w:val="20"/>
                <w:color w:val="auto"/>
              </w:rPr>
            </w:pPr>
            <w:r>
              <w:rPr>
                <w:rFonts w:ascii="Arial" w:cs="Arial" w:eastAsia="Arial" w:hAnsi="Arial"/>
                <w:sz w:val="18"/>
                <w:szCs w:val="18"/>
                <w:color w:val="auto"/>
              </w:rPr>
              <w:t>(902)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Net flows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(212)</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(165)</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(483)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ind w:left="420"/>
              <w:spacing w:after="0"/>
              <w:rPr>
                <w:sz w:val="20"/>
                <w:szCs w:val="20"/>
                <w:color w:val="auto"/>
              </w:rPr>
            </w:pPr>
            <w:r>
              <w:rPr>
                <w:rFonts w:ascii="Arial" w:cs="Arial" w:eastAsia="Arial" w:hAnsi="Arial"/>
                <w:sz w:val="18"/>
                <w:szCs w:val="18"/>
                <w:color w:val="auto"/>
              </w:rPr>
              <w:t>Interest credited</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95</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102</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191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205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6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Account value, net of reinsurance, end of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11,117</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11,770</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3"/>
              </w:rPr>
              <w:t>11,117</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7"/>
              </w:rPr>
              <w:t>11,770</w:t>
            </w:r>
          </w:p>
        </w:tc>
        <w:tc>
          <w:tcPr>
            <w:tcW w:w="0" w:type="dxa"/>
            <w:vAlign w:val="bottom"/>
          </w:tcPr>
          <w:p>
            <w:pPr>
              <w:spacing w:after="0"/>
              <w:rPr>
                <w:sz w:val="1"/>
                <w:szCs w:val="1"/>
                <w:color w:val="auto"/>
              </w:rPr>
            </w:pPr>
          </w:p>
        </w:tc>
      </w:tr>
      <w:tr>
        <w:trPr>
          <w:trHeight w:val="20"/>
        </w:trPr>
        <w:tc>
          <w:tcPr>
            <w:tcW w:w="766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Single premium immediate annuities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766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Account value, net of reinsurance, beginning of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6,593</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6,925</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6,675</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6,957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ind w:left="420"/>
              <w:spacing w:after="0"/>
              <w:rPr>
                <w:sz w:val="20"/>
                <w:szCs w:val="20"/>
                <w:color w:val="auto"/>
              </w:rPr>
            </w:pPr>
            <w:r>
              <w:rPr>
                <w:rFonts w:ascii="Arial" w:cs="Arial" w:eastAsia="Arial" w:hAnsi="Arial"/>
                <w:sz w:val="18"/>
                <w:szCs w:val="18"/>
                <w:color w:val="auto"/>
              </w:rPr>
              <w:t>Premiums and deposits</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100</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101</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195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212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Surrenders, benefits and product charges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(251)</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(289)</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(516)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(525)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40" w:type="dxa"/>
            <w:vAlign w:val="bottom"/>
            <w:gridSpan w:val="2"/>
            <w:vMerge w:val="restart"/>
          </w:tcPr>
          <w:p>
            <w:pPr>
              <w:ind w:left="860"/>
              <w:spacing w:after="0"/>
              <w:rPr>
                <w:sz w:val="20"/>
                <w:szCs w:val="20"/>
                <w:color w:val="auto"/>
              </w:rPr>
            </w:pPr>
            <w:r>
              <w:rPr>
                <w:rFonts w:ascii="Arial" w:cs="Arial" w:eastAsia="Arial" w:hAnsi="Arial"/>
                <w:sz w:val="18"/>
                <w:szCs w:val="18"/>
                <w:color w:val="auto"/>
              </w:rPr>
              <w:t>Net flows</w:t>
            </w: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64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380"/>
              <w:spacing w:after="0"/>
              <w:rPr>
                <w:sz w:val="20"/>
                <w:szCs w:val="20"/>
                <w:color w:val="auto"/>
              </w:rPr>
            </w:pPr>
            <w:r>
              <w:rPr>
                <w:rFonts w:ascii="Arial" w:cs="Arial" w:eastAsia="Arial" w:hAnsi="Arial"/>
                <w:sz w:val="18"/>
                <w:szCs w:val="18"/>
                <w:color w:val="auto"/>
              </w:rPr>
              <w:t>(151)</w:t>
            </w:r>
          </w:p>
        </w:tc>
        <w:tc>
          <w:tcPr>
            <w:tcW w:w="100" w:type="dxa"/>
            <w:vAlign w:val="bottom"/>
          </w:tcPr>
          <w:p>
            <w:pPr>
              <w:spacing w:after="0"/>
              <w:rPr>
                <w:sz w:val="19"/>
                <w:szCs w:val="19"/>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(188)</w:t>
            </w:r>
          </w:p>
        </w:tc>
        <w:tc>
          <w:tcPr>
            <w:tcW w:w="100" w:type="dxa"/>
            <w:vAlign w:val="bottom"/>
          </w:tcPr>
          <w:p>
            <w:pPr>
              <w:spacing w:after="0"/>
              <w:rPr>
                <w:sz w:val="19"/>
                <w:szCs w:val="19"/>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(321)</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40"/>
              <w:spacing w:after="0"/>
              <w:rPr>
                <w:sz w:val="20"/>
                <w:szCs w:val="20"/>
                <w:color w:val="auto"/>
              </w:rPr>
            </w:pPr>
            <w:r>
              <w:rPr>
                <w:rFonts w:ascii="Arial" w:cs="Arial" w:eastAsia="Arial" w:hAnsi="Arial"/>
                <w:sz w:val="18"/>
                <w:szCs w:val="18"/>
                <w:color w:val="auto"/>
              </w:rPr>
              <w:t>(313)</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6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Interest credited</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175</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20"/>
        </w:trPr>
        <w:tc>
          <w:tcPr>
            <w:tcW w:w="7660" w:type="dxa"/>
            <w:vAlign w:val="bottom"/>
            <w:gridSpan w:val="3"/>
            <w:vMerge w:val="restart"/>
          </w:tcPr>
          <w:p>
            <w:pPr>
              <w:spacing w:after="0"/>
              <w:rPr>
                <w:sz w:val="20"/>
                <w:szCs w:val="20"/>
                <w:color w:val="auto"/>
              </w:rPr>
            </w:pPr>
            <w:r>
              <w:rPr>
                <w:rFonts w:ascii="Arial" w:cs="Arial" w:eastAsia="Arial" w:hAnsi="Arial"/>
                <w:sz w:val="18"/>
                <w:szCs w:val="18"/>
                <w:color w:val="auto"/>
              </w:rPr>
              <w:t>Account value, net of reinsurance, end of period</w:t>
            </w: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660" w:type="dxa"/>
            <w:vAlign w:val="bottom"/>
            <w:gridSpan w:val="3"/>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6,529</w:t>
            </w:r>
          </w:p>
        </w:tc>
        <w:tc>
          <w:tcPr>
            <w:tcW w:w="4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6,827</w:t>
            </w:r>
          </w:p>
        </w:tc>
        <w:tc>
          <w:tcPr>
            <w:tcW w:w="4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6,529</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6,827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Structured settlements</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Account value, net of reinsurance, beginning of period</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1,115</w:t>
            </w:r>
          </w:p>
        </w:tc>
        <w:tc>
          <w:tcPr>
            <w:tcW w:w="4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1,101</w:t>
            </w:r>
          </w:p>
        </w:tc>
        <w:tc>
          <w:tcPr>
            <w:tcW w:w="4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1,115</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1,106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Premiums and deposits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ind w:left="420"/>
              <w:spacing w:after="0"/>
              <w:rPr>
                <w:sz w:val="20"/>
                <w:szCs w:val="20"/>
                <w:color w:val="auto"/>
              </w:rPr>
            </w:pPr>
            <w:r>
              <w:rPr>
                <w:rFonts w:ascii="Arial" w:cs="Arial" w:eastAsia="Arial" w:hAnsi="Arial"/>
                <w:sz w:val="18"/>
                <w:szCs w:val="18"/>
                <w:color w:val="auto"/>
              </w:rPr>
              <w:t>Surrenders, benefits and product charges</w:t>
            </w:r>
          </w:p>
        </w:tc>
        <w:tc>
          <w:tcPr>
            <w:tcW w:w="10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8"/>
                <w:szCs w:val="18"/>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(29)</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4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Net flows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(15)</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ind w:left="420"/>
              <w:spacing w:after="0"/>
              <w:rPr>
                <w:sz w:val="20"/>
                <w:szCs w:val="20"/>
                <w:color w:val="auto"/>
              </w:rPr>
            </w:pPr>
            <w:r>
              <w:rPr>
                <w:rFonts w:ascii="Arial" w:cs="Arial" w:eastAsia="Arial" w:hAnsi="Arial"/>
                <w:sz w:val="18"/>
                <w:szCs w:val="18"/>
                <w:color w:val="auto"/>
              </w:rPr>
              <w:t>Interest credited</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15</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15</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29</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6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Account value, net of reinsurance, end of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1,115</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1,117</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1,115</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1,117</w:t>
            </w:r>
          </w:p>
        </w:tc>
        <w:tc>
          <w:tcPr>
            <w:tcW w:w="0" w:type="dxa"/>
            <w:vAlign w:val="bottom"/>
          </w:tcPr>
          <w:p>
            <w:pPr>
              <w:spacing w:after="0"/>
              <w:rPr>
                <w:sz w:val="1"/>
                <w:szCs w:val="1"/>
                <w:color w:val="auto"/>
              </w:rPr>
            </w:pPr>
          </w:p>
        </w:tc>
      </w:tr>
      <w:tr>
        <w:trPr>
          <w:trHeight w:val="20"/>
        </w:trPr>
        <w:tc>
          <w:tcPr>
            <w:tcW w:w="7660" w:type="dxa"/>
            <w:vAlign w:val="bottom"/>
            <w:gridSpan w:val="3"/>
            <w:vMerge w:val="restart"/>
          </w:tcPr>
          <w:p>
            <w:pPr>
              <w:spacing w:after="0"/>
              <w:rPr>
                <w:sz w:val="20"/>
                <w:szCs w:val="20"/>
                <w:color w:val="auto"/>
              </w:rPr>
            </w:pPr>
            <w:r>
              <w:rPr>
                <w:rFonts w:ascii="Arial" w:cs="Arial" w:eastAsia="Arial" w:hAnsi="Arial"/>
                <w:sz w:val="18"/>
                <w:szCs w:val="18"/>
                <w:color w:val="auto"/>
              </w:rPr>
              <w:t>Total premiums from spread-based retail products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60" w:type="dxa"/>
            <w:vAlign w:val="bottom"/>
            <w:gridSpan w:val="3"/>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32</w:t>
            </w:r>
          </w:p>
        </w:tc>
        <w:tc>
          <w:tcPr>
            <w:tcW w:w="4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38</w:t>
            </w:r>
          </w:p>
        </w:tc>
        <w:tc>
          <w:tcPr>
            <w:tcW w:w="4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68</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deposits on spread-based retail products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298</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260</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8"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Fixed annuities</w:t>
      </w:r>
    </w:p>
    <w:p>
      <w:pPr>
        <w:spacing w:after="0" w:line="90"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Account value of our fixed annuities decreased as surrenders exceeded deposits. Sales have slowed significantly given market conditions and changes in the product management strategy.</w:t>
      </w:r>
    </w:p>
    <w:p>
      <w:pPr>
        <w:spacing w:after="0" w:line="213"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Single premium immediate annuities</w:t>
      </w:r>
    </w:p>
    <w:p>
      <w:pPr>
        <w:spacing w:after="0" w:line="90"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Account value of our single premium immediate annuities decreased as surrenders exceeded deposits and premiums. Sales have slowed significantly given market conditions and changes in the product management strategy.</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420"/>
          </w:cols>
          <w:pgMar w:left="240" w:top="459" w:right="239" w:bottom="1440" w:gutter="0" w:footer="0" w:header="0"/>
        </w:sectPr>
      </w:pPr>
    </w:p>
    <w:bookmarkStart w:id="92" w:name="page93"/>
    <w:bookmarkEnd w:id="9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Structured settlements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no longer solicit sales of this product; however, we continue to service our existing block of business.</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segment</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 of operations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2010 Compared to Three Months Ended June 30, 2009</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results of operations relating to our International segment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84"/>
              </w:rPr>
              <w:t>Increase</w:t>
            </w: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40" w:type="dxa"/>
            <w:vAlign w:val="bottom"/>
            <w:gridSpan w:val="4"/>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40" w:type="dxa"/>
            <w:vAlign w:val="bottom"/>
            <w:gridSpan w:val="6"/>
          </w:tcPr>
          <w:p>
            <w:pPr>
              <w:jc w:val="right"/>
              <w:ind w:right="680"/>
              <w:spacing w:after="0" w:line="149" w:lineRule="exact"/>
              <w:rPr>
                <w:sz w:val="20"/>
                <w:szCs w:val="20"/>
                <w:color w:val="auto"/>
              </w:rPr>
            </w:pPr>
            <w:r>
              <w:rPr>
                <w:rFonts w:ascii="Arial" w:cs="Arial" w:eastAsia="Arial" w:hAnsi="Arial"/>
                <w:sz w:val="14"/>
                <w:szCs w:val="14"/>
                <w:b w:val="1"/>
                <w:bCs w:val="1"/>
                <w:color w:val="auto"/>
                <w:w w:val="97"/>
              </w:rPr>
              <w:t>Three months ended</w:t>
            </w:r>
          </w:p>
        </w:tc>
        <w:tc>
          <w:tcPr>
            <w:tcW w:w="3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percentage</w:t>
            </w: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73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4"/>
                <w:szCs w:val="14"/>
                <w:b w:val="1"/>
                <w:bCs w:val="1"/>
                <w:color w:val="auto"/>
                <w:w w:val="89"/>
              </w:rPr>
              <w:t>June 30,</w:t>
            </w:r>
          </w:p>
        </w:tc>
        <w:tc>
          <w:tcPr>
            <w:tcW w:w="440" w:type="dxa"/>
            <w:vAlign w:val="bottom"/>
            <w:tcBorders>
              <w:bottom w:val="single" w:sz="8" w:color="auto"/>
            </w:tcBorders>
          </w:tcPr>
          <w:p>
            <w:pPr>
              <w:spacing w:after="0"/>
              <w:rPr>
                <w:sz w:val="14"/>
                <w:szCs w:val="14"/>
                <w:color w:val="auto"/>
              </w:rPr>
            </w:pPr>
          </w:p>
        </w:tc>
        <w:tc>
          <w:tcPr>
            <w:tcW w:w="3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change</w:t>
            </w:r>
          </w:p>
        </w:tc>
        <w:tc>
          <w:tcPr>
            <w:tcW w:w="3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32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34"/>
              <w:spacing w:after="0" w:line="142" w:lineRule="exact"/>
              <w:rPr>
                <w:sz w:val="20"/>
                <w:szCs w:val="20"/>
                <w:color w:val="auto"/>
              </w:rPr>
            </w:pPr>
            <w:r>
              <w:rPr>
                <w:rFonts w:ascii="Arial" w:cs="Arial" w:eastAsia="Arial" w:hAnsi="Arial"/>
                <w:sz w:val="14"/>
                <w:szCs w:val="14"/>
                <w:b w:val="1"/>
                <w:bCs w:val="1"/>
                <w:color w:val="auto"/>
                <w:w w:val="89"/>
              </w:rPr>
              <w:t>2010</w:t>
            </w: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3"/>
              <w:spacing w:after="0" w:line="142" w:lineRule="exact"/>
              <w:rPr>
                <w:sz w:val="20"/>
                <w:szCs w:val="20"/>
                <w:color w:val="auto"/>
              </w:rPr>
            </w:pPr>
            <w:r>
              <w:rPr>
                <w:rFonts w:ascii="Arial" w:cs="Arial" w:eastAsia="Arial" w:hAnsi="Arial"/>
                <w:sz w:val="14"/>
                <w:szCs w:val="14"/>
                <w:b w:val="1"/>
                <w:bCs w:val="1"/>
                <w:color w:val="auto"/>
                <w:w w:val="89"/>
              </w:rPr>
              <w:t>2009</w:t>
            </w:r>
          </w:p>
        </w:tc>
        <w:tc>
          <w:tcPr>
            <w:tcW w:w="3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8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59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tcPr>
          <w:p>
            <w:pPr>
              <w:spacing w:after="0"/>
              <w:rPr>
                <w:sz w:val="20"/>
                <w:szCs w:val="20"/>
                <w:color w:val="auto"/>
              </w:rPr>
            </w:pPr>
            <w:r>
              <w:rPr>
                <w:rFonts w:ascii="Arial" w:cs="Arial" w:eastAsia="Arial" w:hAnsi="Arial"/>
                <w:sz w:val="18"/>
                <w:szCs w:val="18"/>
                <w:color w:val="auto"/>
              </w:rPr>
              <w:t>Premiums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495</w:t>
            </w:r>
          </w:p>
        </w:tc>
        <w:tc>
          <w:tcPr>
            <w:tcW w:w="80" w:type="dxa"/>
            <w:vAlign w:val="bottom"/>
          </w:tcPr>
          <w:p>
            <w:pPr>
              <w:spacing w:after="0"/>
              <w:rPr>
                <w:sz w:val="18"/>
                <w:szCs w:val="18"/>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508</w:t>
            </w:r>
          </w:p>
        </w:tc>
        <w:tc>
          <w:tcPr>
            <w:tcW w:w="380" w:type="dxa"/>
            <w:vAlign w:val="bottom"/>
          </w:tcPr>
          <w:p>
            <w:pPr>
              <w:spacing w:after="0"/>
              <w:rPr>
                <w:sz w:val="18"/>
                <w:szCs w:val="18"/>
                <w:color w:val="auto"/>
              </w:rPr>
            </w:pPr>
          </w:p>
        </w:tc>
        <w:tc>
          <w:tcPr>
            <w:tcW w:w="1340" w:type="dxa"/>
            <w:vAlign w:val="bottom"/>
            <w:gridSpan w:val="3"/>
          </w:tcPr>
          <w:p>
            <w:pPr>
              <w:jc w:val="right"/>
              <w:ind w:right="572"/>
              <w:spacing w:after="0"/>
              <w:rPr>
                <w:sz w:val="20"/>
                <w:szCs w:val="20"/>
                <w:color w:val="auto"/>
              </w:rPr>
            </w:pPr>
            <w:r>
              <w:rPr>
                <w:rFonts w:ascii="Arial" w:cs="Arial" w:eastAsia="Arial" w:hAnsi="Arial"/>
                <w:sz w:val="18"/>
                <w:szCs w:val="18"/>
                <w:color w:val="auto"/>
              </w:rPr>
              <w:t>$(13)</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w:t>
            </w:r>
          </w:p>
        </w:tc>
        <w:tc>
          <w:tcPr>
            <w:tcW w:w="3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7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tcPr>
          <w:p>
            <w:pPr>
              <w:spacing w:after="0"/>
              <w:rPr>
                <w:sz w:val="20"/>
                <w:szCs w:val="20"/>
                <w:color w:val="auto"/>
              </w:rPr>
            </w:pPr>
            <w:r>
              <w:rPr>
                <w:rFonts w:ascii="Arial" w:cs="Arial" w:eastAsia="Arial" w:hAnsi="Arial"/>
                <w:sz w:val="18"/>
                <w:szCs w:val="18"/>
                <w:color w:val="auto"/>
              </w:rPr>
              <w:t>Net investment gains (losses)</w:t>
            </w: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w:t>
            </w: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w:t>
            </w:r>
          </w:p>
        </w:tc>
        <w:tc>
          <w:tcPr>
            <w:tcW w:w="380" w:type="dxa"/>
            <w:vAlign w:val="bottom"/>
          </w:tcPr>
          <w:p>
            <w:pPr>
              <w:spacing w:after="0"/>
              <w:rPr>
                <w:sz w:val="18"/>
                <w:szCs w:val="18"/>
                <w:color w:val="auto"/>
              </w:rPr>
            </w:pPr>
          </w:p>
        </w:tc>
        <w:tc>
          <w:tcPr>
            <w:tcW w:w="1340" w:type="dxa"/>
            <w:vAlign w:val="bottom"/>
            <w:gridSpan w:val="3"/>
          </w:tcPr>
          <w:p>
            <w:pPr>
              <w:jc w:val="right"/>
              <w:ind w:right="572"/>
              <w:spacing w:after="0"/>
              <w:rPr>
                <w:sz w:val="20"/>
                <w:szCs w:val="20"/>
                <w:color w:val="auto"/>
              </w:rPr>
            </w:pPr>
            <w:r>
              <w:rPr>
                <w:rFonts w:ascii="Arial" w:cs="Arial" w:eastAsia="Arial" w:hAnsi="Arial"/>
                <w:sz w:val="18"/>
                <w:szCs w:val="18"/>
                <w:color w:val="auto"/>
              </w:rPr>
              <w:t>(3)</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w:t>
            </w: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380" w:type="dxa"/>
            <w:vAlign w:val="bottom"/>
            <w:shd w:val="clear" w:color="auto" w:fill="CCEEFF"/>
          </w:tcPr>
          <w:p>
            <w:pPr>
              <w:spacing w:after="0"/>
              <w:rPr>
                <w:sz w:val="18"/>
                <w:szCs w:val="18"/>
                <w:color w:val="auto"/>
              </w:rPr>
            </w:pPr>
          </w:p>
        </w:tc>
        <w:tc>
          <w:tcPr>
            <w:tcW w:w="1340" w:type="dxa"/>
            <w:vAlign w:val="bottom"/>
            <w:gridSpan w:val="3"/>
            <w:shd w:val="clear" w:color="auto" w:fill="CCEEFF"/>
          </w:tcPr>
          <w:p>
            <w:pPr>
              <w:jc w:val="right"/>
              <w:ind w:right="572"/>
              <w:spacing w:after="0"/>
              <w:rPr>
                <w:sz w:val="20"/>
                <w:szCs w:val="20"/>
                <w:color w:val="auto"/>
              </w:rPr>
            </w:pPr>
            <w:r>
              <w:rPr>
                <w:rFonts w:ascii="Arial" w:cs="Arial" w:eastAsia="Arial" w:hAnsi="Arial"/>
                <w:sz w:val="18"/>
                <w:szCs w:val="18"/>
                <w:color w:val="auto"/>
              </w:rPr>
              <w:t>(6)</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9"/>
              </w:rPr>
              <w:t>(120)%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30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revenues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0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rPr>
              <w:t>(3)%</w:t>
            </w: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30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622</w:t>
            </w: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639</w:t>
            </w:r>
          </w:p>
        </w:tc>
        <w:tc>
          <w:tcPr>
            <w:tcW w:w="3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gridSpan w:val="2"/>
          </w:tcPr>
          <w:p>
            <w:pPr>
              <w:jc w:val="right"/>
              <w:ind w:right="572"/>
              <w:spacing w:after="0"/>
              <w:rPr>
                <w:sz w:val="20"/>
                <w:szCs w:val="20"/>
                <w:color w:val="auto"/>
              </w:rPr>
            </w:pPr>
            <w:r>
              <w:rPr>
                <w:rFonts w:ascii="Arial" w:cs="Arial" w:eastAsia="Arial" w:hAnsi="Arial"/>
                <w:sz w:val="18"/>
                <w:szCs w:val="18"/>
                <w:color w:val="auto"/>
              </w:rPr>
              <w:t>(17)</w:t>
            </w:r>
          </w:p>
        </w:tc>
        <w:tc>
          <w:tcPr>
            <w:tcW w:w="60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tcPr>
          <w:p>
            <w:pPr>
              <w:spacing w:after="0"/>
              <w:rPr>
                <w:sz w:val="20"/>
                <w:szCs w:val="20"/>
                <w:color w:val="auto"/>
              </w:rPr>
            </w:pPr>
            <w:r>
              <w:rPr>
                <w:rFonts w:ascii="Arial" w:cs="Arial" w:eastAsia="Arial" w:hAnsi="Arial"/>
                <w:sz w:val="18"/>
                <w:szCs w:val="18"/>
                <w:color w:val="auto"/>
              </w:rPr>
              <w:t>Benefits and other changes in policy reserves</w:t>
            </w: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163</w:t>
            </w: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226</w:t>
            </w:r>
          </w:p>
        </w:tc>
        <w:tc>
          <w:tcPr>
            <w:tcW w:w="380" w:type="dxa"/>
            <w:vAlign w:val="bottom"/>
          </w:tcPr>
          <w:p>
            <w:pPr>
              <w:spacing w:after="0"/>
              <w:rPr>
                <w:sz w:val="18"/>
                <w:szCs w:val="18"/>
                <w:color w:val="auto"/>
              </w:rPr>
            </w:pPr>
          </w:p>
        </w:tc>
        <w:tc>
          <w:tcPr>
            <w:tcW w:w="1340" w:type="dxa"/>
            <w:vAlign w:val="bottom"/>
            <w:gridSpan w:val="3"/>
          </w:tcPr>
          <w:p>
            <w:pPr>
              <w:jc w:val="right"/>
              <w:ind w:right="572"/>
              <w:spacing w:after="0"/>
              <w:rPr>
                <w:sz w:val="20"/>
                <w:szCs w:val="20"/>
                <w:color w:val="auto"/>
              </w:rPr>
            </w:pPr>
            <w:r>
              <w:rPr>
                <w:rFonts w:ascii="Arial" w:cs="Arial" w:eastAsia="Arial" w:hAnsi="Arial"/>
                <w:sz w:val="18"/>
                <w:szCs w:val="18"/>
                <w:color w:val="auto"/>
              </w:rPr>
              <w:t>(63)</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Acquisition and operating expenses, net of deferrals</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w:t>
            </w: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w:t>
            </w:r>
          </w:p>
        </w:tc>
        <w:tc>
          <w:tcPr>
            <w:tcW w:w="3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7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67</w:t>
            </w: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66</w:t>
            </w:r>
          </w:p>
        </w:tc>
        <w:tc>
          <w:tcPr>
            <w:tcW w:w="38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70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3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572"/>
              <w:spacing w:after="0"/>
              <w:rPr>
                <w:sz w:val="20"/>
                <w:szCs w:val="20"/>
                <w:color w:val="auto"/>
              </w:rPr>
            </w:pPr>
            <w:r>
              <w:rPr>
                <w:rFonts w:ascii="Arial" w:cs="Arial" w:eastAsia="Arial" w:hAnsi="Arial"/>
                <w:sz w:val="18"/>
                <w:szCs w:val="18"/>
                <w:color w:val="auto"/>
              </w:rPr>
              <w:t>(14)</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30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benefits and expenses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0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rPr>
              <w:t>(13)%</w:t>
            </w: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30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445</w:t>
            </w: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513</w:t>
            </w:r>
          </w:p>
        </w:tc>
        <w:tc>
          <w:tcPr>
            <w:tcW w:w="3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gridSpan w:val="2"/>
          </w:tcPr>
          <w:p>
            <w:pPr>
              <w:jc w:val="right"/>
              <w:ind w:right="572"/>
              <w:spacing w:after="0"/>
              <w:rPr>
                <w:sz w:val="20"/>
                <w:szCs w:val="20"/>
                <w:color w:val="auto"/>
              </w:rPr>
            </w:pPr>
            <w:r>
              <w:rPr>
                <w:rFonts w:ascii="Arial" w:cs="Arial" w:eastAsia="Arial" w:hAnsi="Arial"/>
                <w:sz w:val="18"/>
                <w:szCs w:val="18"/>
                <w:color w:val="auto"/>
              </w:rPr>
              <w:t>(68)</w:t>
            </w:r>
          </w:p>
        </w:tc>
        <w:tc>
          <w:tcPr>
            <w:tcW w:w="60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177</w:t>
            </w: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w:t>
            </w:r>
          </w:p>
        </w:tc>
        <w:tc>
          <w:tcPr>
            <w:tcW w:w="3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7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300" w:type="dxa"/>
            <w:vAlign w:val="bottom"/>
            <w:gridSpan w:val="2"/>
          </w:tcPr>
          <w:p>
            <w:pPr>
              <w:spacing w:after="0"/>
              <w:rPr>
                <w:sz w:val="20"/>
                <w:szCs w:val="20"/>
                <w:color w:val="auto"/>
              </w:rPr>
            </w:pPr>
            <w:r>
              <w:rPr>
                <w:rFonts w:ascii="Arial" w:cs="Arial" w:eastAsia="Arial" w:hAnsi="Arial"/>
                <w:sz w:val="18"/>
                <w:szCs w:val="18"/>
                <w:color w:val="auto"/>
              </w:rPr>
              <w:t>Provision for income taxes</w:t>
            </w: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35</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36</w:t>
            </w:r>
          </w:p>
        </w:tc>
        <w:tc>
          <w:tcPr>
            <w:tcW w:w="3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gridSpan w:val="2"/>
          </w:tcPr>
          <w:p>
            <w:pPr>
              <w:jc w:val="right"/>
              <w:ind w:right="572"/>
              <w:spacing w:after="0"/>
              <w:rPr>
                <w:sz w:val="20"/>
                <w:szCs w:val="20"/>
                <w:color w:val="auto"/>
              </w:rPr>
            </w:pPr>
            <w:r>
              <w:rPr>
                <w:rFonts w:ascii="Arial" w:cs="Arial" w:eastAsia="Arial" w:hAnsi="Arial"/>
                <w:sz w:val="18"/>
                <w:szCs w:val="18"/>
                <w:color w:val="auto"/>
              </w:rPr>
              <w:t>(1)</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w:t>
            </w: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3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7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300" w:type="dxa"/>
            <w:vAlign w:val="bottom"/>
            <w:gridSpan w:val="2"/>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1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700" w:type="dxa"/>
            <w:vAlign w:val="bottom"/>
          </w:tcPr>
          <w:p>
            <w:pPr>
              <w:spacing w:after="0"/>
              <w:rPr>
                <w:sz w:val="19"/>
                <w:szCs w:val="19"/>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available to Genworth Financial, Inc.’s common stockholders</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3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7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tcPr>
          <w:p>
            <w:pPr>
              <w:spacing w:after="0"/>
              <w:rPr>
                <w:sz w:val="20"/>
                <w:szCs w:val="20"/>
                <w:color w:val="auto"/>
              </w:rPr>
            </w:pPr>
            <w:r>
              <w:rPr>
                <w:rFonts w:ascii="Arial" w:cs="Arial" w:eastAsia="Arial" w:hAnsi="Arial"/>
                <w:sz w:val="18"/>
                <w:szCs w:val="18"/>
                <w:color w:val="auto"/>
              </w:rPr>
              <w:t>Adjustment to net income available to Genworth Financial, Inc.’s common stockholders:</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w:t>
            </w: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7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0"/>
        </w:trPr>
        <w:tc>
          <w:tcPr>
            <w:tcW w:w="7320" w:type="dxa"/>
            <w:vAlign w:val="bottom"/>
            <w:gridSpan w:val="3"/>
            <w:vMerge w:val="restart"/>
          </w:tcPr>
          <w:p>
            <w:pPr>
              <w:spacing w:after="0"/>
              <w:rPr>
                <w:sz w:val="20"/>
                <w:szCs w:val="20"/>
                <w:color w:val="auto"/>
              </w:rPr>
            </w:pPr>
            <w:r>
              <w:rPr>
                <w:rFonts w:ascii="Arial" w:cs="Arial" w:eastAsia="Arial" w:hAnsi="Arial"/>
                <w:sz w:val="18"/>
                <w:szCs w:val="18"/>
                <w:color w:val="auto"/>
              </w:rPr>
              <w:t>Net operating income available to Genworth Financial, Inc.’s common stockholders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0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21%</w:t>
            </w:r>
          </w:p>
        </w:tc>
        <w:tc>
          <w:tcPr>
            <w:tcW w:w="0" w:type="dxa"/>
            <w:vAlign w:val="bottom"/>
          </w:tcPr>
          <w:p>
            <w:pPr>
              <w:spacing w:after="0" w:line="20" w:lineRule="exact"/>
              <w:rPr>
                <w:sz w:val="1"/>
                <w:szCs w:val="1"/>
                <w:color w:val="auto"/>
              </w:rPr>
            </w:pPr>
          </w:p>
        </w:tc>
      </w:tr>
      <w:tr>
        <w:trPr>
          <w:trHeight w:val="222"/>
        </w:trPr>
        <w:tc>
          <w:tcPr>
            <w:tcW w:w="7320" w:type="dxa"/>
            <w:vAlign w:val="bottom"/>
            <w:gridSpan w:val="3"/>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105</w:t>
            </w:r>
          </w:p>
        </w:tc>
        <w:tc>
          <w:tcPr>
            <w:tcW w:w="80" w:type="dxa"/>
            <w:vAlign w:val="bottom"/>
          </w:tcPr>
          <w:p>
            <w:pPr>
              <w:spacing w:after="0"/>
              <w:rPr>
                <w:sz w:val="19"/>
                <w:szCs w:val="19"/>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87</w:t>
            </w:r>
          </w:p>
        </w:tc>
        <w:tc>
          <w:tcPr>
            <w:tcW w:w="38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$ 18</w:t>
            </w:r>
          </w:p>
        </w:tc>
        <w:tc>
          <w:tcPr>
            <w:tcW w:w="700" w:type="dxa"/>
            <w:vAlign w:val="bottom"/>
          </w:tcPr>
          <w:p>
            <w:pPr>
              <w:spacing w:after="0"/>
              <w:rPr>
                <w:sz w:val="19"/>
                <w:szCs w:val="19"/>
                <w:color w:val="auto"/>
              </w:rPr>
            </w:pPr>
          </w:p>
        </w:tc>
        <w:tc>
          <w:tcPr>
            <w:tcW w:w="6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300" w:type="dxa"/>
            <w:vAlign w:val="bottom"/>
          </w:tcPr>
          <w:p>
            <w:pPr>
              <w:jc w:val="right"/>
              <w:ind w:right="104"/>
              <w:spacing w:after="0"/>
              <w:rPr>
                <w:sz w:val="20"/>
                <w:szCs w:val="20"/>
                <w:color w:val="auto"/>
              </w:rPr>
            </w:pPr>
            <w:r>
              <w:rPr>
                <w:rFonts w:ascii="Arial" w:cs="Arial" w:eastAsia="Arial" w:hAnsi="Arial"/>
                <w:sz w:val="11"/>
                <w:szCs w:val="11"/>
                <w:color w:val="auto"/>
                <w:w w:val="88"/>
              </w:rPr>
              <w:t>(1)</w:t>
            </w:r>
          </w:p>
        </w:tc>
        <w:tc>
          <w:tcPr>
            <w:tcW w:w="5860" w:type="dxa"/>
            <w:vAlign w:val="bottom"/>
            <w:vMerge w:val="restart"/>
          </w:tcPr>
          <w:p>
            <w:pPr>
              <w:jc w:val="right"/>
              <w:spacing w:after="0"/>
              <w:rPr>
                <w:sz w:val="20"/>
                <w:szCs w:val="20"/>
                <w:color w:val="auto"/>
              </w:rPr>
            </w:pPr>
            <w:r>
              <w:rPr>
                <w:rFonts w:ascii="Arial" w:cs="Arial" w:eastAsia="Arial" w:hAnsi="Arial"/>
                <w:sz w:val="18"/>
                <w:szCs w:val="18"/>
                <w:color w:val="auto"/>
                <w:w w:val="90"/>
              </w:rPr>
              <w:t>We define “NM” as not meaningful for increases or decreases greater than 200%.</w:t>
            </w:r>
          </w:p>
        </w:tc>
        <w:tc>
          <w:tcPr>
            <w:tcW w:w="0" w:type="dxa"/>
            <w:vAlign w:val="bottom"/>
          </w:tcPr>
          <w:p>
            <w:pPr>
              <w:spacing w:after="0"/>
              <w:rPr>
                <w:sz w:val="1"/>
                <w:szCs w:val="1"/>
                <w:color w:val="auto"/>
              </w:rPr>
            </w:pPr>
          </w:p>
        </w:tc>
      </w:tr>
      <w:tr>
        <w:trPr>
          <w:trHeight w:val="128"/>
        </w:trPr>
        <w:tc>
          <w:tcPr>
            <w:tcW w:w="300" w:type="dxa"/>
            <w:vAlign w:val="bottom"/>
          </w:tcPr>
          <w:p>
            <w:pPr>
              <w:spacing w:after="0"/>
              <w:rPr>
                <w:sz w:val="11"/>
                <w:szCs w:val="11"/>
                <w:color w:val="auto"/>
              </w:rPr>
            </w:pPr>
          </w:p>
        </w:tc>
        <w:tc>
          <w:tcPr>
            <w:tcW w:w="58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65"/>
        </w:trPr>
        <w:tc>
          <w:tcPr>
            <w:tcW w:w="300" w:type="dxa"/>
            <w:vAlign w:val="bottom"/>
          </w:tcPr>
          <w:p>
            <w:pPr>
              <w:spacing w:after="0"/>
              <w:rPr>
                <w:sz w:val="24"/>
                <w:szCs w:val="24"/>
                <w:color w:val="auto"/>
              </w:rPr>
            </w:pPr>
          </w:p>
        </w:tc>
        <w:tc>
          <w:tcPr>
            <w:tcW w:w="5860" w:type="dxa"/>
            <w:vAlign w:val="bottom"/>
          </w:tcPr>
          <w:p>
            <w:pPr>
              <w:jc w:val="right"/>
              <w:ind w:right="272"/>
              <w:spacing w:after="0"/>
              <w:rPr>
                <w:sz w:val="20"/>
                <w:szCs w:val="20"/>
                <w:color w:val="auto"/>
              </w:rPr>
            </w:pPr>
            <w:r>
              <w:rPr>
                <w:rFonts w:ascii="Arial" w:cs="Arial" w:eastAsia="Arial" w:hAnsi="Arial"/>
                <w:sz w:val="18"/>
                <w:szCs w:val="18"/>
                <w:color w:val="auto"/>
              </w:rPr>
              <w:t>93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-392430</wp:posOffset>
            </wp:positionV>
            <wp:extent cx="728980"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net operating income for the businesses included in our International segment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w w:val="84"/>
              </w:rPr>
              <w:t>Increase</w:t>
            </w: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480" w:type="dxa"/>
            <w:vAlign w:val="bottom"/>
            <w:gridSpan w:val="4"/>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5"/>
          </w:tcPr>
          <w:p>
            <w:pPr>
              <w:jc w:val="center"/>
              <w:ind w:right="57"/>
              <w:spacing w:after="0" w:line="149" w:lineRule="exact"/>
              <w:rPr>
                <w:sz w:val="20"/>
                <w:szCs w:val="20"/>
                <w:color w:val="auto"/>
              </w:rPr>
            </w:pPr>
            <w:r>
              <w:rPr>
                <w:rFonts w:ascii="Arial" w:cs="Arial" w:eastAsia="Arial" w:hAnsi="Arial"/>
                <w:sz w:val="14"/>
                <w:szCs w:val="14"/>
                <w:b w:val="1"/>
                <w:bCs w:val="1"/>
                <w:color w:val="auto"/>
                <w:w w:val="85"/>
              </w:rPr>
              <w:t>Three months ended</w:t>
            </w:r>
          </w:p>
        </w:tc>
        <w:tc>
          <w:tcPr>
            <w:tcW w:w="500" w:type="dxa"/>
            <w:vAlign w:val="bottom"/>
          </w:tcPr>
          <w:p>
            <w:pPr>
              <w:spacing w:after="0"/>
              <w:rPr>
                <w:sz w:val="12"/>
                <w:szCs w:val="12"/>
                <w:color w:val="auto"/>
              </w:rPr>
            </w:pPr>
          </w:p>
        </w:tc>
        <w:tc>
          <w:tcPr>
            <w:tcW w:w="980" w:type="dxa"/>
            <w:vAlign w:val="bottom"/>
            <w:gridSpan w:val="2"/>
          </w:tcPr>
          <w:p>
            <w:pPr>
              <w:jc w:val="center"/>
              <w:ind w:left="224"/>
              <w:spacing w:after="0" w:line="149" w:lineRule="exact"/>
              <w:rPr>
                <w:sz w:val="20"/>
                <w:szCs w:val="20"/>
                <w:color w:val="auto"/>
              </w:rPr>
            </w:pPr>
            <w:r>
              <w:rPr>
                <w:rFonts w:ascii="Arial" w:cs="Arial" w:eastAsia="Arial" w:hAnsi="Arial"/>
                <w:sz w:val="14"/>
                <w:szCs w:val="14"/>
                <w:b w:val="1"/>
                <w:bCs w:val="1"/>
                <w:color w:val="auto"/>
                <w:w w:val="85"/>
              </w:rPr>
              <w:t>percentage</w:t>
            </w:r>
          </w:p>
        </w:tc>
        <w:tc>
          <w:tcPr>
            <w:tcW w:w="3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78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gridSpan w:val="2"/>
          </w:tcPr>
          <w:p>
            <w:pPr>
              <w:jc w:val="center"/>
              <w:ind w:left="322"/>
              <w:spacing w:after="0"/>
              <w:rPr>
                <w:sz w:val="20"/>
                <w:szCs w:val="20"/>
                <w:color w:val="auto"/>
              </w:rPr>
            </w:pPr>
            <w:r>
              <w:rPr>
                <w:rFonts w:ascii="Arial" w:cs="Arial" w:eastAsia="Arial" w:hAnsi="Arial"/>
                <w:sz w:val="14"/>
                <w:szCs w:val="14"/>
                <w:b w:val="1"/>
                <w:bCs w:val="1"/>
                <w:color w:val="auto"/>
                <w:w w:val="85"/>
              </w:rPr>
              <w:t>June 30,</w:t>
            </w: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change</w:t>
            </w:r>
          </w:p>
        </w:tc>
        <w:tc>
          <w:tcPr>
            <w:tcW w:w="3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84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480" w:type="dxa"/>
            <w:vAlign w:val="bottom"/>
          </w:tcPr>
          <w:p>
            <w:pPr>
              <w:jc w:val="right"/>
              <w:ind w:right="82"/>
              <w:spacing w:after="0" w:line="142" w:lineRule="exact"/>
              <w:rPr>
                <w:sz w:val="20"/>
                <w:szCs w:val="20"/>
                <w:color w:val="auto"/>
              </w:rPr>
            </w:pPr>
            <w:r>
              <w:rPr>
                <w:rFonts w:ascii="Arial" w:cs="Arial" w:eastAsia="Arial" w:hAnsi="Arial"/>
                <w:sz w:val="14"/>
                <w:szCs w:val="14"/>
                <w:b w:val="1"/>
                <w:bCs w:val="1"/>
                <w:color w:val="auto"/>
                <w:w w:val="96"/>
              </w:rPr>
              <w:t>2010</w:t>
            </w: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jc w:val="right"/>
              <w:ind w:right="17"/>
              <w:spacing w:after="0" w:line="142" w:lineRule="exact"/>
              <w:rPr>
                <w:sz w:val="20"/>
                <w:szCs w:val="20"/>
                <w:color w:val="auto"/>
              </w:rPr>
            </w:pPr>
            <w:r>
              <w:rPr>
                <w:rFonts w:ascii="Arial" w:cs="Arial" w:eastAsia="Arial" w:hAnsi="Arial"/>
                <w:sz w:val="14"/>
                <w:szCs w:val="14"/>
                <w:b w:val="1"/>
                <w:bCs w:val="1"/>
                <w:color w:val="auto"/>
                <w:w w:val="83"/>
              </w:rPr>
              <w:t>2009</w:t>
            </w:r>
          </w:p>
        </w:tc>
        <w:tc>
          <w:tcPr>
            <w:tcW w:w="500" w:type="dxa"/>
            <w:vAlign w:val="bottom"/>
          </w:tcPr>
          <w:p>
            <w:pPr>
              <w:spacing w:after="0"/>
              <w:rPr>
                <w:sz w:val="12"/>
                <w:szCs w:val="12"/>
                <w:color w:val="auto"/>
              </w:rPr>
            </w:pPr>
          </w:p>
        </w:tc>
        <w:tc>
          <w:tcPr>
            <w:tcW w:w="128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5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operating income available to Genworth Financial, Inc.’s common stockholders:</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tcPr>
          <w:p>
            <w:pPr>
              <w:spacing w:after="0"/>
              <w:rPr>
                <w:sz w:val="20"/>
                <w:szCs w:val="20"/>
                <w:color w:val="auto"/>
              </w:rPr>
            </w:pPr>
            <w:r>
              <w:rPr>
                <w:rFonts w:ascii="Arial" w:cs="Arial" w:eastAsia="Arial" w:hAnsi="Arial"/>
                <w:sz w:val="18"/>
                <w:szCs w:val="18"/>
                <w:color w:val="auto"/>
              </w:rPr>
              <w:t>International mortgage insurance</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93</w:t>
            </w:r>
          </w:p>
        </w:tc>
        <w:tc>
          <w:tcPr>
            <w:tcW w:w="48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Arial" w:cs="Arial" w:eastAsia="Arial" w:hAnsi="Arial"/>
                <w:sz w:val="18"/>
                <w:szCs w:val="18"/>
                <w:color w:val="auto"/>
                <w:w w:val="99"/>
              </w:rPr>
              <w:t>$</w:t>
            </w:r>
          </w:p>
        </w:tc>
        <w:tc>
          <w:tcPr>
            <w:tcW w:w="380" w:type="dxa"/>
            <w:vAlign w:val="bottom"/>
          </w:tcPr>
          <w:p>
            <w:pPr>
              <w:jc w:val="right"/>
              <w:spacing w:after="0"/>
              <w:rPr>
                <w:sz w:val="20"/>
                <w:szCs w:val="20"/>
                <w:color w:val="auto"/>
              </w:rPr>
            </w:pPr>
            <w:r>
              <w:rPr>
                <w:rFonts w:ascii="Arial" w:cs="Arial" w:eastAsia="Arial" w:hAnsi="Arial"/>
                <w:sz w:val="18"/>
                <w:szCs w:val="18"/>
                <w:color w:val="auto"/>
              </w:rPr>
              <w:t>83</w:t>
            </w:r>
          </w:p>
        </w:tc>
        <w:tc>
          <w:tcPr>
            <w:tcW w:w="1480" w:type="dxa"/>
            <w:vAlign w:val="bottom"/>
            <w:gridSpan w:val="3"/>
          </w:tcPr>
          <w:p>
            <w:pPr>
              <w:jc w:val="right"/>
              <w:ind w:right="572"/>
              <w:spacing w:after="0"/>
              <w:rPr>
                <w:sz w:val="20"/>
                <w:szCs w:val="20"/>
                <w:color w:val="auto"/>
              </w:rPr>
            </w:pPr>
            <w:r>
              <w:rPr>
                <w:rFonts w:ascii="Arial" w:cs="Arial" w:eastAsia="Arial" w:hAnsi="Arial"/>
                <w:sz w:val="18"/>
                <w:szCs w:val="18"/>
                <w:color w:val="auto"/>
              </w:rPr>
              <w:t>$ 10</w:t>
            </w: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Lifestyle protection insurance</w:t>
            </w: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4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5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72"/>
              <w:spacing w:after="0"/>
              <w:rPr>
                <w:sz w:val="20"/>
                <w:szCs w:val="20"/>
                <w:color w:val="auto"/>
              </w:rPr>
            </w:pPr>
            <w:r>
              <w:rPr>
                <w:rFonts w:ascii="Arial" w:cs="Arial" w:eastAsia="Arial" w:hAnsi="Arial"/>
                <w:sz w:val="18"/>
                <w:szCs w:val="18"/>
                <w:color w:val="auto"/>
              </w:rPr>
              <w:t>8</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1"/>
              </w:rPr>
              <w:t>200%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2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net operating income available to Genworth Financial, Inc.’s common stockholders:</w:t>
            </w: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0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rPr>
              <w:t>21%</w:t>
            </w: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820" w:type="dxa"/>
            <w:vAlign w:val="bottom"/>
            <w:gridSpan w:val="2"/>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105</w:t>
            </w:r>
          </w:p>
        </w:tc>
        <w:tc>
          <w:tcPr>
            <w:tcW w:w="4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80" w:type="dxa"/>
            <w:vAlign w:val="bottom"/>
          </w:tcPr>
          <w:p>
            <w:pPr>
              <w:jc w:val="right"/>
              <w:spacing w:after="0"/>
              <w:rPr>
                <w:sz w:val="20"/>
                <w:szCs w:val="20"/>
                <w:color w:val="auto"/>
              </w:rPr>
            </w:pPr>
            <w:r>
              <w:rPr>
                <w:rFonts w:ascii="Arial" w:cs="Arial" w:eastAsia="Arial" w:hAnsi="Arial"/>
                <w:sz w:val="18"/>
                <w:szCs w:val="18"/>
                <w:color w:val="auto"/>
              </w:rPr>
              <w:t>87</w:t>
            </w:r>
          </w:p>
        </w:tc>
        <w:tc>
          <w:tcPr>
            <w:tcW w:w="500" w:type="dxa"/>
            <w:vAlign w:val="bottom"/>
          </w:tcPr>
          <w:p>
            <w:pPr>
              <w:spacing w:after="0"/>
              <w:rPr>
                <w:sz w:val="19"/>
                <w:szCs w:val="19"/>
                <w:color w:val="auto"/>
              </w:rPr>
            </w:pPr>
          </w:p>
        </w:tc>
        <w:tc>
          <w:tcPr>
            <w:tcW w:w="980" w:type="dxa"/>
            <w:vAlign w:val="bottom"/>
            <w:gridSpan w:val="2"/>
          </w:tcPr>
          <w:p>
            <w:pPr>
              <w:jc w:val="right"/>
              <w:ind w:right="572"/>
              <w:spacing w:after="0"/>
              <w:rPr>
                <w:sz w:val="20"/>
                <w:szCs w:val="20"/>
                <w:color w:val="auto"/>
              </w:rPr>
            </w:pPr>
            <w:r>
              <w:rPr>
                <w:rFonts w:ascii="Arial" w:cs="Arial" w:eastAsia="Arial" w:hAnsi="Arial"/>
                <w:sz w:val="18"/>
                <w:szCs w:val="18"/>
                <w:color w:val="auto"/>
                <w:w w:val="91"/>
              </w:rPr>
              <w:t>$ 18</w:t>
            </w:r>
          </w:p>
        </w:tc>
        <w:tc>
          <w:tcPr>
            <w:tcW w:w="5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operating income available to Genworth Financial, Inc.’s common stockholders</w:t>
      </w:r>
    </w:p>
    <w:p>
      <w:pPr>
        <w:spacing w:after="0" w:line="90" w:lineRule="exact"/>
        <w:rPr>
          <w:sz w:val="20"/>
          <w:szCs w:val="20"/>
          <w:color w:val="auto"/>
        </w:rPr>
      </w:pPr>
    </w:p>
    <w:p>
      <w:pPr>
        <w:ind w:left="900" w:right="180" w:hanging="325"/>
        <w:spacing w:after="0" w:line="268" w:lineRule="auto"/>
        <w:tabs>
          <w:tab w:leader="none" w:pos="90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three months ended June 30, 2010 included an increase of $14 million and a decrease of $1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right="120" w:hanging="325"/>
        <w:spacing w:after="0" w:line="294" w:lineRule="auto"/>
        <w:tabs>
          <w:tab w:leader="none" w:pos="900" w:val="left"/>
        </w:tabs>
        <w:numPr>
          <w:ilvl w:val="0"/>
          <w:numId w:val="79"/>
        </w:numPr>
        <w:rPr>
          <w:rFonts w:ascii="Arial" w:cs="Arial" w:eastAsia="Arial" w:hAnsi="Arial"/>
          <w:sz w:val="16"/>
          <w:szCs w:val="16"/>
          <w:color w:val="auto"/>
        </w:rPr>
      </w:pPr>
      <w:r>
        <w:rPr>
          <w:rFonts w:ascii="Arial" w:cs="Arial" w:eastAsia="Arial" w:hAnsi="Arial"/>
          <w:sz w:val="16"/>
          <w:szCs w:val="16"/>
          <w:color w:val="auto"/>
        </w:rPr>
        <w:t>Excluding the effect of foreign exchange, the decrease in our international mortgage insurance business was primarily driven by the initial public offering of our Canadian mortgage insurance business in July 2009 which reduced our ownership percentage to 57.5% resulting in lower net operating income of $35 million, which included $4 million attributable to changes in foreign exchange rates, in the second quarter of 2010. Excluding the impact related to noncontrolling interests, net operating income for our international mortgage insurance business increased primarily due to lower losses in Canada and Australia. There was also a benefit from newly enacted Australian tax legislation in the current year.</w:t>
      </w:r>
    </w:p>
    <w:p>
      <w:pPr>
        <w:spacing w:after="0" w:line="34" w:lineRule="exact"/>
        <w:rPr>
          <w:rFonts w:ascii="Arial" w:cs="Arial" w:eastAsia="Arial" w:hAnsi="Arial"/>
          <w:sz w:val="16"/>
          <w:szCs w:val="16"/>
          <w:color w:val="auto"/>
        </w:rPr>
      </w:pPr>
    </w:p>
    <w:p>
      <w:pPr>
        <w:ind w:left="900" w:right="40" w:hanging="325"/>
        <w:spacing w:after="0" w:line="259" w:lineRule="auto"/>
        <w:tabs>
          <w:tab w:leader="none" w:pos="900" w:val="left"/>
        </w:tabs>
        <w:numPr>
          <w:ilvl w:val="0"/>
          <w:numId w:val="79"/>
        </w:numPr>
        <w:rPr>
          <w:rFonts w:ascii="Arial" w:cs="Arial" w:eastAsia="Arial" w:hAnsi="Arial"/>
          <w:sz w:val="18"/>
          <w:szCs w:val="18"/>
          <w:color w:val="auto"/>
        </w:rPr>
      </w:pPr>
      <w:r>
        <w:rPr>
          <w:rFonts w:ascii="Arial" w:cs="Arial" w:eastAsia="Arial" w:hAnsi="Arial"/>
          <w:sz w:val="18"/>
          <w:szCs w:val="18"/>
          <w:color w:val="auto"/>
        </w:rPr>
        <w:t>Net operating income for our lifestyle protection insurance business increased from a decrease in new claim registrations from stabilization of economic conditions and a favorable impact from our re-pricing actions that we began in the second half of 2009, partially offset by lower sales from reduced levels of consumer lending.</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90"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Premiums</w:t>
      </w:r>
    </w:p>
    <w:p>
      <w:pPr>
        <w:spacing w:after="0" w:line="90" w:lineRule="exact"/>
        <w:rPr>
          <w:sz w:val="20"/>
          <w:szCs w:val="20"/>
          <w:color w:val="auto"/>
        </w:rPr>
      </w:pPr>
    </w:p>
    <w:p>
      <w:pPr>
        <w:ind w:left="900" w:hanging="325"/>
        <w:spacing w:after="0"/>
        <w:tabs>
          <w:tab w:leader="none" w:pos="900" w:val="left"/>
        </w:tabs>
        <w:numPr>
          <w:ilvl w:val="0"/>
          <w:numId w:val="80"/>
        </w:numPr>
        <w:rPr>
          <w:rFonts w:ascii="Arial" w:cs="Arial" w:eastAsia="Arial" w:hAnsi="Arial"/>
          <w:sz w:val="16"/>
          <w:szCs w:val="16"/>
          <w:color w:val="auto"/>
        </w:rPr>
      </w:pPr>
      <w:r>
        <w:rPr>
          <w:rFonts w:ascii="Arial" w:cs="Arial" w:eastAsia="Arial" w:hAnsi="Arial"/>
          <w:sz w:val="16"/>
          <w:szCs w:val="16"/>
          <w:color w:val="auto"/>
        </w:rPr>
        <w:t>Our international mortgage insurance business increased $27 million and our lifestyle protection insurance business decreased $40 million.</w:t>
      </w:r>
    </w:p>
    <w:p>
      <w:pPr>
        <w:spacing w:after="0" w:line="113" w:lineRule="exact"/>
        <w:rPr>
          <w:rFonts w:ascii="Arial" w:cs="Arial" w:eastAsia="Arial" w:hAnsi="Arial"/>
          <w:sz w:val="16"/>
          <w:szCs w:val="16"/>
          <w:color w:val="auto"/>
        </w:rPr>
      </w:pPr>
    </w:p>
    <w:p>
      <w:pPr>
        <w:ind w:left="900" w:right="180" w:hanging="325"/>
        <w:spacing w:after="0" w:line="268" w:lineRule="auto"/>
        <w:tabs>
          <w:tab w:leader="none" w:pos="9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The three months ended June 30, 2010 included an increase of $31 million and a decrease of $6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right="180" w:hanging="325"/>
        <w:spacing w:after="0" w:line="259" w:lineRule="auto"/>
        <w:tabs>
          <w:tab w:leader="none" w:pos="9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Excluding the effects of foreign exchange, the decrease in our international mortgage insurance business was primarily related to Australia as seasoning of our in-force block of business was more than offset by increased ceded reinsurance premiums in the second quarter of 2010 and lower new business volumes.</w:t>
      </w:r>
    </w:p>
    <w:p>
      <w:pPr>
        <w:spacing w:after="0" w:line="59" w:lineRule="exact"/>
        <w:rPr>
          <w:rFonts w:ascii="Arial" w:cs="Arial" w:eastAsia="Arial" w:hAnsi="Arial"/>
          <w:sz w:val="18"/>
          <w:szCs w:val="18"/>
          <w:color w:val="auto"/>
        </w:rPr>
      </w:pPr>
    </w:p>
    <w:p>
      <w:pPr>
        <w:ind w:left="900" w:right="40" w:hanging="325"/>
        <w:spacing w:after="0" w:line="259" w:lineRule="auto"/>
        <w:tabs>
          <w:tab w:leader="none" w:pos="9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The decrease in our lifestyle protection insurance business was primarily attributable to our runoff business. Reduced levels of consumer lending and lower single premium sales related to new business regulations in the U.K. also contributed to the decrease. These decreases were partially offset by a favorable impact from our re-pricing actions that we began in the second half of 2009.</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ectPr>
          <w:pgSz w:w="11900" w:h="16838" w:orient="portrait"/>
          <w:cols w:equalWidth="0" w:num="1">
            <w:col w:w="11420"/>
          </w:cols>
          <w:pgMar w:left="240" w:top="459" w:right="23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Net investment income</w:t>
      </w:r>
    </w:p>
    <w:p>
      <w:pPr>
        <w:spacing w:after="0" w:line="90" w:lineRule="exact"/>
        <w:rPr>
          <w:sz w:val="20"/>
          <w:szCs w:val="20"/>
          <w:color w:val="auto"/>
        </w:rPr>
      </w:pPr>
    </w:p>
    <w:p>
      <w:pPr>
        <w:ind w:left="900" w:hanging="325"/>
        <w:spacing w:after="0"/>
        <w:tabs>
          <w:tab w:leader="none" w:pos="900" w:val="left"/>
        </w:tabs>
        <w:numPr>
          <w:ilvl w:val="0"/>
          <w:numId w:val="81"/>
        </w:numPr>
        <w:rPr>
          <w:rFonts w:ascii="Arial" w:cs="Arial" w:eastAsia="Arial" w:hAnsi="Arial"/>
          <w:sz w:val="16"/>
          <w:szCs w:val="16"/>
          <w:color w:val="auto"/>
        </w:rPr>
      </w:pPr>
      <w:r>
        <w:rPr>
          <w:rFonts w:ascii="Arial" w:cs="Arial" w:eastAsia="Arial" w:hAnsi="Arial"/>
          <w:sz w:val="16"/>
          <w:szCs w:val="16"/>
          <w:color w:val="auto"/>
        </w:rPr>
        <w:t>Our international mortgage insurance business increased $14 million and our lifestyle protection insurance business decreased $9 million.</w:t>
      </w:r>
    </w:p>
    <w:p>
      <w:pPr>
        <w:spacing w:after="0" w:line="113" w:lineRule="exact"/>
        <w:rPr>
          <w:rFonts w:ascii="Arial" w:cs="Arial" w:eastAsia="Arial" w:hAnsi="Arial"/>
          <w:sz w:val="16"/>
          <w:szCs w:val="16"/>
          <w:color w:val="auto"/>
        </w:rPr>
      </w:pPr>
    </w:p>
    <w:p>
      <w:pPr>
        <w:ind w:left="900" w:right="80" w:hanging="325"/>
        <w:spacing w:after="0" w:line="268" w:lineRule="auto"/>
        <w:tabs>
          <w:tab w:leader="none" w:pos="9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three months ended June 30, 2010 included an increase of $12 million and a decrease of $1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Our international mortgage insurance business was relatively flat as an increase in invested assets was offset by lower yields.</w:t>
      </w:r>
    </w:p>
    <w:p>
      <w:pPr>
        <w:spacing w:after="0" w:line="90" w:lineRule="exact"/>
        <w:rPr>
          <w:rFonts w:ascii="Arial" w:cs="Arial" w:eastAsia="Arial" w:hAnsi="Arial"/>
          <w:sz w:val="18"/>
          <w:szCs w:val="18"/>
          <w:color w:val="auto"/>
        </w:rPr>
      </w:pPr>
    </w:p>
    <w:p>
      <w:pPr>
        <w:ind w:left="900" w:right="80" w:hanging="325"/>
        <w:spacing w:after="0" w:line="259" w:lineRule="auto"/>
        <w:tabs>
          <w:tab w:leader="none" w:pos="9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decrease in our lifestyle protection insurance business was principally attributable to reinsurance arrangements accounted for under the deposit method and a decrease in average invested assets. In 2009, we made a reclassification adjustment to interest expense related to our reinsurance arrangements that were in a loss position that did not recur.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Benefits and expenses</w:t>
      </w:r>
    </w:p>
    <w:p>
      <w:pPr>
        <w:spacing w:after="0" w:line="90"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Benefits and other changes in policy reserves</w:t>
      </w:r>
    </w:p>
    <w:p>
      <w:pPr>
        <w:spacing w:after="0" w:line="90" w:lineRule="exact"/>
        <w:rPr>
          <w:sz w:val="20"/>
          <w:szCs w:val="20"/>
          <w:color w:val="auto"/>
        </w:rPr>
      </w:pPr>
    </w:p>
    <w:p>
      <w:pPr>
        <w:ind w:left="900" w:hanging="325"/>
        <w:spacing w:after="0"/>
        <w:tabs>
          <w:tab w:leader="none" w:pos="900" w:val="left"/>
        </w:tabs>
        <w:numPr>
          <w:ilvl w:val="0"/>
          <w:numId w:val="82"/>
        </w:numPr>
        <w:rPr>
          <w:rFonts w:ascii="Arial" w:cs="Arial" w:eastAsia="Arial" w:hAnsi="Arial"/>
          <w:sz w:val="16"/>
          <w:szCs w:val="16"/>
          <w:color w:val="auto"/>
        </w:rPr>
      </w:pPr>
      <w:r>
        <w:rPr>
          <w:rFonts w:ascii="Arial" w:cs="Arial" w:eastAsia="Arial" w:hAnsi="Arial"/>
          <w:sz w:val="16"/>
          <w:szCs w:val="16"/>
          <w:color w:val="auto"/>
        </w:rPr>
        <w:t>Our international mortgage insurance business decreased $19 million and our lifestyle protection insurance business decreased $44 million.</w:t>
      </w:r>
    </w:p>
    <w:p>
      <w:pPr>
        <w:spacing w:after="0" w:line="113" w:lineRule="exact"/>
        <w:rPr>
          <w:rFonts w:ascii="Arial" w:cs="Arial" w:eastAsia="Arial" w:hAnsi="Arial"/>
          <w:sz w:val="16"/>
          <w:szCs w:val="16"/>
          <w:color w:val="auto"/>
        </w:rPr>
      </w:pPr>
    </w:p>
    <w:p>
      <w:pPr>
        <w:ind w:left="900" w:right="80" w:hanging="325"/>
        <w:spacing w:after="0" w:line="268" w:lineRule="auto"/>
        <w:tabs>
          <w:tab w:leader="none" w:pos="90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three months ended June 30, 2010 included an increase of $11 million and a decrease of $1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hanging="325"/>
        <w:spacing w:after="0" w:line="259" w:lineRule="auto"/>
        <w:tabs>
          <w:tab w:leader="none" w:pos="90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decrease in our international mortgage insurance business was primarily related to Canada and Australia. In Canada, losses declined driven by lower new delinquencies from an improving economy. In Australia, losses decreased as a result of lower reserves per delinquency primarily from an improving economy.</w:t>
      </w:r>
    </w:p>
    <w:p>
      <w:pPr>
        <w:spacing w:after="0" w:line="59" w:lineRule="exact"/>
        <w:rPr>
          <w:rFonts w:ascii="Arial" w:cs="Arial" w:eastAsia="Arial" w:hAnsi="Arial"/>
          <w:sz w:val="18"/>
          <w:szCs w:val="18"/>
          <w:color w:val="auto"/>
        </w:rPr>
      </w:pPr>
    </w:p>
    <w:p>
      <w:pPr>
        <w:ind w:left="900" w:right="20" w:hanging="325"/>
        <w:spacing w:after="0" w:line="259" w:lineRule="auto"/>
        <w:tabs>
          <w:tab w:leader="none" w:pos="90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decrease in our lifestyle protection insurance business was largely attributable to a decrease in claim reserves from declining claim registrations as a result of stabilization of economic conditions in Europe. These decreases were partially offset by a favorable reserve adjustment in the second quarter of 2009 that did not recur.</w:t>
      </w:r>
    </w:p>
    <w:p>
      <w:pPr>
        <w:spacing w:after="0" w:line="221"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Acquisition and operating expenses, net of deferrals</w:t>
      </w:r>
    </w:p>
    <w:p>
      <w:pPr>
        <w:spacing w:after="0" w:line="90" w:lineRule="exact"/>
        <w:rPr>
          <w:sz w:val="20"/>
          <w:szCs w:val="20"/>
          <w:color w:val="auto"/>
        </w:rPr>
      </w:pPr>
    </w:p>
    <w:p>
      <w:pPr>
        <w:ind w:left="900" w:hanging="325"/>
        <w:spacing w:after="0"/>
        <w:tabs>
          <w:tab w:leader="none" w:pos="900" w:val="left"/>
        </w:tabs>
        <w:numPr>
          <w:ilvl w:val="0"/>
          <w:numId w:val="83"/>
        </w:numPr>
        <w:rPr>
          <w:rFonts w:ascii="Arial" w:cs="Arial" w:eastAsia="Arial" w:hAnsi="Arial"/>
          <w:sz w:val="16"/>
          <w:szCs w:val="16"/>
          <w:color w:val="auto"/>
        </w:rPr>
      </w:pPr>
      <w:r>
        <w:rPr>
          <w:rFonts w:ascii="Arial" w:cs="Arial" w:eastAsia="Arial" w:hAnsi="Arial"/>
          <w:sz w:val="16"/>
          <w:szCs w:val="16"/>
          <w:color w:val="auto"/>
        </w:rPr>
        <w:t>Our international mortgage insurance business increased $11 million and our lifestyle protection insurance business decreased $3 million.</w:t>
      </w:r>
    </w:p>
    <w:p>
      <w:pPr>
        <w:spacing w:after="0" w:line="113" w:lineRule="exact"/>
        <w:rPr>
          <w:rFonts w:ascii="Arial" w:cs="Arial" w:eastAsia="Arial" w:hAnsi="Arial"/>
          <w:sz w:val="16"/>
          <w:szCs w:val="16"/>
          <w:color w:val="auto"/>
        </w:rPr>
      </w:pPr>
    </w:p>
    <w:p>
      <w:pPr>
        <w:ind w:left="900" w:right="160" w:hanging="325"/>
        <w:spacing w:after="0" w:line="268" w:lineRule="auto"/>
        <w:tabs>
          <w:tab w:leader="none" w:pos="9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three months ended June 30, 2010 included an increase of $5 million and a decrease of $5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hanging="325"/>
        <w:spacing w:after="0" w:line="268" w:lineRule="auto"/>
        <w:tabs>
          <w:tab w:leader="none" w:pos="9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increase in our international mortgage insurance business was due to higher expenses in Canada and the cancellation of our capital maintenance agreement with our U.S. mortgage insurance business in the second quarter of 2009.</w:t>
      </w:r>
    </w:p>
    <w:p>
      <w:pPr>
        <w:spacing w:after="0" w:line="50" w:lineRule="exact"/>
        <w:rPr>
          <w:rFonts w:ascii="Arial" w:cs="Arial" w:eastAsia="Arial" w:hAnsi="Arial"/>
          <w:sz w:val="18"/>
          <w:szCs w:val="18"/>
          <w:color w:val="auto"/>
        </w:rPr>
      </w:pPr>
    </w:p>
    <w:p>
      <w:pPr>
        <w:ind w:left="900" w:right="80" w:hanging="325"/>
        <w:spacing w:after="0" w:line="332" w:lineRule="auto"/>
        <w:tabs>
          <w:tab w:leader="none" w:pos="900" w:val="left"/>
        </w:tabs>
        <w:numPr>
          <w:ilvl w:val="0"/>
          <w:numId w:val="83"/>
        </w:numPr>
        <w:rPr>
          <w:rFonts w:ascii="Arial" w:cs="Arial" w:eastAsia="Arial" w:hAnsi="Arial"/>
          <w:sz w:val="16"/>
          <w:szCs w:val="16"/>
          <w:color w:val="auto"/>
        </w:rPr>
      </w:pPr>
      <w:r>
        <w:rPr>
          <w:rFonts w:ascii="Arial" w:cs="Arial" w:eastAsia="Arial" w:hAnsi="Arial"/>
          <w:sz w:val="16"/>
          <w:szCs w:val="16"/>
          <w:color w:val="auto"/>
        </w:rPr>
        <w:t>Excluding the effects of foreign exchange, the increase in our lifestyle protection insurance business was largely attributable to an increase in profit commissions driven by lower claims, partially offset by a decrease in commissions related to a decline in new business.</w:t>
      </w:r>
    </w:p>
    <w:p>
      <w:pPr>
        <w:spacing w:after="0" w:line="7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320"/>
          </w:cols>
          <w:pgMar w:left="240" w:top="459" w:right="33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Amortization of deferred acquisition costs and intangibles</w:t>
      </w:r>
    </w:p>
    <w:p>
      <w:pPr>
        <w:spacing w:after="0" w:line="90" w:lineRule="exact"/>
        <w:rPr>
          <w:sz w:val="20"/>
          <w:szCs w:val="20"/>
          <w:color w:val="auto"/>
        </w:rPr>
      </w:pPr>
    </w:p>
    <w:p>
      <w:pPr>
        <w:ind w:left="900" w:hanging="325"/>
        <w:spacing w:after="0"/>
        <w:tabs>
          <w:tab w:leader="none" w:pos="900" w:val="left"/>
        </w:tabs>
        <w:numPr>
          <w:ilvl w:val="0"/>
          <w:numId w:val="84"/>
        </w:numPr>
        <w:rPr>
          <w:rFonts w:ascii="Arial" w:cs="Arial" w:eastAsia="Arial" w:hAnsi="Arial"/>
          <w:sz w:val="16"/>
          <w:szCs w:val="16"/>
          <w:color w:val="auto"/>
        </w:rPr>
      </w:pPr>
      <w:r>
        <w:rPr>
          <w:rFonts w:ascii="Arial" w:cs="Arial" w:eastAsia="Arial" w:hAnsi="Arial"/>
          <w:sz w:val="16"/>
          <w:szCs w:val="16"/>
          <w:color w:val="auto"/>
        </w:rPr>
        <w:t>Our international mortgage insurance business increased $7 million and our lifestyle protection insurance business decreased $6 million.</w:t>
      </w:r>
    </w:p>
    <w:p>
      <w:pPr>
        <w:spacing w:after="0" w:line="113" w:lineRule="exact"/>
        <w:rPr>
          <w:rFonts w:ascii="Arial" w:cs="Arial" w:eastAsia="Arial" w:hAnsi="Arial"/>
          <w:sz w:val="16"/>
          <w:szCs w:val="16"/>
          <w:color w:val="auto"/>
        </w:rPr>
      </w:pPr>
    </w:p>
    <w:p>
      <w:pPr>
        <w:ind w:left="900" w:right="160" w:hanging="325"/>
        <w:spacing w:after="0" w:line="268" w:lineRule="auto"/>
        <w:tabs>
          <w:tab w:leader="none" w:pos="900"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three months ended June 30, 2010 included an increase of $3 million and a decrease of $1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right="220" w:hanging="325"/>
        <w:spacing w:after="0" w:line="268" w:lineRule="auto"/>
        <w:tabs>
          <w:tab w:leader="none" w:pos="900"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increase in our international mortgage insurance business was as a result of an increase in amortization of deferred acquisition costs from the seasoning of our in-force blocks of business.</w:t>
      </w:r>
    </w:p>
    <w:p>
      <w:pPr>
        <w:spacing w:after="0" w:line="50" w:lineRule="exact"/>
        <w:rPr>
          <w:rFonts w:ascii="Arial" w:cs="Arial" w:eastAsia="Arial" w:hAnsi="Arial"/>
          <w:sz w:val="18"/>
          <w:szCs w:val="18"/>
          <w:color w:val="auto"/>
        </w:rPr>
      </w:pPr>
    </w:p>
    <w:p>
      <w:pPr>
        <w:ind w:left="900" w:hanging="325"/>
        <w:spacing w:after="0" w:line="268" w:lineRule="auto"/>
        <w:tabs>
          <w:tab w:leader="none" w:pos="900"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decrease in our lifestyle protection insurance business was attributable to a decrease in the U.K. from lower single premium sales related to new business regulations and a decrease from our runoff business.</w:t>
      </w:r>
    </w:p>
    <w:p>
      <w:pPr>
        <w:spacing w:after="0" w:line="132"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decreased $14 million primarily related to our lifestyle protection insurance business due to reinsurance arrangements</w:t>
      </w:r>
      <w:r>
        <w:rPr>
          <w:rFonts w:ascii="Arial" w:cs="Arial" w:eastAsia="Arial" w:hAnsi="Arial"/>
          <w:sz w:val="18"/>
          <w:szCs w:val="18"/>
          <w:i w:val="1"/>
          <w:iCs w:val="1"/>
          <w:color w:val="auto"/>
        </w:rPr>
        <w:t xml:space="preserve"> </w:t>
      </w:r>
      <w:r>
        <w:rPr>
          <w:rFonts w:ascii="Arial" w:cs="Arial" w:eastAsia="Arial" w:hAnsi="Arial"/>
          <w:sz w:val="18"/>
          <w:szCs w:val="18"/>
          <w:color w:val="auto"/>
        </w:rPr>
        <w:t>accounted for under the deposit method. In 2009, we made a reclassification adjustment from net investment income related to our reinsurance arrangements that were in a loss position that did not recur.</w:t>
      </w:r>
    </w:p>
    <w:p>
      <w:pPr>
        <w:spacing w:after="0" w:line="140" w:lineRule="exact"/>
        <w:rPr>
          <w:sz w:val="20"/>
          <w:szCs w:val="20"/>
          <w:color w:val="auto"/>
        </w:rPr>
      </w:pPr>
    </w:p>
    <w:p>
      <w:pPr>
        <w:ind w:right="220" w:firstLine="456"/>
        <w:spacing w:after="0" w:line="256" w:lineRule="auto"/>
        <w:rPr>
          <w:sz w:val="20"/>
          <w:szCs w:val="20"/>
          <w:color w:val="auto"/>
        </w:rPr>
      </w:pPr>
      <w:r>
        <w:rPr>
          <w:rFonts w:ascii="Arial" w:cs="Arial" w:eastAsia="Arial" w:hAnsi="Arial"/>
          <w:sz w:val="18"/>
          <w:szCs w:val="18"/>
          <w:i w:val="1"/>
          <w:iCs w:val="1"/>
          <w:color w:val="auto"/>
        </w:rPr>
        <w:t xml:space="preserve">Provision for income taxes. </w:t>
      </w:r>
      <w:r>
        <w:rPr>
          <w:rFonts w:ascii="Arial" w:cs="Arial" w:eastAsia="Arial" w:hAnsi="Arial"/>
          <w:sz w:val="18"/>
          <w:szCs w:val="18"/>
          <w:color w:val="auto"/>
        </w:rPr>
        <w:t>The effective tax rate decreased to 19.8% for the three months ended June 30, 2010 from 28.6% for the three months ended</w:t>
      </w:r>
      <w:r>
        <w:rPr>
          <w:rFonts w:ascii="Arial" w:cs="Arial" w:eastAsia="Arial" w:hAnsi="Arial"/>
          <w:sz w:val="18"/>
          <w:szCs w:val="18"/>
          <w:i w:val="1"/>
          <w:iCs w:val="1"/>
          <w:color w:val="auto"/>
        </w:rPr>
        <w:t xml:space="preserve"> </w:t>
      </w:r>
      <w:r>
        <w:rPr>
          <w:rFonts w:ascii="Arial" w:cs="Arial" w:eastAsia="Arial" w:hAnsi="Arial"/>
          <w:sz w:val="18"/>
          <w:szCs w:val="18"/>
          <w:color w:val="auto"/>
        </w:rPr>
        <w:t>June 30, 2009. This decrease in the effective tax rate was primarily attributable to the favorable impact of newly enacted Australian tax legislation and lower taxed foreign income in the current year. The three months ended June 30, 2010 also included an increase of $7 million attributable to changes in foreign exchange rates for our international mortgage business.</w:t>
      </w:r>
    </w:p>
    <w:p>
      <w:pPr>
        <w:spacing w:after="0" w:line="143"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i w:val="1"/>
          <w:iCs w:val="1"/>
          <w:color w:val="auto"/>
        </w:rPr>
        <w:t>Net income attributable to noncontrolling interests</w:t>
      </w:r>
      <w:r>
        <w:rPr>
          <w:rFonts w:ascii="Arial" w:cs="Arial" w:eastAsia="Arial" w:hAnsi="Arial"/>
          <w:sz w:val="18"/>
          <w:szCs w:val="18"/>
          <w:color w:val="auto"/>
        </w:rPr>
        <w:t>. The increase related to the initial public offering of our Canadian mortgage insurance business in July</w:t>
      </w:r>
      <w:r>
        <w:rPr>
          <w:rFonts w:ascii="Arial" w:cs="Arial" w:eastAsia="Arial" w:hAnsi="Arial"/>
          <w:sz w:val="18"/>
          <w:szCs w:val="18"/>
          <w:i w:val="1"/>
          <w:iCs w:val="1"/>
          <w:color w:val="auto"/>
        </w:rPr>
        <w:t xml:space="preserve"> </w:t>
      </w:r>
      <w:r>
        <w:rPr>
          <w:rFonts w:ascii="Arial" w:cs="Arial" w:eastAsia="Arial" w:hAnsi="Arial"/>
          <w:sz w:val="18"/>
          <w:szCs w:val="18"/>
          <w:color w:val="auto"/>
        </w:rPr>
        <w:t>2009 which reduced our ownership percentage to 57.5%. The three months ended June 30, 2010 included an increase of $4 million attributable to changes in foreign exchange rates.</w:t>
      </w:r>
    </w:p>
    <w:p>
      <w:pPr>
        <w:spacing w:after="0" w:line="12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96</w:t>
      </w:r>
    </w:p>
    <w:p>
      <w:pPr>
        <w:sectPr>
          <w:pgSz w:w="11900" w:h="16838" w:orient="portrait"/>
          <w:cols w:equalWidth="0" w:num="1">
            <w:col w:w="11320"/>
          </w:cols>
          <w:pgMar w:left="240" w:top="459" w:right="33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2010 Compared to Six Months Ended June 30, 2009</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results of operations relating to our International segment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center"/>
              <w:ind w:left="176"/>
              <w:spacing w:after="0"/>
              <w:rPr>
                <w:sz w:val="20"/>
                <w:szCs w:val="20"/>
                <w:color w:val="auto"/>
              </w:rPr>
            </w:pPr>
            <w:r>
              <w:rPr>
                <w:rFonts w:ascii="Arial" w:cs="Arial" w:eastAsia="Arial" w:hAnsi="Arial"/>
                <w:sz w:val="14"/>
                <w:szCs w:val="14"/>
                <w:b w:val="1"/>
                <w:bCs w:val="1"/>
                <w:color w:val="auto"/>
                <w:w w:val="87"/>
              </w:rPr>
              <w:t>Increase</w:t>
            </w: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6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82"/>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80" w:type="dxa"/>
            <w:vAlign w:val="bottom"/>
            <w:gridSpan w:val="5"/>
          </w:tcPr>
          <w:p>
            <w:pPr>
              <w:jc w:val="right"/>
              <w:ind w:right="520"/>
              <w:spacing w:after="0" w:line="149" w:lineRule="exact"/>
              <w:rPr>
                <w:sz w:val="20"/>
                <w:szCs w:val="20"/>
                <w:color w:val="auto"/>
              </w:rPr>
            </w:pPr>
            <w:r>
              <w:rPr>
                <w:rFonts w:ascii="Arial" w:cs="Arial" w:eastAsia="Arial" w:hAnsi="Arial"/>
                <w:sz w:val="14"/>
                <w:szCs w:val="14"/>
                <w:b w:val="1"/>
                <w:bCs w:val="1"/>
                <w:color w:val="auto"/>
                <w:w w:val="94"/>
              </w:rPr>
              <w:t>Six months ended</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6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82"/>
              </w:rPr>
              <w:t>percentage</w:t>
            </w:r>
          </w:p>
        </w:tc>
        <w:tc>
          <w:tcPr>
            <w:tcW w:w="0" w:type="dxa"/>
            <w:vAlign w:val="bottom"/>
          </w:tcPr>
          <w:p>
            <w:pPr>
              <w:spacing w:after="0"/>
              <w:rPr>
                <w:sz w:val="1"/>
                <w:szCs w:val="1"/>
                <w:color w:val="auto"/>
              </w:rPr>
            </w:pPr>
          </w:p>
        </w:tc>
      </w:tr>
      <w:tr>
        <w:trPr>
          <w:trHeight w:val="161"/>
        </w:trPr>
        <w:tc>
          <w:tcPr>
            <w:tcW w:w="79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2"/>
              </w:rPr>
              <w:t>June 30,</w:t>
            </w: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change</w:t>
            </w:r>
          </w:p>
        </w:tc>
        <w:tc>
          <w:tcPr>
            <w:tcW w:w="3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98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ind w:right="34"/>
              <w:spacing w:after="0" w:line="142" w:lineRule="exact"/>
              <w:rPr>
                <w:sz w:val="20"/>
                <w:szCs w:val="20"/>
                <w:color w:val="auto"/>
              </w:rPr>
            </w:pPr>
            <w:r>
              <w:rPr>
                <w:rFonts w:ascii="Arial" w:cs="Arial" w:eastAsia="Arial" w:hAnsi="Arial"/>
                <w:sz w:val="14"/>
                <w:szCs w:val="14"/>
                <w:b w:val="1"/>
                <w:bCs w:val="1"/>
                <w:color w:val="auto"/>
                <w:w w:val="83"/>
              </w:rPr>
              <w:t>2010</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ind w:right="33"/>
              <w:spacing w:after="0" w:line="142" w:lineRule="exact"/>
              <w:rPr>
                <w:sz w:val="20"/>
                <w:szCs w:val="20"/>
                <w:color w:val="auto"/>
              </w:rPr>
            </w:pPr>
            <w:r>
              <w:rPr>
                <w:rFonts w:ascii="Arial" w:cs="Arial" w:eastAsia="Arial" w:hAnsi="Arial"/>
                <w:sz w:val="14"/>
                <w:szCs w:val="14"/>
                <w:b w:val="1"/>
                <w:bCs w:val="1"/>
                <w:color w:val="auto"/>
                <w:w w:val="83"/>
              </w:rPr>
              <w:t>2009</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3"/>
          </w:tcPr>
          <w:p>
            <w:pPr>
              <w:jc w:val="center"/>
              <w:ind w:right="12"/>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66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tcPr>
          <w:p>
            <w:pPr>
              <w:spacing w:after="0"/>
              <w:rPr>
                <w:sz w:val="20"/>
                <w:szCs w:val="20"/>
                <w:color w:val="auto"/>
              </w:rPr>
            </w:pPr>
            <w:r>
              <w:rPr>
                <w:rFonts w:ascii="Arial" w:cs="Arial" w:eastAsia="Arial" w:hAnsi="Arial"/>
                <w:sz w:val="18"/>
                <w:szCs w:val="18"/>
                <w:color w:val="auto"/>
              </w:rPr>
              <w:t>Premiums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999</w:t>
            </w:r>
          </w:p>
        </w:tc>
        <w:tc>
          <w:tcPr>
            <w:tcW w:w="5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1,004</w:t>
            </w:r>
          </w:p>
        </w:tc>
        <w:tc>
          <w:tcPr>
            <w:tcW w:w="280" w:type="dxa"/>
            <w:vAlign w:val="bottom"/>
          </w:tcPr>
          <w:p>
            <w:pPr>
              <w:spacing w:after="0"/>
              <w:rPr>
                <w:sz w:val="18"/>
                <w:szCs w:val="18"/>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352"/>
              <w:spacing w:after="0"/>
              <w:rPr>
                <w:sz w:val="20"/>
                <w:szCs w:val="20"/>
                <w:color w:val="auto"/>
              </w:rPr>
            </w:pPr>
            <w:r>
              <w:rPr>
                <w:rFonts w:ascii="Arial" w:cs="Arial" w:eastAsia="Arial" w:hAnsi="Arial"/>
                <w:sz w:val="18"/>
                <w:szCs w:val="18"/>
                <w:color w:val="auto"/>
              </w:rPr>
              <w:t>(5)</w:t>
            </w: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12"/>
              <w:spacing w:after="0"/>
              <w:rPr>
                <w:sz w:val="20"/>
                <w:szCs w:val="20"/>
                <w:color w:val="auto"/>
              </w:rPr>
            </w:pPr>
            <w:r>
              <w:rPr>
                <w:rFonts w:ascii="Arial" w:cs="Arial" w:eastAsia="Arial" w:hAnsi="Arial"/>
                <w:sz w:val="18"/>
                <w:szCs w:val="18"/>
                <w:color w:val="auto"/>
              </w:rPr>
              <w:t>33</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tcPr>
          <w:p>
            <w:pPr>
              <w:spacing w:after="0"/>
              <w:rPr>
                <w:sz w:val="20"/>
                <w:szCs w:val="20"/>
                <w:color w:val="auto"/>
              </w:rPr>
            </w:pPr>
            <w:r>
              <w:rPr>
                <w:rFonts w:ascii="Arial" w:cs="Arial" w:eastAsia="Arial" w:hAnsi="Arial"/>
                <w:sz w:val="18"/>
                <w:szCs w:val="18"/>
                <w:color w:val="auto"/>
              </w:rPr>
              <w:t>Net investment gains (losses)</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10</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(11)</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412"/>
              <w:spacing w:after="0"/>
              <w:rPr>
                <w:sz w:val="20"/>
                <w:szCs w:val="20"/>
                <w:color w:val="auto"/>
              </w:rPr>
            </w:pPr>
            <w:r>
              <w:rPr>
                <w:rFonts w:ascii="Arial" w:cs="Arial" w:eastAsia="Arial" w:hAnsi="Arial"/>
                <w:sz w:val="18"/>
                <w:szCs w:val="18"/>
                <w:color w:val="auto"/>
              </w:rPr>
              <w:t>21</w:t>
            </w: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w w:val="99"/>
              </w:rPr>
              <w:t>191%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52"/>
              <w:spacing w:after="0"/>
              <w:rPr>
                <w:sz w:val="20"/>
                <w:szCs w:val="20"/>
                <w:color w:val="auto"/>
              </w:rPr>
            </w:pPr>
            <w:r>
              <w:rPr>
                <w:rFonts w:ascii="Arial" w:cs="Arial" w:eastAsia="Arial" w:hAnsi="Arial"/>
                <w:sz w:val="18"/>
                <w:szCs w:val="18"/>
                <w:color w:val="auto"/>
              </w:rPr>
              <w:t>(5)</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960" w:type="dxa"/>
            <w:vAlign w:val="bottom"/>
            <w:gridSpan w:val="2"/>
          </w:tcPr>
          <w:p>
            <w:pPr>
              <w:ind w:left="420"/>
              <w:spacing w:after="0"/>
              <w:rPr>
                <w:sz w:val="20"/>
                <w:szCs w:val="20"/>
                <w:color w:val="auto"/>
              </w:rPr>
            </w:pPr>
            <w:r>
              <w:rPr>
                <w:rFonts w:ascii="Arial" w:cs="Arial" w:eastAsia="Arial" w:hAnsi="Arial"/>
                <w:sz w:val="18"/>
                <w:szCs w:val="18"/>
                <w:color w:val="auto"/>
              </w:rPr>
              <w:t>Total revenues</w:t>
            </w:r>
          </w:p>
        </w:tc>
        <w:tc>
          <w:tcPr>
            <w:tcW w:w="100" w:type="dxa"/>
            <w:vAlign w:val="bottom"/>
            <w:tcBorders>
              <w:top w:val="single" w:sz="8" w:color="auto"/>
              <w:bottom w:val="single" w:sz="8" w:color="auto"/>
            </w:tcBorders>
          </w:tcPr>
          <w:p>
            <w:pPr>
              <w:spacing w:after="0"/>
              <w:rPr>
                <w:sz w:val="20"/>
                <w:szCs w:val="20"/>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1,273</w:t>
            </w:r>
          </w:p>
        </w:tc>
        <w:tc>
          <w:tcPr>
            <w:tcW w:w="5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1,229</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w:t>
            </w:r>
          </w:p>
        </w:tc>
        <w:tc>
          <w:tcPr>
            <w:tcW w:w="480" w:type="dxa"/>
            <w:vAlign w:val="bottom"/>
          </w:tcPr>
          <w:p>
            <w:pPr>
              <w:spacing w:after="0"/>
              <w:rPr>
                <w:sz w:val="20"/>
                <w:szCs w:val="20"/>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tcPr>
          <w:p>
            <w:pPr>
              <w:spacing w:after="0"/>
              <w:rPr>
                <w:sz w:val="20"/>
                <w:szCs w:val="20"/>
                <w:color w:val="auto"/>
              </w:rPr>
            </w:pPr>
            <w:r>
              <w:rPr>
                <w:rFonts w:ascii="Arial" w:cs="Arial" w:eastAsia="Arial" w:hAnsi="Arial"/>
                <w:sz w:val="18"/>
                <w:szCs w:val="18"/>
                <w:color w:val="auto"/>
              </w:rPr>
              <w:t>Benefits and other changes in policy reserves</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337</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418</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352"/>
              <w:spacing w:after="0"/>
              <w:rPr>
                <w:sz w:val="20"/>
                <w:szCs w:val="20"/>
                <w:color w:val="auto"/>
              </w:rPr>
            </w:pPr>
            <w:r>
              <w:rPr>
                <w:rFonts w:ascii="Arial" w:cs="Arial" w:eastAsia="Arial" w:hAnsi="Arial"/>
                <w:sz w:val="18"/>
                <w:szCs w:val="18"/>
                <w:color w:val="auto"/>
                <w:w w:val="99"/>
              </w:rPr>
              <w:t>(81)</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Acquisition and operating expenses, net of deferrals</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408</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392</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12"/>
              <w:spacing w:after="0"/>
              <w:rPr>
                <w:sz w:val="20"/>
                <w:szCs w:val="20"/>
                <w:color w:val="auto"/>
              </w:rPr>
            </w:pPr>
            <w:r>
              <w:rPr>
                <w:rFonts w:ascii="Arial" w:cs="Arial" w:eastAsia="Arial" w:hAnsi="Arial"/>
                <w:sz w:val="18"/>
                <w:szCs w:val="18"/>
                <w:color w:val="auto"/>
              </w:rPr>
              <w:t>16</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139</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140</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352"/>
              <w:spacing w:after="0"/>
              <w:rPr>
                <w:sz w:val="20"/>
                <w:szCs w:val="20"/>
                <w:color w:val="auto"/>
              </w:rPr>
            </w:pPr>
            <w:r>
              <w:rPr>
                <w:rFonts w:ascii="Arial" w:cs="Arial" w:eastAsia="Arial" w:hAnsi="Arial"/>
                <w:sz w:val="18"/>
                <w:szCs w:val="18"/>
                <w:color w:val="auto"/>
              </w:rPr>
              <w:t>(1)</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5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4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960" w:type="dxa"/>
            <w:vAlign w:val="bottom"/>
            <w:gridSpan w:val="2"/>
          </w:tcPr>
          <w:p>
            <w:pPr>
              <w:ind w:left="420"/>
              <w:spacing w:after="0"/>
              <w:rPr>
                <w:sz w:val="20"/>
                <w:szCs w:val="20"/>
                <w:color w:val="auto"/>
              </w:rPr>
            </w:pPr>
            <w:r>
              <w:rPr>
                <w:rFonts w:ascii="Arial" w:cs="Arial" w:eastAsia="Arial" w:hAnsi="Arial"/>
                <w:sz w:val="18"/>
                <w:szCs w:val="18"/>
                <w:color w:val="auto"/>
              </w:rPr>
              <w:t>Total benefits and expenses</w:t>
            </w: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917</w:t>
            </w: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982</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gridSpan w:val="2"/>
          </w:tcPr>
          <w:p>
            <w:pPr>
              <w:jc w:val="right"/>
              <w:ind w:right="352"/>
              <w:spacing w:after="0"/>
              <w:rPr>
                <w:sz w:val="20"/>
                <w:szCs w:val="20"/>
                <w:color w:val="auto"/>
              </w:rPr>
            </w:pPr>
            <w:r>
              <w:rPr>
                <w:rFonts w:ascii="Arial" w:cs="Arial" w:eastAsia="Arial" w:hAnsi="Arial"/>
                <w:sz w:val="18"/>
                <w:szCs w:val="18"/>
                <w:color w:val="auto"/>
                <w:w w:val="99"/>
              </w:rPr>
              <w:t>(65)</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356</w:t>
            </w:r>
          </w:p>
        </w:tc>
        <w:tc>
          <w:tcPr>
            <w:tcW w:w="5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109</w:t>
            </w:r>
          </w:p>
        </w:tc>
        <w:tc>
          <w:tcPr>
            <w:tcW w:w="4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960" w:type="dxa"/>
            <w:vAlign w:val="bottom"/>
            <w:gridSpan w:val="2"/>
          </w:tcPr>
          <w:p>
            <w:pPr>
              <w:spacing w:after="0"/>
              <w:rPr>
                <w:sz w:val="20"/>
                <w:szCs w:val="20"/>
                <w:color w:val="auto"/>
              </w:rPr>
            </w:pPr>
            <w:r>
              <w:rPr>
                <w:rFonts w:ascii="Arial" w:cs="Arial" w:eastAsia="Arial" w:hAnsi="Arial"/>
                <w:sz w:val="18"/>
                <w:szCs w:val="18"/>
                <w:color w:val="auto"/>
              </w:rPr>
              <w:t>Provision for income taxes</w:t>
            </w: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w:t>
            </w:r>
          </w:p>
        </w:tc>
        <w:tc>
          <w:tcPr>
            <w:tcW w:w="5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480" w:type="dxa"/>
            <w:vAlign w:val="bottom"/>
          </w:tcPr>
          <w:p>
            <w:pPr>
              <w:spacing w:after="0"/>
              <w:rPr>
                <w:sz w:val="19"/>
                <w:szCs w:val="19"/>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271</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12"/>
              <w:spacing w:after="0"/>
              <w:rPr>
                <w:sz w:val="20"/>
                <w:szCs w:val="20"/>
                <w:color w:val="auto"/>
              </w:rPr>
            </w:pPr>
            <w:r>
              <w:rPr>
                <w:rFonts w:ascii="Arial" w:cs="Arial" w:eastAsia="Arial" w:hAnsi="Arial"/>
                <w:sz w:val="18"/>
                <w:szCs w:val="18"/>
                <w:color w:val="auto"/>
              </w:rPr>
              <w:t>90</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960" w:type="dxa"/>
            <w:vAlign w:val="bottom"/>
            <w:gridSpan w:val="2"/>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w:t>
            </w:r>
          </w:p>
        </w:tc>
        <w:tc>
          <w:tcPr>
            <w:tcW w:w="5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w:t>
            </w:r>
          </w:p>
        </w:tc>
        <w:tc>
          <w:tcPr>
            <w:tcW w:w="480" w:type="dxa"/>
            <w:vAlign w:val="bottom"/>
          </w:tcPr>
          <w:p>
            <w:pPr>
              <w:spacing w:after="0"/>
              <w:rPr>
                <w:sz w:val="19"/>
                <w:szCs w:val="19"/>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available to Genworth Financial, Inc.’s common stockholders</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12"/>
              <w:spacing w:after="0"/>
              <w:rPr>
                <w:sz w:val="20"/>
                <w:szCs w:val="20"/>
                <w:color w:val="auto"/>
              </w:rPr>
            </w:pPr>
            <w:r>
              <w:rPr>
                <w:rFonts w:ascii="Arial" w:cs="Arial" w:eastAsia="Arial" w:hAnsi="Arial"/>
                <w:sz w:val="18"/>
                <w:szCs w:val="18"/>
                <w:color w:val="auto"/>
              </w:rPr>
              <w:t>21</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tcPr>
          <w:p>
            <w:pPr>
              <w:spacing w:after="0"/>
              <w:rPr>
                <w:sz w:val="20"/>
                <w:szCs w:val="20"/>
                <w:color w:val="auto"/>
              </w:rPr>
            </w:pPr>
            <w:r>
              <w:rPr>
                <w:rFonts w:ascii="Arial" w:cs="Arial" w:eastAsia="Arial" w:hAnsi="Arial"/>
                <w:sz w:val="18"/>
                <w:szCs w:val="18"/>
                <w:color w:val="auto"/>
              </w:rPr>
              <w:t>Adjustment to net income available to Genworth Financial, Inc.’s common stockholders:</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52"/>
              <w:spacing w:after="0"/>
              <w:rPr>
                <w:sz w:val="20"/>
                <w:szCs w:val="20"/>
                <w:color w:val="auto"/>
              </w:rPr>
            </w:pPr>
            <w:r>
              <w:rPr>
                <w:rFonts w:ascii="Arial" w:cs="Arial" w:eastAsia="Arial" w:hAnsi="Arial"/>
                <w:sz w:val="18"/>
                <w:szCs w:val="18"/>
                <w:color w:val="auto"/>
                <w:w w:val="99"/>
              </w:rPr>
              <w:t>(13)</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9"/>
              </w:rPr>
              <w:t>(186)%</w:t>
            </w:r>
          </w:p>
        </w:tc>
        <w:tc>
          <w:tcPr>
            <w:tcW w:w="0" w:type="dxa"/>
            <w:vAlign w:val="bottom"/>
          </w:tcPr>
          <w:p>
            <w:pPr>
              <w:spacing w:after="0"/>
              <w:rPr>
                <w:sz w:val="1"/>
                <w:szCs w:val="1"/>
                <w:color w:val="auto"/>
              </w:rPr>
            </w:pPr>
          </w:p>
        </w:tc>
      </w:tr>
      <w:tr>
        <w:trPr>
          <w:trHeight w:val="20"/>
        </w:trPr>
        <w:tc>
          <w:tcPr>
            <w:tcW w:w="7980" w:type="dxa"/>
            <w:vAlign w:val="bottom"/>
            <w:gridSpan w:val="3"/>
            <w:vMerge w:val="restart"/>
          </w:tcPr>
          <w:p>
            <w:pPr>
              <w:spacing w:after="0"/>
              <w:rPr>
                <w:sz w:val="20"/>
                <w:szCs w:val="20"/>
                <w:color w:val="auto"/>
              </w:rPr>
            </w:pPr>
            <w:r>
              <w:rPr>
                <w:rFonts w:ascii="Arial" w:cs="Arial" w:eastAsia="Arial" w:hAnsi="Arial"/>
                <w:sz w:val="18"/>
                <w:szCs w:val="18"/>
                <w:color w:val="auto"/>
              </w:rPr>
              <w:t>Net operating income available to Genworth Financial, Inc.’s common stockholders</w:t>
            </w: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0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4%</w:t>
            </w:r>
          </w:p>
        </w:tc>
        <w:tc>
          <w:tcPr>
            <w:tcW w:w="0" w:type="dxa"/>
            <w:vAlign w:val="bottom"/>
          </w:tcPr>
          <w:p>
            <w:pPr>
              <w:spacing w:after="0" w:line="20" w:lineRule="exact"/>
              <w:rPr>
                <w:sz w:val="1"/>
                <w:szCs w:val="1"/>
                <w:color w:val="auto"/>
              </w:rPr>
            </w:pPr>
          </w:p>
        </w:tc>
      </w:tr>
      <w:tr>
        <w:trPr>
          <w:trHeight w:val="222"/>
        </w:trPr>
        <w:tc>
          <w:tcPr>
            <w:tcW w:w="7980" w:type="dxa"/>
            <w:vAlign w:val="bottom"/>
            <w:gridSpan w:val="3"/>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196</w:t>
            </w:r>
          </w:p>
        </w:tc>
        <w:tc>
          <w:tcPr>
            <w:tcW w:w="5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188</w:t>
            </w:r>
          </w:p>
        </w:tc>
        <w:tc>
          <w:tcPr>
            <w:tcW w:w="280" w:type="dxa"/>
            <w:vAlign w:val="bottom"/>
          </w:tcPr>
          <w:p>
            <w:pPr>
              <w:spacing w:after="0"/>
              <w:rPr>
                <w:sz w:val="19"/>
                <w:szCs w:val="19"/>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412"/>
              <w:spacing w:after="0"/>
              <w:rPr>
                <w:sz w:val="20"/>
                <w:szCs w:val="20"/>
                <w:color w:val="auto"/>
              </w:rPr>
            </w:pPr>
            <w:r>
              <w:rPr>
                <w:rFonts w:ascii="Arial" w:cs="Arial" w:eastAsia="Arial" w:hAnsi="Arial"/>
                <w:sz w:val="18"/>
                <w:szCs w:val="18"/>
                <w:color w:val="auto"/>
              </w:rPr>
              <w:t>8</w:t>
            </w:r>
          </w:p>
        </w:tc>
        <w:tc>
          <w:tcPr>
            <w:tcW w:w="6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85"/>
        </w:numPr>
        <w:rPr>
          <w:rFonts w:ascii="Arial" w:cs="Arial" w:eastAsia="Arial" w:hAnsi="Arial"/>
          <w:sz w:val="22"/>
          <w:szCs w:val="22"/>
          <w:color w:val="auto"/>
          <w:vertAlign w:val="superscript"/>
        </w:rPr>
      </w:pPr>
      <w:r>
        <w:rPr>
          <w:rFonts w:ascii="Arial" w:cs="Arial" w:eastAsia="Arial" w:hAnsi="Arial"/>
          <w:sz w:val="18"/>
          <w:szCs w:val="18"/>
          <w:color w:val="auto"/>
        </w:rPr>
        <w:t>We define “NM” as not meaningful for increases or decreases greater than 200%.</w:t>
      </w:r>
    </w:p>
    <w:p>
      <w:pPr>
        <w:spacing w:after="0" w:line="155" w:lineRule="exact"/>
        <w:rPr>
          <w:rFonts w:ascii="Arial" w:cs="Arial" w:eastAsia="Arial" w:hAnsi="Arial"/>
          <w:sz w:val="22"/>
          <w:szCs w:val="22"/>
          <w:color w:val="auto"/>
          <w:vertAlign w:val="superscript"/>
        </w:rPr>
      </w:pPr>
    </w:p>
    <w:p>
      <w:pPr>
        <w:ind w:left="460"/>
        <w:spacing w:after="0"/>
        <w:rPr>
          <w:rFonts w:ascii="Arial" w:cs="Arial" w:eastAsia="Arial" w:hAnsi="Arial"/>
          <w:sz w:val="22"/>
          <w:szCs w:val="22"/>
          <w:color w:val="auto"/>
          <w:vertAlign w:val="superscript"/>
        </w:rPr>
      </w:pPr>
      <w:r>
        <w:rPr>
          <w:rFonts w:ascii="Arial" w:cs="Arial" w:eastAsia="Arial" w:hAnsi="Arial"/>
          <w:sz w:val="18"/>
          <w:szCs w:val="18"/>
          <w:color w:val="auto"/>
        </w:rPr>
        <w:t>The following table sets forth net operating income for the businesses included in our International segment for the periods indicated: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-391160</wp:posOffset>
            </wp:positionV>
            <wp:extent cx="728980"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0" w:type="dxa"/>
            <w:vAlign w:val="bottom"/>
          </w:tcPr>
          <w:p>
            <w:pPr>
              <w:jc w:val="center"/>
              <w:ind w:right="112"/>
              <w:spacing w:after="0"/>
              <w:rPr>
                <w:sz w:val="20"/>
                <w:szCs w:val="20"/>
                <w:color w:val="auto"/>
              </w:rPr>
            </w:pPr>
            <w:r>
              <w:rPr>
                <w:rFonts w:ascii="Arial" w:cs="Arial" w:eastAsia="Arial" w:hAnsi="Arial"/>
                <w:sz w:val="14"/>
                <w:szCs w:val="14"/>
                <w:b w:val="1"/>
                <w:bCs w:val="1"/>
                <w:color w:val="auto"/>
                <w:w w:val="87"/>
              </w:rPr>
              <w:t>Increase</w:t>
            </w: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8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2"/>
              </w:rPr>
              <w:t>(decrease) and</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8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20" w:type="dxa"/>
            <w:vAlign w:val="bottom"/>
            <w:gridSpan w:val="5"/>
          </w:tcPr>
          <w:p>
            <w:pPr>
              <w:ind w:left="180"/>
              <w:spacing w:after="0" w:line="149" w:lineRule="exact"/>
              <w:rPr>
                <w:sz w:val="20"/>
                <w:szCs w:val="20"/>
                <w:color w:val="auto"/>
              </w:rPr>
            </w:pPr>
            <w:r>
              <w:rPr>
                <w:rFonts w:ascii="Arial" w:cs="Arial" w:eastAsia="Arial" w:hAnsi="Arial"/>
                <w:sz w:val="14"/>
                <w:szCs w:val="14"/>
                <w:b w:val="1"/>
                <w:bCs w:val="1"/>
                <w:color w:val="auto"/>
              </w:rPr>
              <w:t>Six months ended</w:t>
            </w: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2"/>
              </w:rPr>
              <w:t>percentage</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71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4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June 30,</w:t>
            </w:r>
          </w:p>
        </w:tc>
        <w:tc>
          <w:tcPr>
            <w:tcW w:w="44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85"/>
              </w:rPr>
              <w:t>change</w:t>
            </w:r>
          </w:p>
        </w:tc>
        <w:tc>
          <w:tcPr>
            <w:tcW w:w="2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140" w:type="dxa"/>
            <w:vAlign w:val="bottom"/>
            <w:gridSpan w:val="3"/>
            <w:vMerge w:val="continue"/>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62"/>
              <w:spacing w:after="0" w:line="142" w:lineRule="exact"/>
              <w:rPr>
                <w:sz w:val="20"/>
                <w:szCs w:val="20"/>
                <w:color w:val="auto"/>
              </w:rPr>
            </w:pPr>
            <w:r>
              <w:rPr>
                <w:rFonts w:ascii="Arial" w:cs="Arial" w:eastAsia="Arial" w:hAnsi="Arial"/>
                <w:sz w:val="14"/>
                <w:szCs w:val="14"/>
                <w:b w:val="1"/>
                <w:bCs w:val="1"/>
                <w:color w:val="auto"/>
                <w:w w:val="89"/>
              </w:rPr>
              <w:t>2010</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7"/>
              <w:spacing w:after="0" w:line="142" w:lineRule="exact"/>
              <w:rPr>
                <w:sz w:val="20"/>
                <w:szCs w:val="20"/>
                <w:color w:val="auto"/>
              </w:rPr>
            </w:pPr>
            <w:r>
              <w:rPr>
                <w:rFonts w:ascii="Arial" w:cs="Arial" w:eastAsia="Arial" w:hAnsi="Arial"/>
                <w:sz w:val="14"/>
                <w:szCs w:val="14"/>
                <w:b w:val="1"/>
                <w:bCs w:val="1"/>
                <w:color w:val="auto"/>
                <w:w w:val="89"/>
              </w:rPr>
              <w:t>2009</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gridSpan w:val="2"/>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58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operating income available to Genworth Financial, Inc.’s common stockholders:</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20" w:type="dxa"/>
            <w:vAlign w:val="bottom"/>
            <w:gridSpan w:val="2"/>
          </w:tcPr>
          <w:p>
            <w:pPr>
              <w:spacing w:after="0"/>
              <w:rPr>
                <w:sz w:val="20"/>
                <w:szCs w:val="20"/>
                <w:color w:val="auto"/>
              </w:rPr>
            </w:pPr>
            <w:r>
              <w:rPr>
                <w:rFonts w:ascii="Arial" w:cs="Arial" w:eastAsia="Arial" w:hAnsi="Arial"/>
                <w:sz w:val="18"/>
                <w:szCs w:val="18"/>
                <w:color w:val="auto"/>
              </w:rPr>
              <w:t>International mortgage insurance</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172</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173</w:t>
            </w:r>
          </w:p>
        </w:tc>
        <w:tc>
          <w:tcPr>
            <w:tcW w:w="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672"/>
              <w:spacing w:after="0"/>
              <w:rPr>
                <w:sz w:val="20"/>
                <w:szCs w:val="20"/>
                <w:color w:val="auto"/>
              </w:rPr>
            </w:pPr>
            <w:r>
              <w:rPr>
                <w:rFonts w:ascii="Arial" w:cs="Arial" w:eastAsia="Arial" w:hAnsi="Arial"/>
                <w:sz w:val="18"/>
                <w:szCs w:val="18"/>
                <w:color w:val="auto"/>
              </w:rPr>
              <w:t>(1)</w:t>
            </w: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Lifestyle protection insurance</w:t>
            </w:r>
          </w:p>
        </w:tc>
        <w:tc>
          <w:tcPr>
            <w:tcW w:w="4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5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8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9"/>
              </w:rPr>
              <w:t>60%</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120" w:type="dxa"/>
            <w:vAlign w:val="bottom"/>
            <w:gridSpan w:val="2"/>
          </w:tcPr>
          <w:p>
            <w:pPr>
              <w:jc w:val="right"/>
              <w:ind w:right="460"/>
              <w:spacing w:after="0"/>
              <w:rPr>
                <w:sz w:val="20"/>
                <w:szCs w:val="20"/>
                <w:color w:val="auto"/>
              </w:rPr>
            </w:pPr>
            <w:r>
              <w:rPr>
                <w:rFonts w:ascii="Arial" w:cs="Arial" w:eastAsia="Arial" w:hAnsi="Arial"/>
                <w:sz w:val="18"/>
                <w:szCs w:val="18"/>
                <w:color w:val="auto"/>
                <w:w w:val="94"/>
              </w:rPr>
              <w:t>Total net operating income available to Genworth Financial, Inc.’s common stockholders</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196</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188</w:t>
            </w:r>
          </w:p>
        </w:tc>
        <w:tc>
          <w:tcPr>
            <w:tcW w:w="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40" w:type="dxa"/>
            <w:vAlign w:val="bottom"/>
          </w:tcPr>
          <w:p>
            <w:pPr>
              <w:jc w:val="right"/>
              <w:spacing w:after="0"/>
              <w:rPr>
                <w:sz w:val="20"/>
                <w:szCs w:val="20"/>
                <w:color w:val="auto"/>
              </w:rPr>
            </w:pPr>
            <w:r>
              <w:rPr>
                <w:rFonts w:ascii="Arial" w:cs="Arial" w:eastAsia="Arial" w:hAnsi="Arial"/>
                <w:sz w:val="18"/>
                <w:szCs w:val="18"/>
                <w:color w:val="auto"/>
              </w:rPr>
              <w:t>8</w:t>
            </w:r>
          </w:p>
        </w:tc>
        <w:tc>
          <w:tcPr>
            <w:tcW w:w="800" w:type="dxa"/>
            <w:vAlign w:val="bottom"/>
          </w:tcPr>
          <w:p>
            <w:pPr>
              <w:spacing w:after="0"/>
              <w:rPr>
                <w:sz w:val="19"/>
                <w:szCs w:val="19"/>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7140" w:type="dxa"/>
            <w:vAlign w:val="bottom"/>
            <w:gridSpan w:val="3"/>
            <w:vMerge w:val="restart"/>
          </w:tcPr>
          <w:p>
            <w:pPr>
              <w:jc w:val="right"/>
              <w:ind w:right="1340"/>
              <w:spacing w:after="0"/>
              <w:rPr>
                <w:sz w:val="20"/>
                <w:szCs w:val="20"/>
                <w:color w:val="auto"/>
              </w:rPr>
            </w:pPr>
            <w:r>
              <w:rPr>
                <w:rFonts w:ascii="Arial" w:cs="Arial" w:eastAsia="Arial" w:hAnsi="Arial"/>
                <w:sz w:val="18"/>
                <w:szCs w:val="18"/>
                <w:color w:val="auto"/>
              </w:rPr>
              <w:t>97</w:t>
            </w:r>
          </w:p>
        </w:tc>
        <w:tc>
          <w:tcPr>
            <w:tcW w:w="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7140" w:type="dxa"/>
            <w:vAlign w:val="bottom"/>
            <w:gridSpan w:val="3"/>
            <w:vMerge w:val="continue"/>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97" w:name="page98"/>
    <w:bookmarkEnd w:id="9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operating income available to Genworth Financial, Inc.’s common stockholders</w:t>
      </w:r>
    </w:p>
    <w:p>
      <w:pPr>
        <w:spacing w:after="0" w:line="90" w:lineRule="exact"/>
        <w:rPr>
          <w:sz w:val="20"/>
          <w:szCs w:val="20"/>
          <w:color w:val="auto"/>
        </w:rPr>
      </w:pPr>
    </w:p>
    <w:p>
      <w:pPr>
        <w:ind w:left="900" w:right="300" w:hanging="325"/>
        <w:spacing w:after="0" w:line="268" w:lineRule="auto"/>
        <w:tabs>
          <w:tab w:leader="none" w:pos="9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six months ended June 30, 2010 included an increase of $33 million and a decrease of $1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hanging="325"/>
        <w:spacing w:after="0" w:line="294" w:lineRule="auto"/>
        <w:tabs>
          <w:tab w:leader="none" w:pos="900" w:val="left"/>
        </w:tabs>
        <w:numPr>
          <w:ilvl w:val="0"/>
          <w:numId w:val="86"/>
        </w:numPr>
        <w:rPr>
          <w:rFonts w:ascii="Arial" w:cs="Arial" w:eastAsia="Arial" w:hAnsi="Arial"/>
          <w:sz w:val="16"/>
          <w:szCs w:val="16"/>
          <w:color w:val="auto"/>
        </w:rPr>
      </w:pPr>
      <w:r>
        <w:rPr>
          <w:rFonts w:ascii="Arial" w:cs="Arial" w:eastAsia="Arial" w:hAnsi="Arial"/>
          <w:sz w:val="16"/>
          <w:szCs w:val="16"/>
          <w:color w:val="auto"/>
        </w:rPr>
        <w:t>The decrease in our international mortgage insurance business was primarily driven by the initial public offering of our Canadian mortgage insurance business in July 2009 which reduced our ownership percentage to 57.5% resulting in lower net operating income of $68 million, which included $9 million attributable to changes in foreign exchange rates, for the six months ended June 30, 2010. Excluding the impact related to noncontrolling interests, net operating income for our international mortgage insurance business increased from lower losses partially offset by lower premiums. There was also a benefit from newly enacted Australian tax legislation in the current year.</w:t>
      </w:r>
    </w:p>
    <w:p>
      <w:pPr>
        <w:spacing w:after="0" w:line="34" w:lineRule="exact"/>
        <w:rPr>
          <w:rFonts w:ascii="Arial" w:cs="Arial" w:eastAsia="Arial" w:hAnsi="Arial"/>
          <w:sz w:val="16"/>
          <w:szCs w:val="16"/>
          <w:color w:val="auto"/>
        </w:rPr>
      </w:pPr>
    </w:p>
    <w:p>
      <w:pPr>
        <w:ind w:left="900" w:right="20" w:hanging="325"/>
        <w:spacing w:after="0" w:line="259" w:lineRule="auto"/>
        <w:tabs>
          <w:tab w:leader="none" w:pos="9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Net operating income for our lifestyle protection insurance business increased from a decrease in new claim registrations from stabilization of economic conditions and a favorable impact from our re-pricing actions that we began in the second half of 2009, partially offset by lower sales from reduced levels of consumer lending.</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90"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Premiums</w:t>
      </w:r>
    </w:p>
    <w:p>
      <w:pPr>
        <w:spacing w:after="0" w:line="90" w:lineRule="exact"/>
        <w:rPr>
          <w:sz w:val="20"/>
          <w:szCs w:val="20"/>
          <w:color w:val="auto"/>
        </w:rPr>
      </w:pPr>
    </w:p>
    <w:p>
      <w:pPr>
        <w:ind w:left="900" w:hanging="325"/>
        <w:spacing w:after="0"/>
        <w:tabs>
          <w:tab w:leader="none" w:pos="900" w:val="left"/>
        </w:tabs>
        <w:numPr>
          <w:ilvl w:val="0"/>
          <w:numId w:val="87"/>
        </w:numPr>
        <w:rPr>
          <w:rFonts w:ascii="Arial" w:cs="Arial" w:eastAsia="Arial" w:hAnsi="Arial"/>
          <w:sz w:val="16"/>
          <w:szCs w:val="16"/>
          <w:color w:val="auto"/>
        </w:rPr>
      </w:pPr>
      <w:r>
        <w:rPr>
          <w:rFonts w:ascii="Arial" w:cs="Arial" w:eastAsia="Arial" w:hAnsi="Arial"/>
          <w:sz w:val="16"/>
          <w:szCs w:val="16"/>
          <w:color w:val="auto"/>
        </w:rPr>
        <w:t>Our international mortgage insurance business increased $59 million and our lifestyle protection insurance business decreased $64 million.</w:t>
      </w:r>
    </w:p>
    <w:p>
      <w:pPr>
        <w:spacing w:after="0" w:line="113" w:lineRule="exact"/>
        <w:rPr>
          <w:rFonts w:ascii="Arial" w:cs="Arial" w:eastAsia="Arial" w:hAnsi="Arial"/>
          <w:sz w:val="16"/>
          <w:szCs w:val="16"/>
          <w:color w:val="auto"/>
        </w:rPr>
      </w:pPr>
    </w:p>
    <w:p>
      <w:pPr>
        <w:ind w:left="900" w:right="420" w:hanging="325"/>
        <w:spacing w:after="0" w:line="268" w:lineRule="auto"/>
        <w:tabs>
          <w:tab w:leader="none" w:pos="900" w:val="left"/>
        </w:tabs>
        <w:numPr>
          <w:ilvl w:val="0"/>
          <w:numId w:val="87"/>
        </w:numPr>
        <w:rPr>
          <w:rFonts w:ascii="Arial" w:cs="Arial" w:eastAsia="Arial" w:hAnsi="Arial"/>
          <w:sz w:val="18"/>
          <w:szCs w:val="18"/>
          <w:color w:val="auto"/>
        </w:rPr>
      </w:pPr>
      <w:r>
        <w:rPr>
          <w:rFonts w:ascii="Arial" w:cs="Arial" w:eastAsia="Arial" w:hAnsi="Arial"/>
          <w:sz w:val="18"/>
          <w:szCs w:val="18"/>
          <w:color w:val="auto"/>
        </w:rPr>
        <w:t>The six months ended June 30, 2010 included increases of $77 million and $16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right="20" w:hanging="325"/>
        <w:spacing w:after="0" w:line="298" w:lineRule="auto"/>
        <w:tabs>
          <w:tab w:leader="none" w:pos="900" w:val="left"/>
        </w:tabs>
        <w:numPr>
          <w:ilvl w:val="0"/>
          <w:numId w:val="87"/>
        </w:numPr>
        <w:rPr>
          <w:rFonts w:ascii="Arial" w:cs="Arial" w:eastAsia="Arial" w:hAnsi="Arial"/>
          <w:sz w:val="16"/>
          <w:szCs w:val="16"/>
          <w:color w:val="auto"/>
        </w:rPr>
      </w:pPr>
      <w:r>
        <w:rPr>
          <w:rFonts w:ascii="Arial" w:cs="Arial" w:eastAsia="Arial" w:hAnsi="Arial"/>
          <w:sz w:val="16"/>
          <w:szCs w:val="16"/>
          <w:color w:val="auto"/>
        </w:rPr>
        <w:t>Excluding the effects of foreign exchange, the decrease in our international mortgage insurance business was related to rescissions and other terminations related to loss mitigation activities in Europe, particularly in Spain. In addition, premiums in Australia decreased as seasoning of our in-force block of business was more than offset by increased ceded reinsurance premiums during the six months ended June 30, 2010 and lower new business volumes. In Canada, premiums were relatively flat as seasoning of our in-force block of business was offset by lower policy cancellations.</w:t>
      </w:r>
    </w:p>
    <w:p>
      <w:pPr>
        <w:spacing w:after="0" w:line="31" w:lineRule="exact"/>
        <w:rPr>
          <w:rFonts w:ascii="Arial" w:cs="Arial" w:eastAsia="Arial" w:hAnsi="Arial"/>
          <w:sz w:val="16"/>
          <w:szCs w:val="16"/>
          <w:color w:val="auto"/>
        </w:rPr>
      </w:pPr>
    </w:p>
    <w:p>
      <w:pPr>
        <w:ind w:left="900" w:right="20" w:hanging="325"/>
        <w:spacing w:after="0" w:line="255" w:lineRule="auto"/>
        <w:tabs>
          <w:tab w:leader="none" w:pos="900" w:val="left"/>
        </w:tabs>
        <w:numPr>
          <w:ilvl w:val="0"/>
          <w:numId w:val="87"/>
        </w:numPr>
        <w:rPr>
          <w:rFonts w:ascii="Arial" w:cs="Arial" w:eastAsia="Arial" w:hAnsi="Arial"/>
          <w:sz w:val="18"/>
          <w:szCs w:val="18"/>
          <w:color w:val="auto"/>
        </w:rPr>
      </w:pPr>
      <w:r>
        <w:rPr>
          <w:rFonts w:ascii="Arial" w:cs="Arial" w:eastAsia="Arial" w:hAnsi="Arial"/>
          <w:sz w:val="18"/>
          <w:szCs w:val="18"/>
          <w:color w:val="auto"/>
        </w:rPr>
        <w:t>The decrease in our lifestyle protection insurance business was primarily attributable to our runoff business. Reduced levels of consumer lending and lower single premium sales related to new business regulations in the U.K. also contributed to the decrease. These decreases were partially offset by a favorable impact from our re-pricing actions that we began in the second half of 2009. Additionally, there was a favorable premium adjustment related to the timing of receiving client data which was partially offset by an unfavorable reinsurance adjustment in the first quarter of 2010. These adjustments were offset in expenses.</w:t>
      </w:r>
    </w:p>
    <w:p>
      <w:pPr>
        <w:spacing w:after="0" w:line="224"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Net investment income</w:t>
      </w:r>
    </w:p>
    <w:p>
      <w:pPr>
        <w:spacing w:after="0" w:line="90" w:lineRule="exact"/>
        <w:rPr>
          <w:sz w:val="20"/>
          <w:szCs w:val="20"/>
          <w:color w:val="auto"/>
        </w:rPr>
      </w:pPr>
    </w:p>
    <w:p>
      <w:pPr>
        <w:ind w:left="900" w:hanging="325"/>
        <w:spacing w:after="0"/>
        <w:tabs>
          <w:tab w:leader="none" w:pos="900" w:val="left"/>
        </w:tabs>
        <w:numPr>
          <w:ilvl w:val="0"/>
          <w:numId w:val="88"/>
        </w:numPr>
        <w:rPr>
          <w:rFonts w:ascii="Arial" w:cs="Arial" w:eastAsia="Arial" w:hAnsi="Arial"/>
          <w:sz w:val="16"/>
          <w:szCs w:val="16"/>
          <w:color w:val="auto"/>
        </w:rPr>
      </w:pPr>
      <w:r>
        <w:rPr>
          <w:rFonts w:ascii="Arial" w:cs="Arial" w:eastAsia="Arial" w:hAnsi="Arial"/>
          <w:sz w:val="16"/>
          <w:szCs w:val="16"/>
          <w:color w:val="auto"/>
        </w:rPr>
        <w:t>Our international mortgage insurance business increased $27 million and our lifestyle protection insurance business increased $6 million.</w:t>
      </w:r>
    </w:p>
    <w:p>
      <w:pPr>
        <w:spacing w:after="0" w:line="113" w:lineRule="exact"/>
        <w:rPr>
          <w:rFonts w:ascii="Arial" w:cs="Arial" w:eastAsia="Arial" w:hAnsi="Arial"/>
          <w:sz w:val="16"/>
          <w:szCs w:val="16"/>
          <w:color w:val="auto"/>
        </w:rPr>
      </w:pPr>
    </w:p>
    <w:p>
      <w:pPr>
        <w:ind w:left="900" w:right="500" w:hanging="325"/>
        <w:spacing w:after="0" w:line="268" w:lineRule="auto"/>
        <w:tabs>
          <w:tab w:leader="none" w:pos="900" w:val="left"/>
        </w:tabs>
        <w:numPr>
          <w:ilvl w:val="0"/>
          <w:numId w:val="88"/>
        </w:numPr>
        <w:rPr>
          <w:rFonts w:ascii="Arial" w:cs="Arial" w:eastAsia="Arial" w:hAnsi="Arial"/>
          <w:sz w:val="18"/>
          <w:szCs w:val="18"/>
          <w:color w:val="auto"/>
        </w:rPr>
      </w:pPr>
      <w:r>
        <w:rPr>
          <w:rFonts w:ascii="Arial" w:cs="Arial" w:eastAsia="Arial" w:hAnsi="Arial"/>
          <w:sz w:val="18"/>
          <w:szCs w:val="18"/>
          <w:color w:val="auto"/>
        </w:rPr>
        <w:t>The six months ended June 30, 2010 included increases of $29 million and $3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right="60" w:hanging="325"/>
        <w:spacing w:after="0" w:line="268" w:lineRule="auto"/>
        <w:tabs>
          <w:tab w:leader="none" w:pos="900" w:val="left"/>
        </w:tabs>
        <w:numPr>
          <w:ilvl w:val="0"/>
          <w:numId w:val="88"/>
        </w:numPr>
        <w:rPr>
          <w:rFonts w:ascii="Arial" w:cs="Arial" w:eastAsia="Arial" w:hAnsi="Arial"/>
          <w:sz w:val="18"/>
          <w:szCs w:val="18"/>
          <w:color w:val="auto"/>
        </w:rPr>
      </w:pPr>
      <w:r>
        <w:rPr>
          <w:rFonts w:ascii="Arial" w:cs="Arial" w:eastAsia="Arial" w:hAnsi="Arial"/>
          <w:sz w:val="18"/>
          <w:szCs w:val="18"/>
          <w:color w:val="auto"/>
        </w:rPr>
        <w:t>Excluding the effects of foreign exchange, the decrease in our international mortgage insurance business was principally attributable to lower yields, partially offset by an increase in invested assets.</w:t>
      </w:r>
    </w:p>
    <w:p>
      <w:pPr>
        <w:spacing w:after="0" w:line="50" w:lineRule="exact"/>
        <w:rPr>
          <w:rFonts w:ascii="Arial" w:cs="Arial" w:eastAsia="Arial" w:hAnsi="Arial"/>
          <w:sz w:val="18"/>
          <w:szCs w:val="18"/>
          <w:color w:val="auto"/>
        </w:rPr>
      </w:pPr>
    </w:p>
    <w:p>
      <w:pPr>
        <w:ind w:left="900" w:right="20" w:hanging="325"/>
        <w:spacing w:after="0" w:line="268" w:lineRule="auto"/>
        <w:tabs>
          <w:tab w:leader="none" w:pos="900" w:val="left"/>
        </w:tabs>
        <w:numPr>
          <w:ilvl w:val="0"/>
          <w:numId w:val="88"/>
        </w:numPr>
        <w:rPr>
          <w:rFonts w:ascii="Arial" w:cs="Arial" w:eastAsia="Arial" w:hAnsi="Arial"/>
          <w:sz w:val="18"/>
          <w:szCs w:val="18"/>
          <w:color w:val="auto"/>
        </w:rPr>
      </w:pPr>
      <w:r>
        <w:rPr>
          <w:rFonts w:ascii="Arial" w:cs="Arial" w:eastAsia="Arial" w:hAnsi="Arial"/>
          <w:sz w:val="18"/>
          <w:szCs w:val="18"/>
          <w:color w:val="auto"/>
        </w:rPr>
        <w:t>The increase in our lifestyle protection insurance business was largely related to reinsurance arrangements accounted for under the deposit method of accounting as these arrangements were in a gain position, partially offset by lower yields and invested assets.</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400"/>
          </w:cols>
          <w:pgMar w:left="240" w:top="459" w:right="25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Benefits and expenses</w:t>
      </w:r>
    </w:p>
    <w:p>
      <w:pPr>
        <w:spacing w:after="0" w:line="90"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Benefits and other changes in policy reserves</w:t>
      </w:r>
    </w:p>
    <w:p>
      <w:pPr>
        <w:spacing w:after="0" w:line="90" w:lineRule="exact"/>
        <w:rPr>
          <w:sz w:val="20"/>
          <w:szCs w:val="20"/>
          <w:color w:val="auto"/>
        </w:rPr>
      </w:pPr>
    </w:p>
    <w:p>
      <w:pPr>
        <w:ind w:left="900" w:hanging="325"/>
        <w:spacing w:after="0"/>
        <w:tabs>
          <w:tab w:leader="none" w:pos="900" w:val="left"/>
        </w:tabs>
        <w:numPr>
          <w:ilvl w:val="0"/>
          <w:numId w:val="89"/>
        </w:numPr>
        <w:rPr>
          <w:rFonts w:ascii="Arial" w:cs="Arial" w:eastAsia="Arial" w:hAnsi="Arial"/>
          <w:sz w:val="16"/>
          <w:szCs w:val="16"/>
          <w:color w:val="auto"/>
        </w:rPr>
      </w:pPr>
      <w:r>
        <w:rPr>
          <w:rFonts w:ascii="Arial" w:cs="Arial" w:eastAsia="Arial" w:hAnsi="Arial"/>
          <w:sz w:val="16"/>
          <w:szCs w:val="16"/>
          <w:color w:val="auto"/>
        </w:rPr>
        <w:t>Our international mortgage insurance business decreased $22 million and our lifestyle protection insurance business decreased $59 million.</w:t>
      </w:r>
    </w:p>
    <w:p>
      <w:pPr>
        <w:spacing w:after="0" w:line="113" w:lineRule="exact"/>
        <w:rPr>
          <w:rFonts w:ascii="Arial" w:cs="Arial" w:eastAsia="Arial" w:hAnsi="Arial"/>
          <w:sz w:val="16"/>
          <w:szCs w:val="16"/>
          <w:color w:val="auto"/>
        </w:rPr>
      </w:pPr>
    </w:p>
    <w:p>
      <w:pPr>
        <w:ind w:left="900" w:right="480" w:hanging="325"/>
        <w:spacing w:after="0" w:line="268" w:lineRule="auto"/>
        <w:tabs>
          <w:tab w:leader="none" w:pos="90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six months ended June 30, 2010 included increases of $30 million and $5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right="60" w:hanging="325"/>
        <w:spacing w:after="0" w:line="306" w:lineRule="auto"/>
        <w:tabs>
          <w:tab w:leader="none" w:pos="900" w:val="left"/>
        </w:tabs>
        <w:numPr>
          <w:ilvl w:val="0"/>
          <w:numId w:val="89"/>
        </w:numPr>
        <w:rPr>
          <w:rFonts w:ascii="Arial" w:cs="Arial" w:eastAsia="Arial" w:hAnsi="Arial"/>
          <w:sz w:val="16"/>
          <w:szCs w:val="16"/>
          <w:color w:val="auto"/>
        </w:rPr>
      </w:pPr>
      <w:r>
        <w:rPr>
          <w:rFonts w:ascii="Arial" w:cs="Arial" w:eastAsia="Arial" w:hAnsi="Arial"/>
          <w:sz w:val="16"/>
          <w:szCs w:val="16"/>
          <w:color w:val="auto"/>
        </w:rPr>
        <w:t>The decrease in our international mortgage insurance business was primarily related to Canada and Australia. In Canada, losses declined driven by lower new delinquencies from an improving economy. In Australia, losses decreased as a result of lower reserves per delinquency primarily from an improving economy. Losses in Europe also declined primarily related to ongoing loss mitigation activities.</w:t>
      </w:r>
    </w:p>
    <w:p>
      <w:pPr>
        <w:spacing w:after="0" w:line="25" w:lineRule="exact"/>
        <w:rPr>
          <w:rFonts w:ascii="Arial" w:cs="Arial" w:eastAsia="Arial" w:hAnsi="Arial"/>
          <w:sz w:val="16"/>
          <w:szCs w:val="16"/>
          <w:color w:val="auto"/>
        </w:rPr>
      </w:pPr>
    </w:p>
    <w:p>
      <w:pPr>
        <w:ind w:left="900" w:right="80" w:hanging="325"/>
        <w:spacing w:after="0" w:line="370" w:lineRule="auto"/>
        <w:tabs>
          <w:tab w:leader="none" w:pos="900" w:val="left"/>
        </w:tabs>
        <w:numPr>
          <w:ilvl w:val="0"/>
          <w:numId w:val="89"/>
        </w:numPr>
        <w:rPr>
          <w:rFonts w:ascii="Arial" w:cs="Arial" w:eastAsia="Arial" w:hAnsi="Arial"/>
          <w:sz w:val="15"/>
          <w:szCs w:val="15"/>
          <w:color w:val="auto"/>
        </w:rPr>
      </w:pPr>
      <w:r>
        <w:rPr>
          <w:rFonts w:ascii="Arial" w:cs="Arial" w:eastAsia="Arial" w:hAnsi="Arial"/>
          <w:sz w:val="15"/>
          <w:szCs w:val="15"/>
          <w:color w:val="auto"/>
        </w:rPr>
        <w:t>The decrease in our lifestyle protection insurance business was largely attributable to a decrease in claim reserves from declining claim registrations as a result of stabilization of economic conditions in Europe. These decreases were partially offset by higher paid claims, particularly in Denmark.</w:t>
      </w:r>
    </w:p>
    <w:p>
      <w:pPr>
        <w:spacing w:after="0" w:line="143"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Acquisition and operating expenses, net of deferrals</w:t>
      </w:r>
    </w:p>
    <w:p>
      <w:pPr>
        <w:spacing w:after="0" w:line="90" w:lineRule="exact"/>
        <w:rPr>
          <w:sz w:val="20"/>
          <w:szCs w:val="20"/>
          <w:color w:val="auto"/>
        </w:rPr>
      </w:pPr>
    </w:p>
    <w:p>
      <w:pPr>
        <w:ind w:left="900" w:hanging="325"/>
        <w:spacing w:after="0"/>
        <w:tabs>
          <w:tab w:leader="none" w:pos="900" w:val="left"/>
        </w:tabs>
        <w:numPr>
          <w:ilvl w:val="0"/>
          <w:numId w:val="90"/>
        </w:numPr>
        <w:rPr>
          <w:rFonts w:ascii="Arial" w:cs="Arial" w:eastAsia="Arial" w:hAnsi="Arial"/>
          <w:sz w:val="16"/>
          <w:szCs w:val="16"/>
          <w:color w:val="auto"/>
        </w:rPr>
      </w:pPr>
      <w:r>
        <w:rPr>
          <w:rFonts w:ascii="Arial" w:cs="Arial" w:eastAsia="Arial" w:hAnsi="Arial"/>
          <w:sz w:val="16"/>
          <w:szCs w:val="16"/>
          <w:color w:val="auto"/>
        </w:rPr>
        <w:t>Our international mortgage insurance business increased $18 million and our lifestyle protection insurance business decreased $2 million.</w:t>
      </w:r>
    </w:p>
    <w:p>
      <w:pPr>
        <w:spacing w:after="0" w:line="113" w:lineRule="exact"/>
        <w:rPr>
          <w:rFonts w:ascii="Arial" w:cs="Arial" w:eastAsia="Arial" w:hAnsi="Arial"/>
          <w:sz w:val="16"/>
          <w:szCs w:val="16"/>
          <w:color w:val="auto"/>
        </w:rPr>
      </w:pPr>
    </w:p>
    <w:p>
      <w:pPr>
        <w:ind w:left="900" w:right="500" w:hanging="325"/>
        <w:spacing w:after="0" w:line="268" w:lineRule="auto"/>
        <w:tabs>
          <w:tab w:leader="none" w:pos="90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six months ended June 30, 2010 included increases of $11 million and $8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right="300" w:hanging="325"/>
        <w:spacing w:after="0" w:line="268" w:lineRule="auto"/>
        <w:tabs>
          <w:tab w:leader="none" w:pos="90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increase in our international mortgage insurance business was primarily due to higher expenses in Canada and the cancellation of our capital maintenance agreement with our U.S. mortgage insurance business in the second quarter of 2009.</w:t>
      </w:r>
    </w:p>
    <w:p>
      <w:pPr>
        <w:spacing w:after="0" w:line="50" w:lineRule="exact"/>
        <w:rPr>
          <w:rFonts w:ascii="Arial" w:cs="Arial" w:eastAsia="Arial" w:hAnsi="Arial"/>
          <w:sz w:val="18"/>
          <w:szCs w:val="18"/>
          <w:color w:val="auto"/>
        </w:rPr>
      </w:pPr>
    </w:p>
    <w:p>
      <w:pPr>
        <w:ind w:left="900" w:right="20" w:hanging="325"/>
        <w:spacing w:after="0" w:line="256" w:lineRule="auto"/>
        <w:tabs>
          <w:tab w:leader="none" w:pos="90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decrease in our lifestyle protection insurance business was largely attributable to a decrease in commissions related to a decline in new business. This decrease was partially offset by an increase in profit commissions driven by lower claims. Additionally, there was a favorable commission adjustment in the first quarter of 2010 that was offset in premiums and a favorable impact from our re-pricing actions that we began in the second half of 2009.</w:t>
      </w:r>
    </w:p>
    <w:p>
      <w:pPr>
        <w:spacing w:after="0" w:line="224"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Amortization of deferred acquisition costs and intangibles</w:t>
      </w:r>
    </w:p>
    <w:p>
      <w:pPr>
        <w:spacing w:after="0" w:line="90" w:lineRule="exact"/>
        <w:rPr>
          <w:sz w:val="20"/>
          <w:szCs w:val="20"/>
          <w:color w:val="auto"/>
        </w:rPr>
      </w:pPr>
    </w:p>
    <w:p>
      <w:pPr>
        <w:ind w:left="900" w:hanging="325"/>
        <w:spacing w:after="0"/>
        <w:tabs>
          <w:tab w:leader="none" w:pos="900" w:val="left"/>
        </w:tabs>
        <w:numPr>
          <w:ilvl w:val="0"/>
          <w:numId w:val="91"/>
        </w:numPr>
        <w:rPr>
          <w:rFonts w:ascii="Arial" w:cs="Arial" w:eastAsia="Arial" w:hAnsi="Arial"/>
          <w:sz w:val="16"/>
          <w:szCs w:val="16"/>
          <w:color w:val="auto"/>
        </w:rPr>
      </w:pPr>
      <w:r>
        <w:rPr>
          <w:rFonts w:ascii="Arial" w:cs="Arial" w:eastAsia="Arial" w:hAnsi="Arial"/>
          <w:sz w:val="16"/>
          <w:szCs w:val="16"/>
          <w:color w:val="auto"/>
        </w:rPr>
        <w:t>Our international mortgage insurance business increased $13 million and our lifestyle protection insurance business decreased $14 million.</w:t>
      </w:r>
    </w:p>
    <w:p>
      <w:pPr>
        <w:spacing w:after="0" w:line="113" w:lineRule="exact"/>
        <w:rPr>
          <w:rFonts w:ascii="Arial" w:cs="Arial" w:eastAsia="Arial" w:hAnsi="Arial"/>
          <w:sz w:val="16"/>
          <w:szCs w:val="16"/>
          <w:color w:val="auto"/>
        </w:rPr>
      </w:pPr>
    </w:p>
    <w:p>
      <w:pPr>
        <w:ind w:left="900" w:right="580" w:hanging="325"/>
        <w:spacing w:after="0" w:line="268" w:lineRule="auto"/>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 six months ended June 30, 2010 included increases of $7 million and $3 million attributable to changes in foreign exchange rates for our international mortgage and lifestyle protection insurance businesses, respectively.</w:t>
      </w:r>
    </w:p>
    <w:p>
      <w:pPr>
        <w:spacing w:after="0" w:line="50" w:lineRule="exact"/>
        <w:rPr>
          <w:rFonts w:ascii="Arial" w:cs="Arial" w:eastAsia="Arial" w:hAnsi="Arial"/>
          <w:sz w:val="18"/>
          <w:szCs w:val="18"/>
          <w:color w:val="auto"/>
        </w:rPr>
      </w:pPr>
    </w:p>
    <w:p>
      <w:pPr>
        <w:ind w:left="900" w:right="280" w:hanging="325"/>
        <w:spacing w:after="0" w:line="268" w:lineRule="auto"/>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 increase in our international mortgage insurance business was as a result of an increase in amortization of deferred acquisition costs from the seasoning of our in-force blocks of business.</w:t>
      </w:r>
    </w:p>
    <w:p>
      <w:pPr>
        <w:spacing w:after="0" w:line="50" w:lineRule="exact"/>
        <w:rPr>
          <w:rFonts w:ascii="Arial" w:cs="Arial" w:eastAsia="Arial" w:hAnsi="Arial"/>
          <w:sz w:val="18"/>
          <w:szCs w:val="18"/>
          <w:color w:val="auto"/>
        </w:rPr>
      </w:pPr>
    </w:p>
    <w:p>
      <w:pPr>
        <w:jc w:val="both"/>
        <w:ind w:left="900" w:hanging="325"/>
        <w:spacing w:after="0" w:line="259" w:lineRule="auto"/>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 decrease in our lifestyle protection insurance business was attributable to a decrease in the U.K. from lower single premium sales related to new business regulations and a decrease from our runoff business. Additionally, there was an unfavorable adjustment in the first quarter of 2010 related to the timing of receiving client data that was offset in premiums.</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380"/>
          </w:cols>
          <w:pgMar w:left="240" w:top="459" w:right="27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60" w:firstLine="571"/>
        <w:spacing w:after="0" w:line="298" w:lineRule="auto"/>
        <w:rPr>
          <w:sz w:val="20"/>
          <w:szCs w:val="20"/>
          <w:color w:val="auto"/>
        </w:rPr>
      </w:pPr>
      <w:r>
        <w:rPr>
          <w:rFonts w:ascii="Arial" w:cs="Arial" w:eastAsia="Arial" w:hAnsi="Arial"/>
          <w:sz w:val="16"/>
          <w:szCs w:val="16"/>
          <w:i w:val="1"/>
          <w:iCs w:val="1"/>
          <w:color w:val="auto"/>
        </w:rPr>
        <w:t xml:space="preserve">Provision for income taxes. </w:t>
      </w:r>
      <w:r>
        <w:rPr>
          <w:rFonts w:ascii="Arial" w:cs="Arial" w:eastAsia="Arial" w:hAnsi="Arial"/>
          <w:sz w:val="16"/>
          <w:szCs w:val="16"/>
          <w:color w:val="auto"/>
        </w:rPr>
        <w:t>The effective tax rate decreased to 23.9% for the six months ended June 30, 2010 from 26.7% for the six months ended</w:t>
      </w:r>
      <w:r>
        <w:rPr>
          <w:rFonts w:ascii="Arial" w:cs="Arial" w:eastAsia="Arial" w:hAnsi="Arial"/>
          <w:sz w:val="16"/>
          <w:szCs w:val="16"/>
          <w:i w:val="1"/>
          <w:iCs w:val="1"/>
          <w:color w:val="auto"/>
        </w:rPr>
        <w:t xml:space="preserve"> </w:t>
      </w:r>
      <w:r>
        <w:rPr>
          <w:rFonts w:ascii="Arial" w:cs="Arial" w:eastAsia="Arial" w:hAnsi="Arial"/>
          <w:sz w:val="16"/>
          <w:szCs w:val="16"/>
          <w:color w:val="auto"/>
        </w:rPr>
        <w:t>June 30, 2009. This decrease in the effective tax rate was primarily attributable to the favorable impact of newly enacted Australian tax legislation and lower taxed foreign income in the current year. The six months ended June 30, 2010 also included increases of $17 million and $2 million attributable to changes in foreign exchange rates for our international mortgage and lifestyle protection insurance businesses, respectively.</w:t>
      </w:r>
    </w:p>
    <w:p>
      <w:pPr>
        <w:spacing w:after="0" w:line="113" w:lineRule="exact"/>
        <w:rPr>
          <w:sz w:val="20"/>
          <w:szCs w:val="20"/>
          <w:color w:val="auto"/>
        </w:rPr>
      </w:pPr>
    </w:p>
    <w:p>
      <w:pPr>
        <w:ind w:right="40" w:firstLine="571"/>
        <w:spacing w:after="0" w:line="259" w:lineRule="auto"/>
        <w:rPr>
          <w:sz w:val="20"/>
          <w:szCs w:val="20"/>
          <w:color w:val="auto"/>
        </w:rPr>
      </w:pPr>
      <w:r>
        <w:rPr>
          <w:rFonts w:ascii="Arial" w:cs="Arial" w:eastAsia="Arial" w:hAnsi="Arial"/>
          <w:sz w:val="18"/>
          <w:szCs w:val="18"/>
          <w:i w:val="1"/>
          <w:iCs w:val="1"/>
          <w:color w:val="auto"/>
        </w:rPr>
        <w:t>Net income attributable to noncontrolling interests</w:t>
      </w:r>
      <w:r>
        <w:rPr>
          <w:rFonts w:ascii="Arial" w:cs="Arial" w:eastAsia="Arial" w:hAnsi="Arial"/>
          <w:sz w:val="18"/>
          <w:szCs w:val="18"/>
          <w:color w:val="auto"/>
        </w:rPr>
        <w:t>. The increase related to the initial public offering of our Canadian mortgage insurance business in July</w:t>
      </w:r>
      <w:r>
        <w:rPr>
          <w:rFonts w:ascii="Arial" w:cs="Arial" w:eastAsia="Arial" w:hAnsi="Arial"/>
          <w:sz w:val="18"/>
          <w:szCs w:val="18"/>
          <w:i w:val="1"/>
          <w:iCs w:val="1"/>
          <w:color w:val="auto"/>
        </w:rPr>
        <w:t xml:space="preserve"> </w:t>
      </w:r>
      <w:r>
        <w:rPr>
          <w:rFonts w:ascii="Arial" w:cs="Arial" w:eastAsia="Arial" w:hAnsi="Arial"/>
          <w:sz w:val="18"/>
          <w:szCs w:val="18"/>
          <w:color w:val="auto"/>
        </w:rPr>
        <w:t>2009 which reduced our ownership percentage to 57.5%. The six months ended June 30, 2010 included an increase of $9 million attributable to changes in foreign exchange rates.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International selected operating performance measures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International mortgage insurance</w:t>
      </w:r>
    </w:p>
    <w:p>
      <w:pPr>
        <w:spacing w:after="0" w:line="90" w:lineRule="exact"/>
        <w:rPr>
          <w:sz w:val="20"/>
          <w:szCs w:val="20"/>
          <w:color w:val="auto"/>
        </w:rPr>
      </w:pPr>
    </w:p>
    <w:p>
      <w:pPr>
        <w:ind w:right="460" w:firstLine="456"/>
        <w:spacing w:after="0" w:line="268" w:lineRule="auto"/>
        <w:rPr>
          <w:sz w:val="20"/>
          <w:szCs w:val="20"/>
          <w:color w:val="auto"/>
        </w:rPr>
      </w:pPr>
      <w:r>
        <w:rPr>
          <w:rFonts w:ascii="Arial" w:cs="Arial" w:eastAsia="Arial" w:hAnsi="Arial"/>
          <w:sz w:val="18"/>
          <w:szCs w:val="18"/>
          <w:color w:val="auto"/>
        </w:rPr>
        <w:t>The following table sets forth selected operating performance measures regarding our international mortgage insurance business as of or for the dates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4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center"/>
              <w:ind w:left="152"/>
              <w:spacing w:after="0"/>
              <w:rPr>
                <w:sz w:val="20"/>
                <w:szCs w:val="20"/>
                <w:color w:val="auto"/>
              </w:rPr>
            </w:pPr>
            <w:r>
              <w:rPr>
                <w:rFonts w:ascii="Arial" w:cs="Arial" w:eastAsia="Arial" w:hAnsi="Arial"/>
                <w:sz w:val="14"/>
                <w:szCs w:val="14"/>
                <w:b w:val="1"/>
                <w:bCs w:val="1"/>
                <w:color w:val="auto"/>
                <w:w w:val="84"/>
              </w:rPr>
              <w:t>Increase</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4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4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percentage</w:t>
            </w:r>
          </w:p>
        </w:tc>
        <w:tc>
          <w:tcPr>
            <w:tcW w:w="0" w:type="dxa"/>
            <w:vAlign w:val="bottom"/>
          </w:tcPr>
          <w:p>
            <w:pPr>
              <w:spacing w:after="0"/>
              <w:rPr>
                <w:sz w:val="1"/>
                <w:szCs w:val="1"/>
                <w:color w:val="auto"/>
              </w:rPr>
            </w:pPr>
          </w:p>
        </w:tc>
      </w:tr>
      <w:tr>
        <w:trPr>
          <w:trHeight w:val="161"/>
        </w:trPr>
        <w:tc>
          <w:tcPr>
            <w:tcW w:w="54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60" w:type="dxa"/>
            <w:vAlign w:val="bottom"/>
            <w:gridSpan w:val="4"/>
          </w:tcPr>
          <w:p>
            <w:pPr>
              <w:jc w:val="center"/>
              <w:ind w:right="160"/>
              <w:spacing w:after="0"/>
              <w:rPr>
                <w:sz w:val="20"/>
                <w:szCs w:val="20"/>
                <w:color w:val="auto"/>
              </w:rPr>
            </w:pPr>
            <w:r>
              <w:rPr>
                <w:rFonts w:ascii="Arial" w:cs="Arial" w:eastAsia="Arial" w:hAnsi="Arial"/>
                <w:sz w:val="14"/>
                <w:szCs w:val="14"/>
                <w:b w:val="1"/>
                <w:bCs w:val="1"/>
                <w:color w:val="auto"/>
                <w:w w:val="84"/>
              </w:rPr>
              <w:t>As of June 30,</w:t>
            </w:r>
          </w:p>
        </w:tc>
        <w:tc>
          <w:tcPr>
            <w:tcW w:w="140" w:type="dxa"/>
            <w:vAlign w:val="bottom"/>
          </w:tcPr>
          <w:p>
            <w:pPr>
              <w:spacing w:after="0"/>
              <w:rPr>
                <w:sz w:val="14"/>
                <w:szCs w:val="14"/>
                <w:color w:val="auto"/>
              </w:rPr>
            </w:pPr>
          </w:p>
        </w:tc>
        <w:tc>
          <w:tcPr>
            <w:tcW w:w="780" w:type="dxa"/>
            <w:vAlign w:val="bottom"/>
          </w:tcPr>
          <w:p>
            <w:pPr>
              <w:jc w:val="center"/>
              <w:ind w:left="152"/>
              <w:spacing w:after="0"/>
              <w:rPr>
                <w:sz w:val="20"/>
                <w:szCs w:val="20"/>
                <w:color w:val="auto"/>
              </w:rPr>
            </w:pPr>
            <w:r>
              <w:rPr>
                <w:rFonts w:ascii="Arial" w:cs="Arial" w:eastAsia="Arial" w:hAnsi="Arial"/>
                <w:sz w:val="14"/>
                <w:szCs w:val="14"/>
                <w:b w:val="1"/>
                <w:bCs w:val="1"/>
                <w:color w:val="auto"/>
                <w:w w:val="81"/>
              </w:rPr>
              <w:t>change</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460" w:type="dxa"/>
            <w:vAlign w:val="bottom"/>
            <w:gridSpan w:val="3"/>
            <w:vMerge w:val="continue"/>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80" w:type="dxa"/>
            <w:vAlign w:val="bottom"/>
            <w:tcBorders>
              <w:top w:val="single" w:sz="8" w:color="auto"/>
            </w:tcBorders>
            <w:gridSpan w:val="2"/>
          </w:tcPr>
          <w:p>
            <w:pPr>
              <w:jc w:val="right"/>
              <w:ind w:right="152"/>
              <w:spacing w:after="0" w:line="142" w:lineRule="exact"/>
              <w:rPr>
                <w:sz w:val="20"/>
                <w:szCs w:val="20"/>
                <w:color w:val="auto"/>
              </w:rPr>
            </w:pPr>
            <w:r>
              <w:rPr>
                <w:rFonts w:ascii="Arial" w:cs="Arial" w:eastAsia="Arial" w:hAnsi="Arial"/>
                <w:sz w:val="14"/>
                <w:szCs w:val="14"/>
                <w:b w:val="1"/>
                <w:bCs w:val="1"/>
                <w:color w:val="auto"/>
              </w:rPr>
              <w:t>2010</w:t>
            </w:r>
          </w:p>
        </w:tc>
        <w:tc>
          <w:tcPr>
            <w:tcW w:w="820" w:type="dxa"/>
            <w:vAlign w:val="bottom"/>
            <w:tcBorders>
              <w:top w:val="single" w:sz="8" w:color="auto"/>
            </w:tcBorders>
            <w:gridSpan w:val="2"/>
          </w:tcPr>
          <w:p>
            <w:pPr>
              <w:jc w:val="right"/>
              <w:ind w:right="140"/>
              <w:spacing w:after="0" w:line="142" w:lineRule="exact"/>
              <w:rPr>
                <w:sz w:val="20"/>
                <w:szCs w:val="20"/>
                <w:color w:val="auto"/>
              </w:rPr>
            </w:pPr>
            <w:r>
              <w:rPr>
                <w:rFonts w:ascii="Arial" w:cs="Arial" w:eastAsia="Arial" w:hAnsi="Arial"/>
                <w:sz w:val="14"/>
                <w:szCs w:val="14"/>
                <w:b w:val="1"/>
                <w:bCs w:val="1"/>
                <w:color w:val="auto"/>
              </w:rPr>
              <w:t>2009</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Borders>
              <w:top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Primary insurance in-force</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7"/>
              </w:rPr>
              <w:t>$484,100</w:t>
            </w:r>
          </w:p>
        </w:tc>
        <w:tc>
          <w:tcPr>
            <w:tcW w:w="9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$452,800</w:t>
            </w:r>
          </w:p>
        </w:tc>
        <w:tc>
          <w:tcPr>
            <w:tcW w:w="920" w:type="dxa"/>
            <w:vAlign w:val="bottom"/>
            <w:gridSpan w:val="2"/>
            <w:shd w:val="clear" w:color="auto" w:fill="CCEEFF"/>
          </w:tcPr>
          <w:p>
            <w:pPr>
              <w:jc w:val="right"/>
              <w:ind w:right="132"/>
              <w:spacing w:after="0"/>
              <w:rPr>
                <w:sz w:val="20"/>
                <w:szCs w:val="20"/>
                <w:color w:val="auto"/>
              </w:rPr>
            </w:pPr>
            <w:r>
              <w:rPr>
                <w:rFonts w:ascii="Arial" w:cs="Arial" w:eastAsia="Arial" w:hAnsi="Arial"/>
                <w:sz w:val="18"/>
                <w:szCs w:val="18"/>
                <w:color w:val="auto"/>
              </w:rPr>
              <w:t>$31,300</w:t>
            </w: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440" w:type="dxa"/>
            <w:vAlign w:val="bottom"/>
            <w:gridSpan w:val="2"/>
          </w:tcPr>
          <w:p>
            <w:pPr>
              <w:spacing w:after="0"/>
              <w:rPr>
                <w:sz w:val="20"/>
                <w:szCs w:val="20"/>
                <w:color w:val="auto"/>
              </w:rPr>
            </w:pPr>
            <w:r>
              <w:rPr>
                <w:rFonts w:ascii="Arial" w:cs="Arial" w:eastAsia="Arial" w:hAnsi="Arial"/>
                <w:sz w:val="18"/>
                <w:szCs w:val="18"/>
                <w:color w:val="auto"/>
              </w:rPr>
              <w:t>Risk in-force</w:t>
            </w: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163,000</w:t>
            </w:r>
          </w:p>
        </w:tc>
        <w:tc>
          <w:tcPr>
            <w:tcW w:w="960" w:type="dxa"/>
            <w:vAlign w:val="bottom"/>
            <w:gridSpan w:val="3"/>
          </w:tcPr>
          <w:p>
            <w:pPr>
              <w:jc w:val="right"/>
              <w:ind w:right="80"/>
              <w:spacing w:after="0"/>
              <w:rPr>
                <w:sz w:val="20"/>
                <w:szCs w:val="20"/>
                <w:color w:val="auto"/>
              </w:rPr>
            </w:pPr>
            <w:r>
              <w:rPr>
                <w:rFonts w:ascii="Arial" w:cs="Arial" w:eastAsia="Arial" w:hAnsi="Arial"/>
                <w:sz w:val="18"/>
                <w:szCs w:val="18"/>
                <w:color w:val="auto"/>
              </w:rPr>
              <w:t>148,000</w:t>
            </w:r>
          </w:p>
        </w:tc>
        <w:tc>
          <w:tcPr>
            <w:tcW w:w="920" w:type="dxa"/>
            <w:vAlign w:val="bottom"/>
            <w:gridSpan w:val="2"/>
          </w:tcPr>
          <w:p>
            <w:pPr>
              <w:jc w:val="right"/>
              <w:ind w:right="132"/>
              <w:spacing w:after="0"/>
              <w:rPr>
                <w:sz w:val="20"/>
                <w:szCs w:val="20"/>
                <w:color w:val="auto"/>
              </w:rPr>
            </w:pPr>
            <w:r>
              <w:rPr>
                <w:rFonts w:ascii="Arial" w:cs="Arial" w:eastAsia="Arial" w:hAnsi="Arial"/>
                <w:sz w:val="18"/>
                <w:szCs w:val="18"/>
                <w:color w:val="auto"/>
              </w:rPr>
              <w:t>15,000</w:t>
            </w:r>
          </w:p>
        </w:tc>
        <w:tc>
          <w:tcPr>
            <w:tcW w:w="420" w:type="dxa"/>
            <w:vAlign w:val="bottom"/>
            <w:gridSpan w:val="2"/>
          </w:tcPr>
          <w:p>
            <w:pPr>
              <w:jc w:val="right"/>
              <w:ind w:right="60"/>
              <w:spacing w:after="0"/>
              <w:rPr>
                <w:sz w:val="20"/>
                <w:szCs w:val="20"/>
                <w:color w:val="auto"/>
              </w:rPr>
            </w:pPr>
            <w:r>
              <w:rPr>
                <w:rFonts w:ascii="Arial" w:cs="Arial" w:eastAsia="Arial" w:hAnsi="Arial"/>
                <w:sz w:val="18"/>
                <w:szCs w:val="18"/>
                <w:color w:val="auto"/>
                <w:w w:val="94"/>
              </w:rPr>
              <w:t>10%</w:t>
            </w:r>
          </w:p>
        </w:tc>
        <w:tc>
          <w:tcPr>
            <w:tcW w:w="0" w:type="dxa"/>
            <w:vAlign w:val="bottom"/>
          </w:tcPr>
          <w:p>
            <w:pPr>
              <w:spacing w:after="0"/>
              <w:rPr>
                <w:sz w:val="1"/>
                <w:szCs w:val="1"/>
                <w:color w:val="auto"/>
              </w:rPr>
            </w:pPr>
          </w:p>
        </w:tc>
      </w:tr>
      <w:tr>
        <w:trPr>
          <w:trHeight w:val="332"/>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jc w:val="center"/>
              <w:ind w:left="132"/>
              <w:spacing w:after="0"/>
              <w:rPr>
                <w:sz w:val="20"/>
                <w:szCs w:val="20"/>
                <w:color w:val="auto"/>
              </w:rPr>
            </w:pPr>
            <w:r>
              <w:rPr>
                <w:rFonts w:ascii="Arial" w:cs="Arial" w:eastAsia="Arial" w:hAnsi="Arial"/>
                <w:sz w:val="14"/>
                <w:szCs w:val="14"/>
                <w:b w:val="1"/>
                <w:bCs w:val="1"/>
                <w:color w:val="auto"/>
                <w:w w:val="84"/>
              </w:rPr>
              <w:t>Increase</w:t>
            </w: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jc w:val="center"/>
              <w:ind w:left="72"/>
              <w:spacing w:after="0"/>
              <w:rPr>
                <w:sz w:val="20"/>
                <w:szCs w:val="20"/>
                <w:color w:val="auto"/>
              </w:rPr>
            </w:pPr>
            <w:r>
              <w:rPr>
                <w:rFonts w:ascii="Arial" w:cs="Arial" w:eastAsia="Arial" w:hAnsi="Arial"/>
                <w:sz w:val="14"/>
                <w:szCs w:val="14"/>
                <w:b w:val="1"/>
                <w:bCs w:val="1"/>
                <w:color w:val="auto"/>
                <w:w w:val="84"/>
              </w:rPr>
              <w:t>Increase</w:t>
            </w: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4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(decrease) and</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4120" w:type="dxa"/>
            <w:vAlign w:val="bottom"/>
          </w:tcPr>
          <w:p>
            <w:pPr>
              <w:spacing w:after="0"/>
              <w:rPr>
                <w:sz w:val="12"/>
                <w:szCs w:val="12"/>
                <w:color w:val="auto"/>
              </w:rPr>
            </w:pPr>
          </w:p>
        </w:tc>
        <w:tc>
          <w:tcPr>
            <w:tcW w:w="1400" w:type="dxa"/>
            <w:vAlign w:val="bottom"/>
            <w:gridSpan w:val="4"/>
          </w:tcPr>
          <w:p>
            <w:pPr>
              <w:jc w:val="right"/>
              <w:ind w:right="100"/>
              <w:spacing w:after="0" w:line="149" w:lineRule="exact"/>
              <w:rPr>
                <w:sz w:val="20"/>
                <w:szCs w:val="20"/>
                <w:color w:val="auto"/>
              </w:rPr>
            </w:pPr>
            <w:r>
              <w:rPr>
                <w:rFonts w:ascii="Arial" w:cs="Arial" w:eastAsia="Arial" w:hAnsi="Arial"/>
                <w:sz w:val="14"/>
                <w:szCs w:val="14"/>
                <w:b w:val="1"/>
                <w:bCs w:val="1"/>
                <w:color w:val="auto"/>
                <w:w w:val="92"/>
              </w:rPr>
              <w:t>Three months ended</w:t>
            </w:r>
          </w:p>
        </w:tc>
        <w:tc>
          <w:tcPr>
            <w:tcW w:w="220" w:type="dxa"/>
            <w:vAlign w:val="bottom"/>
          </w:tcPr>
          <w:p>
            <w:pPr>
              <w:spacing w:after="0"/>
              <w:rPr>
                <w:sz w:val="12"/>
                <w:szCs w:val="12"/>
                <w:color w:val="auto"/>
              </w:rPr>
            </w:pPr>
          </w:p>
        </w:tc>
        <w:tc>
          <w:tcPr>
            <w:tcW w:w="840" w:type="dxa"/>
            <w:vAlign w:val="bottom"/>
          </w:tcPr>
          <w:p>
            <w:pPr>
              <w:jc w:val="center"/>
              <w:ind w:left="132"/>
              <w:spacing w:after="0" w:line="149" w:lineRule="exact"/>
              <w:rPr>
                <w:sz w:val="20"/>
                <w:szCs w:val="20"/>
                <w:color w:val="auto"/>
              </w:rPr>
            </w:pPr>
            <w:r>
              <w:rPr>
                <w:rFonts w:ascii="Arial" w:cs="Arial" w:eastAsia="Arial" w:hAnsi="Arial"/>
                <w:sz w:val="14"/>
                <w:szCs w:val="14"/>
                <w:b w:val="1"/>
                <w:bCs w:val="1"/>
                <w:color w:val="auto"/>
                <w:w w:val="85"/>
              </w:rPr>
              <w:t>percentage</w:t>
            </w:r>
          </w:p>
        </w:tc>
        <w:tc>
          <w:tcPr>
            <w:tcW w:w="2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60" w:type="dxa"/>
            <w:vAlign w:val="bottom"/>
            <w:gridSpan w:val="4"/>
          </w:tcPr>
          <w:p>
            <w:pPr>
              <w:jc w:val="center"/>
              <w:ind w:right="140"/>
              <w:spacing w:after="0" w:line="149" w:lineRule="exact"/>
              <w:rPr>
                <w:sz w:val="20"/>
                <w:szCs w:val="20"/>
                <w:color w:val="auto"/>
              </w:rPr>
            </w:pPr>
            <w:r>
              <w:rPr>
                <w:rFonts w:ascii="Arial" w:cs="Arial" w:eastAsia="Arial" w:hAnsi="Arial"/>
                <w:sz w:val="14"/>
                <w:szCs w:val="14"/>
                <w:b w:val="1"/>
                <w:bCs w:val="1"/>
                <w:color w:val="auto"/>
                <w:w w:val="84"/>
              </w:rPr>
              <w:t>Six months ended</w:t>
            </w:r>
          </w:p>
        </w:tc>
        <w:tc>
          <w:tcPr>
            <w:tcW w:w="140" w:type="dxa"/>
            <w:vAlign w:val="bottom"/>
          </w:tcPr>
          <w:p>
            <w:pPr>
              <w:spacing w:after="0"/>
              <w:rPr>
                <w:sz w:val="12"/>
                <w:szCs w:val="12"/>
                <w:color w:val="auto"/>
              </w:rPr>
            </w:pPr>
          </w:p>
        </w:tc>
        <w:tc>
          <w:tcPr>
            <w:tcW w:w="780" w:type="dxa"/>
            <w:vAlign w:val="bottom"/>
          </w:tcPr>
          <w:p>
            <w:pPr>
              <w:jc w:val="center"/>
              <w:ind w:left="72"/>
              <w:spacing w:after="0" w:line="149" w:lineRule="exact"/>
              <w:rPr>
                <w:sz w:val="20"/>
                <w:szCs w:val="20"/>
                <w:color w:val="auto"/>
              </w:rPr>
            </w:pPr>
            <w:r>
              <w:rPr>
                <w:rFonts w:ascii="Arial" w:cs="Arial" w:eastAsia="Arial" w:hAnsi="Arial"/>
                <w:sz w:val="14"/>
                <w:szCs w:val="14"/>
                <w:b w:val="1"/>
                <w:bCs w:val="1"/>
                <w:color w:val="auto"/>
                <w:w w:val="85"/>
              </w:rPr>
              <w:t>percentage</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54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400" w:type="dxa"/>
            <w:vAlign w:val="bottom"/>
            <w:gridSpan w:val="4"/>
          </w:tcPr>
          <w:p>
            <w:pPr>
              <w:jc w:val="right"/>
              <w:ind w:right="460"/>
              <w:spacing w:after="0"/>
              <w:rPr>
                <w:sz w:val="20"/>
                <w:szCs w:val="20"/>
                <w:color w:val="auto"/>
              </w:rPr>
            </w:pPr>
            <w:r>
              <w:rPr>
                <w:rFonts w:ascii="Arial" w:cs="Arial" w:eastAsia="Arial" w:hAnsi="Arial"/>
                <w:sz w:val="14"/>
                <w:szCs w:val="14"/>
                <w:b w:val="1"/>
                <w:bCs w:val="1"/>
                <w:color w:val="auto"/>
              </w:rPr>
              <w:t>June 30,</w:t>
            </w:r>
          </w:p>
        </w:tc>
        <w:tc>
          <w:tcPr>
            <w:tcW w:w="220" w:type="dxa"/>
            <w:vAlign w:val="bottom"/>
          </w:tcPr>
          <w:p>
            <w:pPr>
              <w:spacing w:after="0"/>
              <w:rPr>
                <w:sz w:val="14"/>
                <w:szCs w:val="14"/>
                <w:color w:val="auto"/>
              </w:rPr>
            </w:pPr>
          </w:p>
        </w:tc>
        <w:tc>
          <w:tcPr>
            <w:tcW w:w="840" w:type="dxa"/>
            <w:vAlign w:val="bottom"/>
          </w:tcPr>
          <w:p>
            <w:pPr>
              <w:jc w:val="center"/>
              <w:ind w:left="132"/>
              <w:spacing w:after="0"/>
              <w:rPr>
                <w:sz w:val="20"/>
                <w:szCs w:val="20"/>
                <w:color w:val="auto"/>
              </w:rPr>
            </w:pPr>
            <w:r>
              <w:rPr>
                <w:rFonts w:ascii="Arial" w:cs="Arial" w:eastAsia="Arial" w:hAnsi="Arial"/>
                <w:sz w:val="14"/>
                <w:szCs w:val="14"/>
                <w:b w:val="1"/>
                <w:bCs w:val="1"/>
                <w:color w:val="auto"/>
                <w:w w:val="81"/>
              </w:rPr>
              <w:t>change</w:t>
            </w: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60" w:type="dxa"/>
            <w:vAlign w:val="bottom"/>
            <w:gridSpan w:val="4"/>
          </w:tcPr>
          <w:p>
            <w:pPr>
              <w:jc w:val="center"/>
              <w:ind w:right="120"/>
              <w:spacing w:after="0"/>
              <w:rPr>
                <w:sz w:val="20"/>
                <w:szCs w:val="20"/>
                <w:color w:val="auto"/>
              </w:rPr>
            </w:pPr>
            <w:r>
              <w:rPr>
                <w:rFonts w:ascii="Arial" w:cs="Arial" w:eastAsia="Arial" w:hAnsi="Arial"/>
                <w:sz w:val="14"/>
                <w:szCs w:val="14"/>
                <w:b w:val="1"/>
                <w:bCs w:val="1"/>
                <w:color w:val="auto"/>
                <w:w w:val="85"/>
              </w:rPr>
              <w:t>June 30,</w:t>
            </w:r>
          </w:p>
        </w:tc>
        <w:tc>
          <w:tcPr>
            <w:tcW w:w="140" w:type="dxa"/>
            <w:vAlign w:val="bottom"/>
          </w:tcPr>
          <w:p>
            <w:pPr>
              <w:spacing w:after="0"/>
              <w:rPr>
                <w:sz w:val="14"/>
                <w:szCs w:val="14"/>
                <w:color w:val="auto"/>
              </w:rPr>
            </w:pPr>
          </w:p>
        </w:tc>
        <w:tc>
          <w:tcPr>
            <w:tcW w:w="780" w:type="dxa"/>
            <w:vAlign w:val="bottom"/>
          </w:tcPr>
          <w:p>
            <w:pPr>
              <w:jc w:val="center"/>
              <w:ind w:left="72"/>
              <w:spacing w:after="0"/>
              <w:rPr>
                <w:sz w:val="20"/>
                <w:szCs w:val="20"/>
                <w:color w:val="auto"/>
              </w:rPr>
            </w:pPr>
            <w:r>
              <w:rPr>
                <w:rFonts w:ascii="Arial" w:cs="Arial" w:eastAsia="Arial" w:hAnsi="Arial"/>
                <w:sz w:val="14"/>
                <w:szCs w:val="14"/>
                <w:b w:val="1"/>
                <w:bCs w:val="1"/>
                <w:color w:val="auto"/>
                <w:w w:val="81"/>
              </w:rPr>
              <w:t>change</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460" w:type="dxa"/>
            <w:vAlign w:val="bottom"/>
            <w:gridSpan w:val="3"/>
            <w:vMerge w:val="continue"/>
          </w:tcPr>
          <w:p>
            <w:pPr>
              <w:spacing w:after="0"/>
              <w:rPr>
                <w:sz w:val="12"/>
                <w:szCs w:val="12"/>
                <w:color w:val="auto"/>
              </w:rPr>
            </w:pPr>
          </w:p>
        </w:tc>
        <w:tc>
          <w:tcPr>
            <w:tcW w:w="600" w:type="dxa"/>
            <w:vAlign w:val="bottom"/>
            <w:tcBorders>
              <w:top w:val="single" w:sz="8" w:color="auto"/>
            </w:tcBorders>
          </w:tcPr>
          <w:p>
            <w:pPr>
              <w:jc w:val="right"/>
              <w:ind w:right="82"/>
              <w:spacing w:after="0" w:line="142" w:lineRule="exact"/>
              <w:rPr>
                <w:sz w:val="20"/>
                <w:szCs w:val="20"/>
                <w:color w:val="auto"/>
              </w:rPr>
            </w:pPr>
            <w:r>
              <w:rPr>
                <w:rFonts w:ascii="Arial" w:cs="Arial" w:eastAsia="Arial" w:hAnsi="Arial"/>
                <w:sz w:val="14"/>
                <w:szCs w:val="14"/>
                <w:b w:val="1"/>
                <w:bCs w:val="1"/>
                <w:color w:val="auto"/>
              </w:rPr>
              <w:t>2010</w:t>
            </w:r>
          </w:p>
        </w:tc>
        <w:tc>
          <w:tcPr>
            <w:tcW w:w="1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2"/>
          </w:tcPr>
          <w:p>
            <w:pPr>
              <w:jc w:val="right"/>
              <w:ind w:right="160"/>
              <w:spacing w:after="0" w:line="142" w:lineRule="exact"/>
              <w:rPr>
                <w:sz w:val="20"/>
                <w:szCs w:val="20"/>
                <w:color w:val="auto"/>
              </w:rPr>
            </w:pPr>
            <w:r>
              <w:rPr>
                <w:rFonts w:ascii="Arial" w:cs="Arial" w:eastAsia="Arial" w:hAnsi="Arial"/>
                <w:sz w:val="14"/>
                <w:szCs w:val="14"/>
                <w:b w:val="1"/>
                <w:bCs w:val="1"/>
                <w:color w:val="auto"/>
              </w:rPr>
              <w:t>2009</w:t>
            </w:r>
          </w:p>
        </w:tc>
        <w:tc>
          <w:tcPr>
            <w:tcW w:w="220" w:type="dxa"/>
            <w:vAlign w:val="bottom"/>
          </w:tcPr>
          <w:p>
            <w:pPr>
              <w:spacing w:after="0"/>
              <w:rPr>
                <w:sz w:val="12"/>
                <w:szCs w:val="12"/>
                <w:color w:val="auto"/>
              </w:rPr>
            </w:pPr>
          </w:p>
        </w:tc>
        <w:tc>
          <w:tcPr>
            <w:tcW w:w="1040" w:type="dxa"/>
            <w:vAlign w:val="bottom"/>
            <w:tcBorders>
              <w:top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Borders>
              <w:top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2010</w:t>
            </w:r>
          </w:p>
        </w:tc>
        <w:tc>
          <w:tcPr>
            <w:tcW w:w="820" w:type="dxa"/>
            <w:vAlign w:val="bottom"/>
            <w:tcBorders>
              <w:top w:val="single" w:sz="8" w:color="auto"/>
            </w:tcBorders>
            <w:gridSpan w:val="2"/>
          </w:tcPr>
          <w:p>
            <w:pPr>
              <w:jc w:val="right"/>
              <w:ind w:right="160"/>
              <w:spacing w:after="0" w:line="142" w:lineRule="exact"/>
              <w:rPr>
                <w:sz w:val="20"/>
                <w:szCs w:val="20"/>
                <w:color w:val="auto"/>
              </w:rPr>
            </w:pPr>
            <w:r>
              <w:rPr>
                <w:rFonts w:ascii="Arial" w:cs="Arial" w:eastAsia="Arial" w:hAnsi="Arial"/>
                <w:sz w:val="14"/>
                <w:szCs w:val="14"/>
                <w:b w:val="1"/>
                <w:bCs w:val="1"/>
                <w:color w:val="auto"/>
              </w:rPr>
              <w:t>2009</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Borders>
              <w:top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New insurance written</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2"/>
              </w:rPr>
              <w:t>$ 14,900</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6"/>
              </w:rPr>
              <w:t>$ 13,000</w:t>
            </w:r>
          </w:p>
        </w:tc>
        <w:tc>
          <w:tcPr>
            <w:tcW w:w="106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rPr>
              <w:t>$ 1,900</w:t>
            </w: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8"/>
              </w:rPr>
              <w:t>15%</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4"/>
              </w:rPr>
              <w:t>$ 28,800</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$ 23,300</w:t>
            </w:r>
          </w:p>
        </w:tc>
        <w:tc>
          <w:tcPr>
            <w:tcW w:w="140" w:type="dxa"/>
            <w:vAlign w:val="bottom"/>
            <w:tcBorders>
              <w:left w:val="single" w:sz="8" w:color="CCEEFF"/>
            </w:tcBorders>
            <w:shd w:val="clear" w:color="auto" w:fill="CCEEFF"/>
          </w:tcPr>
          <w:p>
            <w:pPr>
              <w:spacing w:after="0"/>
              <w:rPr>
                <w:sz w:val="18"/>
                <w:szCs w:val="18"/>
                <w:color w:val="auto"/>
              </w:rPr>
            </w:pPr>
          </w:p>
        </w:tc>
        <w:tc>
          <w:tcPr>
            <w:tcW w:w="92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w w:val="98"/>
              </w:rPr>
              <w:t>$  5,500</w:t>
            </w: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gridSpan w:val="2"/>
          </w:tcPr>
          <w:p>
            <w:pPr>
              <w:spacing w:after="0"/>
              <w:rPr>
                <w:sz w:val="20"/>
                <w:szCs w:val="20"/>
                <w:color w:val="auto"/>
              </w:rPr>
            </w:pPr>
            <w:r>
              <w:rPr>
                <w:rFonts w:ascii="Arial" w:cs="Arial" w:eastAsia="Arial" w:hAnsi="Arial"/>
                <w:sz w:val="18"/>
                <w:szCs w:val="18"/>
                <w:color w:val="auto"/>
              </w:rPr>
              <w:t>Net premiums written</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218</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181</w:t>
            </w:r>
          </w:p>
        </w:tc>
        <w:tc>
          <w:tcPr>
            <w:tcW w:w="1060" w:type="dxa"/>
            <w:vAlign w:val="bottom"/>
            <w:gridSpan w:val="2"/>
          </w:tcPr>
          <w:p>
            <w:pPr>
              <w:jc w:val="right"/>
              <w:ind w:right="192"/>
              <w:spacing w:after="0"/>
              <w:rPr>
                <w:sz w:val="20"/>
                <w:szCs w:val="20"/>
                <w:color w:val="auto"/>
              </w:rPr>
            </w:pPr>
            <w:r>
              <w:rPr>
                <w:rFonts w:ascii="Arial" w:cs="Arial" w:eastAsia="Arial" w:hAnsi="Arial"/>
                <w:sz w:val="18"/>
                <w:szCs w:val="18"/>
                <w:color w:val="auto"/>
              </w:rPr>
              <w:t>37</w:t>
            </w:r>
          </w:p>
        </w:tc>
        <w:tc>
          <w:tcPr>
            <w:tcW w:w="520" w:type="dxa"/>
            <w:vAlign w:val="bottom"/>
            <w:gridSpan w:val="2"/>
          </w:tcPr>
          <w:p>
            <w:pPr>
              <w:jc w:val="right"/>
              <w:ind w:right="180"/>
              <w:spacing w:after="0"/>
              <w:rPr>
                <w:sz w:val="20"/>
                <w:szCs w:val="20"/>
                <w:color w:val="auto"/>
              </w:rPr>
            </w:pPr>
            <w:r>
              <w:rPr>
                <w:rFonts w:ascii="Arial" w:cs="Arial" w:eastAsia="Arial" w:hAnsi="Arial"/>
                <w:sz w:val="18"/>
                <w:szCs w:val="18"/>
                <w:color w:val="auto"/>
                <w:w w:val="88"/>
              </w:rPr>
              <w:t>20%</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381</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319</w:t>
            </w:r>
          </w:p>
        </w:tc>
        <w:tc>
          <w:tcPr>
            <w:tcW w:w="140" w:type="dxa"/>
            <w:vAlign w:val="bottom"/>
          </w:tcPr>
          <w:p>
            <w:pPr>
              <w:spacing w:after="0"/>
              <w:rPr>
                <w:sz w:val="18"/>
                <w:szCs w:val="18"/>
                <w:color w:val="auto"/>
              </w:rPr>
            </w:pPr>
          </w:p>
        </w:tc>
        <w:tc>
          <w:tcPr>
            <w:tcW w:w="920" w:type="dxa"/>
            <w:vAlign w:val="bottom"/>
            <w:gridSpan w:val="2"/>
          </w:tcPr>
          <w:p>
            <w:pPr>
              <w:jc w:val="right"/>
              <w:ind w:right="192"/>
              <w:spacing w:after="0"/>
              <w:rPr>
                <w:sz w:val="20"/>
                <w:szCs w:val="20"/>
                <w:color w:val="auto"/>
              </w:rPr>
            </w:pPr>
            <w:r>
              <w:rPr>
                <w:rFonts w:ascii="Arial" w:cs="Arial" w:eastAsia="Arial" w:hAnsi="Arial"/>
                <w:sz w:val="18"/>
                <w:szCs w:val="18"/>
                <w:color w:val="auto"/>
              </w:rPr>
              <w:t>62</w:t>
            </w:r>
          </w:p>
        </w:tc>
        <w:tc>
          <w:tcPr>
            <w:tcW w:w="420" w:type="dxa"/>
            <w:vAlign w:val="bottom"/>
            <w:gridSpan w:val="2"/>
          </w:tcPr>
          <w:p>
            <w:pPr>
              <w:jc w:val="right"/>
              <w:ind w:right="60"/>
              <w:spacing w:after="0"/>
              <w:rPr>
                <w:sz w:val="20"/>
                <w:szCs w:val="20"/>
                <w:color w:val="auto"/>
              </w:rPr>
            </w:pPr>
            <w:r>
              <w:rPr>
                <w:rFonts w:ascii="Arial" w:cs="Arial" w:eastAsia="Arial" w:hAnsi="Arial"/>
                <w:sz w:val="18"/>
                <w:szCs w:val="18"/>
                <w:color w:val="auto"/>
                <w:w w:val="94"/>
              </w:rPr>
              <w:t>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earned premiums</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251</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224</w:t>
            </w:r>
          </w:p>
        </w:tc>
        <w:tc>
          <w:tcPr>
            <w:tcW w:w="106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rPr>
              <w:t>27</w:t>
            </w: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8"/>
              </w:rPr>
              <w:t>12%</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497</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438</w:t>
            </w:r>
          </w:p>
        </w:tc>
        <w:tc>
          <w:tcPr>
            <w:tcW w:w="140" w:type="dxa"/>
            <w:vAlign w:val="bottom"/>
            <w:tcBorders>
              <w:left w:val="single" w:sz="8" w:color="CCEEFF"/>
            </w:tcBorders>
            <w:shd w:val="clear" w:color="auto" w:fill="CCEEFF"/>
          </w:tcPr>
          <w:p>
            <w:pPr>
              <w:spacing w:after="0"/>
              <w:rPr>
                <w:sz w:val="18"/>
                <w:szCs w:val="18"/>
                <w:color w:val="auto"/>
              </w:rPr>
            </w:pPr>
          </w:p>
        </w:tc>
        <w:tc>
          <w:tcPr>
            <w:tcW w:w="92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rPr>
              <w:t>59</w:t>
            </w: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13%</w:t>
            </w:r>
          </w:p>
        </w:tc>
        <w:tc>
          <w:tcPr>
            <w:tcW w:w="0" w:type="dxa"/>
            <w:vAlign w:val="bottom"/>
          </w:tcPr>
          <w:p>
            <w:pPr>
              <w:spacing w:after="0"/>
              <w:rPr>
                <w:sz w:val="1"/>
                <w:szCs w:val="1"/>
                <w:color w:val="auto"/>
              </w:rPr>
            </w:pPr>
          </w:p>
        </w:tc>
      </w:tr>
    </w:tbl>
    <w:p>
      <w:pPr>
        <w:spacing w:after="0" w:line="235"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Primary insurance in-force and risk in-force</w:t>
      </w:r>
    </w:p>
    <w:p>
      <w:pPr>
        <w:spacing w:after="0" w:line="90" w:lineRule="exact"/>
        <w:rPr>
          <w:sz w:val="20"/>
          <w:szCs w:val="20"/>
          <w:color w:val="auto"/>
        </w:rPr>
      </w:pPr>
    </w:p>
    <w:p>
      <w:pPr>
        <w:ind w:right="160" w:firstLine="456"/>
        <w:spacing w:after="0" w:line="294" w:lineRule="auto"/>
        <w:rPr>
          <w:sz w:val="20"/>
          <w:szCs w:val="20"/>
          <w:color w:val="auto"/>
        </w:rPr>
      </w:pPr>
      <w:r>
        <w:rPr>
          <w:rFonts w:ascii="Arial" w:cs="Arial" w:eastAsia="Arial" w:hAnsi="Arial"/>
          <w:sz w:val="16"/>
          <w:szCs w:val="16"/>
          <w:color w:val="auto"/>
        </w:rPr>
        <w:t>Our businesses in Australia, New Zealand and Canada currently provide 100% coverage on the majority of the loans we insure in those markets. For the purpose of representing our risk in-force, we have computed an “effective” risk in-force amount, which recognizes that the loss on any particular loan will be reduced by the net proceeds received upon sale of the property. Effective risk in-force has been calculated by applying to insurance in-force a factor that represents our highest expected average per-claim payment for any one underwriting year over the life of our businesses in Australia, New Zealand and Canada. For the three and six months ended June 30, 2010 and 2009, this factor was 35%.</w:t>
      </w:r>
    </w:p>
    <w:p>
      <w:pPr>
        <w:spacing w:after="0" w:line="116"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color w:val="auto"/>
        </w:rPr>
        <w:t>Primary insurance in-force and risk in-force increased primarily as a result of new insurance written, partially offset by loss mitigation activities in Europe. Primary insurance in-force and risk in-force included increases of $25.1 billion and $9.5 billion, respectively, attributable to changes in foreign exchange rates as of June 30, 2010.</w:t>
      </w:r>
    </w:p>
    <w:p>
      <w:pPr>
        <w:spacing w:after="0" w:line="22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New insurance written</w:t>
      </w:r>
    </w:p>
    <w:p>
      <w:pPr>
        <w:spacing w:after="0" w:line="90" w:lineRule="exact"/>
        <w:rPr>
          <w:sz w:val="20"/>
          <w:szCs w:val="20"/>
          <w:color w:val="auto"/>
        </w:rPr>
      </w:pPr>
    </w:p>
    <w:p>
      <w:pPr>
        <w:jc w:val="both"/>
        <w:ind w:right="280" w:firstLine="456"/>
        <w:spacing w:after="0" w:line="259" w:lineRule="auto"/>
        <w:rPr>
          <w:sz w:val="20"/>
          <w:szCs w:val="20"/>
          <w:color w:val="auto"/>
        </w:rPr>
      </w:pPr>
      <w:r>
        <w:rPr>
          <w:rFonts w:ascii="Arial" w:cs="Arial" w:eastAsia="Arial" w:hAnsi="Arial"/>
          <w:sz w:val="18"/>
          <w:szCs w:val="18"/>
          <w:color w:val="auto"/>
        </w:rPr>
        <w:t>For the three and six months ended June 30, 2010, new insurance written increased primarily as a result of higher flow new insurance written in Canada driven by growth in the mortgage origination markets as consumer confidence improved. Also contributing to the increase was growth in bulk new insurance written in Australia</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420"/>
          </w:cols>
          <w:pgMar w:left="240" w:top="459" w:right="23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spacing w:after="0" w:line="298" w:lineRule="auto"/>
        <w:rPr>
          <w:sz w:val="20"/>
          <w:szCs w:val="20"/>
          <w:color w:val="auto"/>
        </w:rPr>
      </w:pPr>
      <w:r>
        <w:rPr>
          <w:rFonts w:ascii="Arial" w:cs="Arial" w:eastAsia="Arial" w:hAnsi="Arial"/>
          <w:sz w:val="16"/>
          <w:szCs w:val="16"/>
          <w:color w:val="auto"/>
        </w:rPr>
        <w:t>and Canada as some liquidity returned to the securitization market in Australia and as select lenders look for capital relief in Canada. Partially offsetting these increases was a decrease in flow new insurance written in Australia reflecting higher interest rates and lower mortgage originations primarily from first-time homebuyers and in Europe where we have taken actions to selectively reduce new business including exiting selected distribution relationships. The three and six months ended June 30, 2010 included increases of $1.9 billion and $4.8 billion, respectively, attributable to changes in foreign exchange rates.</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Net premiums written and net earned premiums</w:t>
      </w:r>
    </w:p>
    <w:p>
      <w:pPr>
        <w:spacing w:after="0" w:line="90" w:lineRule="exact"/>
        <w:rPr>
          <w:sz w:val="20"/>
          <w:szCs w:val="20"/>
          <w:color w:val="auto"/>
        </w:rPr>
      </w:pPr>
    </w:p>
    <w:p>
      <w:pPr>
        <w:ind w:right="240" w:firstLine="456"/>
        <w:spacing w:after="0" w:line="256" w:lineRule="auto"/>
        <w:rPr>
          <w:sz w:val="20"/>
          <w:szCs w:val="20"/>
          <w:color w:val="auto"/>
        </w:rPr>
      </w:pPr>
      <w:r>
        <w:rPr>
          <w:rFonts w:ascii="Arial" w:cs="Arial" w:eastAsia="Arial" w:hAnsi="Arial"/>
          <w:sz w:val="18"/>
          <w:szCs w:val="18"/>
          <w:color w:val="auto"/>
        </w:rPr>
        <w:t>Most of our international mortgage insurance policies provide for single premiums at the time that loan proceeds are advanced. We initially record the single premiums to unearned premium reserves and recognize the premiums earned over time in accordance with the expected pattern of risk emergence. As of June 30, 2010, our unearned premium reserves decreased to $2.8 billion, including an increase of $0.2 billion attributable to changes in foreign exchange rates, from $2.9 billion as of June 30, 2009.</w:t>
      </w:r>
    </w:p>
    <w:p>
      <w:pPr>
        <w:spacing w:after="0" w:line="143" w:lineRule="exact"/>
        <w:rPr>
          <w:sz w:val="20"/>
          <w:szCs w:val="20"/>
          <w:color w:val="auto"/>
        </w:rPr>
      </w:pPr>
    </w:p>
    <w:p>
      <w:pPr>
        <w:jc w:val="both"/>
        <w:ind w:right="320" w:firstLine="456"/>
        <w:spacing w:after="0" w:line="256" w:lineRule="auto"/>
        <w:rPr>
          <w:sz w:val="20"/>
          <w:szCs w:val="20"/>
          <w:color w:val="auto"/>
        </w:rPr>
      </w:pPr>
      <w:r>
        <w:rPr>
          <w:rFonts w:ascii="Arial" w:cs="Arial" w:eastAsia="Arial" w:hAnsi="Arial"/>
          <w:sz w:val="18"/>
          <w:szCs w:val="18"/>
          <w:color w:val="auto"/>
        </w:rPr>
        <w:t>For the three and six months ended June 30, 2010, net premiums written increased primarily driven by an increase in new insurance written in Canada, partially offset by a decrease in new insurance written in Australia, a decrease in average price driven by a decline in new business volume with loan-to-value ratios of more than 90% and increased ceded reinsurance premiums. The three and six months ended June 30, 2010 included increases of $28 million and $59 million, respectively, attributable to changes in foreign exchange rates.</w:t>
      </w:r>
    </w:p>
    <w:p>
      <w:pPr>
        <w:spacing w:after="0" w:line="143"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For the three months ended June 30, 2010, excluding the effects of foreign exchange, net earned premiums decreased primarily related to Australia as seasoning of our in-force block of business was more than offset by increased ceded reinsurance premiums in the second quarter of 2010 and lower new business volumes.</w:t>
      </w:r>
    </w:p>
    <w:p>
      <w:pPr>
        <w:spacing w:after="0" w:line="140" w:lineRule="exact"/>
        <w:rPr>
          <w:sz w:val="20"/>
          <w:szCs w:val="20"/>
          <w:color w:val="auto"/>
        </w:rPr>
      </w:pPr>
    </w:p>
    <w:p>
      <w:pPr>
        <w:ind w:right="140" w:firstLine="456"/>
        <w:spacing w:after="0" w:line="294" w:lineRule="auto"/>
        <w:rPr>
          <w:sz w:val="20"/>
          <w:szCs w:val="20"/>
          <w:color w:val="auto"/>
        </w:rPr>
      </w:pPr>
      <w:r>
        <w:rPr>
          <w:rFonts w:ascii="Arial" w:cs="Arial" w:eastAsia="Arial" w:hAnsi="Arial"/>
          <w:sz w:val="16"/>
          <w:szCs w:val="16"/>
          <w:color w:val="auto"/>
        </w:rPr>
        <w:t>For the six months ended June 30, 2010, excluding the effects of foreign exchange, net earned premiums decreased related to rescissions and other terminations related to loss mitigation activities in Europe, particularly in Spain. In addition, premiums in Australia decreased as seasoning of our in-force block of business was more than offset by increased ceded reinsurance premiums during the six months ended June 30, 2010 and lower new business volumes. In Canada, premiums were relatively flat as seasoning of our in-force block of business was offset by lower policy cancellations. The three and six months ended June 30, 2010 included increases of $31 million and $77 million, respectively, attributable to changes in foreign exchange rates.</w:t>
      </w:r>
    </w:p>
    <w:p>
      <w:pPr>
        <w:spacing w:after="0" w:line="197"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Loss and expense ratios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loss and expense ratios for our international mortgage insurance business for the dates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00" w:type="dxa"/>
            <w:vAlign w:val="bottom"/>
          </w:tcPr>
          <w:p>
            <w:pPr>
              <w:spacing w:after="0"/>
              <w:rPr>
                <w:sz w:val="14"/>
                <w:szCs w:val="14"/>
                <w:color w:val="auto"/>
              </w:rPr>
            </w:pPr>
          </w:p>
        </w:tc>
        <w:tc>
          <w:tcPr>
            <w:tcW w:w="2500" w:type="dxa"/>
            <w:vAlign w:val="bottom"/>
            <w:gridSpan w:val="4"/>
          </w:tcPr>
          <w:p>
            <w:pPr>
              <w:jc w:val="right"/>
              <w:ind w:right="1020"/>
              <w:spacing w:after="0"/>
              <w:rPr>
                <w:sz w:val="20"/>
                <w:szCs w:val="20"/>
                <w:color w:val="auto"/>
              </w:rPr>
            </w:pPr>
            <w:r>
              <w:rPr>
                <w:rFonts w:ascii="Arial" w:cs="Arial" w:eastAsia="Arial" w:hAnsi="Arial"/>
                <w:sz w:val="14"/>
                <w:szCs w:val="14"/>
                <w:b w:val="1"/>
                <w:bCs w:val="1"/>
                <w:color w:val="auto"/>
              </w:rPr>
              <w:t>Three months ended</w:t>
            </w:r>
          </w:p>
        </w:tc>
        <w:tc>
          <w:tcPr>
            <w:tcW w:w="1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280" w:type="dxa"/>
            <w:vAlign w:val="bottom"/>
            <w:gridSpan w:val="4"/>
          </w:tcPr>
          <w:p>
            <w:pPr>
              <w:jc w:val="right"/>
              <w:ind w:right="1000"/>
              <w:spacing w:after="0"/>
              <w:rPr>
                <w:sz w:val="20"/>
                <w:szCs w:val="20"/>
                <w:color w:val="auto"/>
              </w:rPr>
            </w:pPr>
            <w:r>
              <w:rPr>
                <w:rFonts w:ascii="Arial" w:cs="Arial" w:eastAsia="Arial" w:hAnsi="Arial"/>
                <w:sz w:val="14"/>
                <w:szCs w:val="14"/>
                <w:b w:val="1"/>
                <w:bCs w:val="1"/>
                <w:color w:val="auto"/>
              </w:rPr>
              <w:t>Six months ended</w:t>
            </w: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r>
      <w:tr>
        <w:trPr>
          <w:trHeight w:val="161"/>
        </w:trPr>
        <w:tc>
          <w:tcPr>
            <w:tcW w:w="34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720" w:type="dxa"/>
            <w:vAlign w:val="bottom"/>
          </w:tcPr>
          <w:p>
            <w:pPr>
              <w:jc w:val="right"/>
              <w:ind w:right="52"/>
              <w:spacing w:after="0"/>
              <w:rPr>
                <w:sz w:val="20"/>
                <w:szCs w:val="20"/>
                <w:color w:val="auto"/>
              </w:rPr>
            </w:pPr>
            <w:r>
              <w:rPr>
                <w:rFonts w:ascii="Arial" w:cs="Arial" w:eastAsia="Arial" w:hAnsi="Arial"/>
                <w:sz w:val="14"/>
                <w:szCs w:val="14"/>
                <w:b w:val="1"/>
                <w:bCs w:val="1"/>
                <w:color w:val="auto"/>
              </w:rPr>
              <w:t>June 30,</w:t>
            </w: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80" w:type="dxa"/>
            <w:vAlign w:val="bottom"/>
            <w:gridSpan w:val="2"/>
          </w:tcPr>
          <w:p>
            <w:pPr>
              <w:jc w:val="center"/>
              <w:ind w:right="740"/>
              <w:spacing w:after="0"/>
              <w:rPr>
                <w:sz w:val="20"/>
                <w:szCs w:val="20"/>
                <w:color w:val="auto"/>
              </w:rPr>
            </w:pPr>
            <w:r>
              <w:rPr>
                <w:rFonts w:ascii="Arial" w:cs="Arial" w:eastAsia="Arial" w:hAnsi="Arial"/>
                <w:sz w:val="14"/>
                <w:szCs w:val="14"/>
                <w:b w:val="1"/>
                <w:bCs w:val="1"/>
                <w:color w:val="auto"/>
                <w:w w:val="84"/>
              </w:rPr>
              <w:t>Increase (decrease)</w:t>
            </w:r>
          </w:p>
        </w:tc>
        <w:tc>
          <w:tcPr>
            <w:tcW w:w="420" w:type="dxa"/>
            <w:vAlign w:val="bottom"/>
          </w:tcPr>
          <w:p>
            <w:pPr>
              <w:spacing w:after="0"/>
              <w:rPr>
                <w:sz w:val="14"/>
                <w:szCs w:val="14"/>
                <w:color w:val="auto"/>
              </w:rPr>
            </w:pPr>
          </w:p>
        </w:tc>
        <w:tc>
          <w:tcPr>
            <w:tcW w:w="720" w:type="dxa"/>
            <w:vAlign w:val="bottom"/>
          </w:tcPr>
          <w:p>
            <w:pPr>
              <w:jc w:val="right"/>
              <w:ind w:right="52"/>
              <w:spacing w:after="0"/>
              <w:rPr>
                <w:sz w:val="20"/>
                <w:szCs w:val="20"/>
                <w:color w:val="auto"/>
              </w:rPr>
            </w:pPr>
            <w:r>
              <w:rPr>
                <w:rFonts w:ascii="Arial" w:cs="Arial" w:eastAsia="Arial" w:hAnsi="Arial"/>
                <w:sz w:val="14"/>
                <w:szCs w:val="14"/>
                <w:b w:val="1"/>
                <w:bCs w:val="1"/>
                <w:color w:val="auto"/>
              </w:rPr>
              <w:t>June 30,</w:t>
            </w:r>
          </w:p>
        </w:tc>
        <w:tc>
          <w:tcPr>
            <w:tcW w:w="4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3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4"/>
              </w:rPr>
              <w:t>Increase (decrease)</w:t>
            </w:r>
          </w:p>
        </w:tc>
      </w:tr>
      <w:tr>
        <w:trPr>
          <w:trHeight w:val="142"/>
        </w:trPr>
        <w:tc>
          <w:tcPr>
            <w:tcW w:w="3400" w:type="dxa"/>
            <w:vAlign w:val="bottom"/>
          </w:tcPr>
          <w:p>
            <w:pPr>
              <w:spacing w:after="0"/>
              <w:rPr>
                <w:sz w:val="12"/>
                <w:szCs w:val="12"/>
                <w:color w:val="auto"/>
              </w:rPr>
            </w:pPr>
          </w:p>
        </w:tc>
        <w:tc>
          <w:tcPr>
            <w:tcW w:w="540" w:type="dxa"/>
            <w:vAlign w:val="bottom"/>
            <w:tcBorders>
              <w:top w:val="single" w:sz="8" w:color="auto"/>
              <w:bottom w:val="single" w:sz="8" w:color="auto"/>
            </w:tcBorders>
          </w:tcPr>
          <w:p>
            <w:pPr>
              <w:jc w:val="right"/>
              <w:ind w:right="62"/>
              <w:spacing w:after="0" w:line="142" w:lineRule="exact"/>
              <w:rPr>
                <w:sz w:val="20"/>
                <w:szCs w:val="20"/>
                <w:color w:val="auto"/>
              </w:rPr>
            </w:pPr>
            <w:r>
              <w:rPr>
                <w:rFonts w:ascii="Arial" w:cs="Arial" w:eastAsia="Arial" w:hAnsi="Arial"/>
                <w:sz w:val="14"/>
                <w:szCs w:val="14"/>
                <w:b w:val="1"/>
                <w:bCs w:val="1"/>
                <w:color w:val="auto"/>
              </w:rPr>
              <w:t>2010</w:t>
            </w:r>
          </w:p>
        </w:tc>
        <w:tc>
          <w:tcPr>
            <w:tcW w:w="720" w:type="dxa"/>
            <w:vAlign w:val="bottom"/>
            <w:tcBorders>
              <w:top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59"/>
              <w:spacing w:after="0" w:line="142" w:lineRule="exact"/>
              <w:rPr>
                <w:sz w:val="20"/>
                <w:szCs w:val="20"/>
                <w:color w:val="auto"/>
              </w:rPr>
            </w:pPr>
            <w:r>
              <w:rPr>
                <w:rFonts w:ascii="Arial" w:cs="Arial" w:eastAsia="Arial" w:hAnsi="Arial"/>
                <w:sz w:val="14"/>
                <w:szCs w:val="14"/>
                <w:b w:val="1"/>
                <w:bCs w:val="1"/>
                <w:color w:val="auto"/>
              </w:rPr>
              <w:t>2009</w:t>
            </w:r>
          </w:p>
        </w:tc>
        <w:tc>
          <w:tcPr>
            <w:tcW w:w="700" w:type="dxa"/>
            <w:vAlign w:val="bottom"/>
          </w:tcPr>
          <w:p>
            <w:pPr>
              <w:spacing w:after="0"/>
              <w:rPr>
                <w:sz w:val="12"/>
                <w:szCs w:val="12"/>
                <w:color w:val="auto"/>
              </w:rPr>
            </w:pPr>
          </w:p>
        </w:tc>
        <w:tc>
          <w:tcPr>
            <w:tcW w:w="112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760" w:type="dxa"/>
            <w:vAlign w:val="bottom"/>
          </w:tcPr>
          <w:p>
            <w:pPr>
              <w:spacing w:after="0"/>
              <w:rPr>
                <w:sz w:val="12"/>
                <w:szCs w:val="12"/>
                <w:color w:val="auto"/>
              </w:rPr>
            </w:pPr>
          </w:p>
        </w:tc>
        <w:tc>
          <w:tcPr>
            <w:tcW w:w="420" w:type="dxa"/>
            <w:vAlign w:val="bottom"/>
            <w:tcBorders>
              <w:top w:val="single" w:sz="8" w:color="auto"/>
              <w:bottom w:val="single" w:sz="8" w:color="auto"/>
            </w:tcBorders>
          </w:tcPr>
          <w:p>
            <w:pPr>
              <w:jc w:val="right"/>
              <w:ind w:right="2"/>
              <w:spacing w:after="0" w:line="142" w:lineRule="exact"/>
              <w:rPr>
                <w:sz w:val="20"/>
                <w:szCs w:val="20"/>
                <w:color w:val="auto"/>
              </w:rPr>
            </w:pPr>
            <w:r>
              <w:rPr>
                <w:rFonts w:ascii="Arial" w:cs="Arial" w:eastAsia="Arial" w:hAnsi="Arial"/>
                <w:sz w:val="14"/>
                <w:szCs w:val="14"/>
                <w:b w:val="1"/>
                <w:bCs w:val="1"/>
                <w:color w:val="auto"/>
              </w:rPr>
              <w:t>2010</w:t>
            </w:r>
          </w:p>
        </w:tc>
        <w:tc>
          <w:tcPr>
            <w:tcW w:w="720" w:type="dxa"/>
            <w:vAlign w:val="bottom"/>
            <w:tcBorders>
              <w:top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2009</w:t>
            </w:r>
          </w:p>
        </w:tc>
        <w:tc>
          <w:tcPr>
            <w:tcW w:w="740" w:type="dxa"/>
            <w:vAlign w:val="bottom"/>
          </w:tcPr>
          <w:p>
            <w:pPr>
              <w:spacing w:after="0"/>
              <w:rPr>
                <w:sz w:val="12"/>
                <w:szCs w:val="12"/>
                <w:color w:val="auto"/>
              </w:rPr>
            </w:pPr>
          </w:p>
        </w:tc>
        <w:tc>
          <w:tcPr>
            <w:tcW w:w="110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7"/>
              </w:rPr>
              <w:t>2010 vs. 2009</w:t>
            </w:r>
          </w:p>
        </w:tc>
        <w:tc>
          <w:tcPr>
            <w:tcW w:w="260" w:type="dxa"/>
            <w:vAlign w:val="bottom"/>
          </w:tcPr>
          <w:p>
            <w:pPr>
              <w:spacing w:after="0"/>
              <w:rPr>
                <w:sz w:val="12"/>
                <w:szCs w:val="12"/>
                <w:color w:val="auto"/>
              </w:rPr>
            </w:pPr>
          </w:p>
        </w:tc>
      </w:tr>
      <w:tr>
        <w:trPr>
          <w:trHeight w:val="210"/>
        </w:trPr>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Loss ratio</w:t>
            </w:r>
          </w:p>
        </w:tc>
        <w:tc>
          <w:tcPr>
            <w:tcW w:w="1260" w:type="dxa"/>
            <w:vAlign w:val="bottom"/>
            <w:gridSpan w:val="2"/>
            <w:shd w:val="clear" w:color="auto" w:fill="CCEEFF"/>
          </w:tcPr>
          <w:p>
            <w:pPr>
              <w:jc w:val="right"/>
              <w:ind w:right="512"/>
              <w:spacing w:after="0"/>
              <w:rPr>
                <w:sz w:val="20"/>
                <w:szCs w:val="20"/>
                <w:color w:val="auto"/>
              </w:rPr>
            </w:pPr>
            <w:r>
              <w:rPr>
                <w:rFonts w:ascii="Arial" w:cs="Arial" w:eastAsia="Arial" w:hAnsi="Arial"/>
                <w:sz w:val="18"/>
                <w:szCs w:val="18"/>
                <w:color w:val="auto"/>
              </w:rPr>
              <w:t>42%</w:t>
            </w:r>
          </w:p>
        </w:tc>
        <w:tc>
          <w:tcPr>
            <w:tcW w:w="12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56%</w:t>
            </w:r>
          </w:p>
        </w:tc>
        <w:tc>
          <w:tcPr>
            <w:tcW w:w="188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(14)%</w:t>
            </w:r>
          </w:p>
        </w:tc>
        <w:tc>
          <w:tcPr>
            <w:tcW w:w="1140" w:type="dxa"/>
            <w:vAlign w:val="bottom"/>
            <w:gridSpan w:val="2"/>
            <w:shd w:val="clear" w:color="auto" w:fill="CCEEFF"/>
          </w:tcPr>
          <w:p>
            <w:pPr>
              <w:jc w:val="right"/>
              <w:ind w:right="512"/>
              <w:spacing w:after="0"/>
              <w:rPr>
                <w:sz w:val="20"/>
                <w:szCs w:val="20"/>
                <w:color w:val="auto"/>
              </w:rPr>
            </w:pPr>
            <w:r>
              <w:rPr>
                <w:rFonts w:ascii="Arial" w:cs="Arial" w:eastAsia="Arial" w:hAnsi="Arial"/>
                <w:sz w:val="18"/>
                <w:szCs w:val="18"/>
                <w:color w:val="auto"/>
              </w:rPr>
              <w:t>43%</w:t>
            </w:r>
          </w:p>
        </w:tc>
        <w:tc>
          <w:tcPr>
            <w:tcW w:w="114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53%</w:t>
            </w:r>
          </w:p>
        </w:tc>
        <w:tc>
          <w:tcPr>
            <w:tcW w:w="13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w:t>
            </w:r>
          </w:p>
        </w:tc>
      </w:tr>
      <w:tr>
        <w:trPr>
          <w:trHeight w:val="222"/>
        </w:trPr>
        <w:tc>
          <w:tcPr>
            <w:tcW w:w="3400" w:type="dxa"/>
            <w:vAlign w:val="bottom"/>
          </w:tcPr>
          <w:p>
            <w:pPr>
              <w:spacing w:after="0"/>
              <w:rPr>
                <w:sz w:val="20"/>
                <w:szCs w:val="20"/>
                <w:color w:val="auto"/>
              </w:rPr>
            </w:pPr>
            <w:r>
              <w:rPr>
                <w:rFonts w:ascii="Arial" w:cs="Arial" w:eastAsia="Arial" w:hAnsi="Arial"/>
                <w:sz w:val="18"/>
                <w:szCs w:val="18"/>
                <w:color w:val="auto"/>
              </w:rPr>
              <w:t>Expense ratio</w:t>
            </w:r>
          </w:p>
        </w:tc>
        <w:tc>
          <w:tcPr>
            <w:tcW w:w="1260" w:type="dxa"/>
            <w:vAlign w:val="bottom"/>
            <w:gridSpan w:val="2"/>
          </w:tcPr>
          <w:p>
            <w:pPr>
              <w:jc w:val="right"/>
              <w:ind w:right="512"/>
              <w:spacing w:after="0"/>
              <w:rPr>
                <w:sz w:val="20"/>
                <w:szCs w:val="20"/>
                <w:color w:val="auto"/>
              </w:rPr>
            </w:pPr>
            <w:r>
              <w:rPr>
                <w:rFonts w:ascii="Arial" w:cs="Arial" w:eastAsia="Arial" w:hAnsi="Arial"/>
                <w:sz w:val="18"/>
                <w:szCs w:val="18"/>
                <w:color w:val="auto"/>
              </w:rPr>
              <w:t>33%</w:t>
            </w:r>
          </w:p>
        </w:tc>
        <w:tc>
          <w:tcPr>
            <w:tcW w:w="1240" w:type="dxa"/>
            <w:vAlign w:val="bottom"/>
            <w:gridSpan w:val="2"/>
          </w:tcPr>
          <w:p>
            <w:pPr>
              <w:jc w:val="right"/>
              <w:ind w:right="560"/>
              <w:spacing w:after="0"/>
              <w:rPr>
                <w:sz w:val="20"/>
                <w:szCs w:val="20"/>
                <w:color w:val="auto"/>
              </w:rPr>
            </w:pPr>
            <w:r>
              <w:rPr>
                <w:rFonts w:ascii="Arial" w:cs="Arial" w:eastAsia="Arial" w:hAnsi="Arial"/>
                <w:sz w:val="18"/>
                <w:szCs w:val="18"/>
                <w:color w:val="auto"/>
              </w:rPr>
              <w:t>30%</w:t>
            </w:r>
          </w:p>
        </w:tc>
        <w:tc>
          <w:tcPr>
            <w:tcW w:w="1880" w:type="dxa"/>
            <w:vAlign w:val="bottom"/>
            <w:gridSpan w:val="2"/>
          </w:tcPr>
          <w:p>
            <w:pPr>
              <w:jc w:val="right"/>
              <w:ind w:right="620"/>
              <w:spacing w:after="0"/>
              <w:rPr>
                <w:sz w:val="20"/>
                <w:szCs w:val="20"/>
                <w:color w:val="auto"/>
              </w:rPr>
            </w:pPr>
            <w:r>
              <w:rPr>
                <w:rFonts w:ascii="Arial" w:cs="Arial" w:eastAsia="Arial" w:hAnsi="Arial"/>
                <w:sz w:val="18"/>
                <w:szCs w:val="18"/>
                <w:color w:val="auto"/>
              </w:rPr>
              <w:t>3%</w:t>
            </w:r>
          </w:p>
        </w:tc>
        <w:tc>
          <w:tcPr>
            <w:tcW w:w="1140" w:type="dxa"/>
            <w:vAlign w:val="bottom"/>
            <w:gridSpan w:val="2"/>
          </w:tcPr>
          <w:p>
            <w:pPr>
              <w:jc w:val="right"/>
              <w:ind w:right="512"/>
              <w:spacing w:after="0"/>
              <w:rPr>
                <w:sz w:val="20"/>
                <w:szCs w:val="20"/>
                <w:color w:val="auto"/>
              </w:rPr>
            </w:pPr>
            <w:r>
              <w:rPr>
                <w:rFonts w:ascii="Arial" w:cs="Arial" w:eastAsia="Arial" w:hAnsi="Arial"/>
                <w:sz w:val="18"/>
                <w:szCs w:val="18"/>
                <w:color w:val="auto"/>
              </w:rPr>
              <w:t>38%</w:t>
            </w:r>
          </w:p>
        </w:tc>
        <w:tc>
          <w:tcPr>
            <w:tcW w:w="1140" w:type="dxa"/>
            <w:vAlign w:val="bottom"/>
            <w:gridSpan w:val="2"/>
          </w:tcPr>
          <w:p>
            <w:pPr>
              <w:jc w:val="right"/>
              <w:ind w:right="580"/>
              <w:spacing w:after="0"/>
              <w:rPr>
                <w:sz w:val="20"/>
                <w:szCs w:val="20"/>
                <w:color w:val="auto"/>
              </w:rPr>
            </w:pPr>
            <w:r>
              <w:rPr>
                <w:rFonts w:ascii="Arial" w:cs="Arial" w:eastAsia="Arial" w:hAnsi="Arial"/>
                <w:sz w:val="18"/>
                <w:szCs w:val="18"/>
                <w:color w:val="auto"/>
              </w:rPr>
              <w:t>35%</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3%</w:t>
            </w:r>
          </w:p>
        </w:tc>
      </w:tr>
    </w:tbl>
    <w:p>
      <w:pPr>
        <w:spacing w:after="0" w:line="147"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color w:val="auto"/>
        </w:rPr>
        <w:t>The loss ratio is the ratio of incurred losses and loss adjustment expenses to net earned premiums. The expense ratio is the ratio of general expenses to net premiums written. In our business, general expenses consist of acquisition and operating expenses, net of deferrals, and amortization of deferred acquisition costs and intangibles.</w:t>
      </w:r>
    </w:p>
    <w:p>
      <w:pPr>
        <w:spacing w:after="0" w:line="140" w:lineRule="exact"/>
        <w:rPr>
          <w:sz w:val="20"/>
          <w:szCs w:val="20"/>
          <w:color w:val="auto"/>
        </w:rPr>
      </w:pPr>
    </w:p>
    <w:p>
      <w:pPr>
        <w:ind w:right="940" w:firstLine="456"/>
        <w:spacing w:after="0" w:line="268" w:lineRule="auto"/>
        <w:rPr>
          <w:sz w:val="20"/>
          <w:szCs w:val="20"/>
          <w:color w:val="auto"/>
        </w:rPr>
      </w:pPr>
      <w:r>
        <w:rPr>
          <w:rFonts w:ascii="Arial" w:cs="Arial" w:eastAsia="Arial" w:hAnsi="Arial"/>
          <w:sz w:val="18"/>
          <w:szCs w:val="18"/>
          <w:color w:val="auto"/>
        </w:rPr>
        <w:t>The decrease in the loss ratio for the three months ended June 30, 2010 was primarily attributable to lower losses in Canada from a decrease in delinquencies and in Australia as a result of lower reserves per delinquency.</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420"/>
          </w:cols>
          <w:pgMar w:left="240" w:top="459" w:right="23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The decrease in the loss ratio for the six months ended June 30, 2010 was primarily attributable to lower losses in Canada from a decrease in delinquencies and in Australia as a result of lower reserves per delinquency. There were also decreased losses in Europe related to ongoing loss mitigation activities in Spain. Partially offsetting the decrease in the loss ratio was a decline in net earned premiums.</w:t>
      </w:r>
    </w:p>
    <w:p>
      <w:pPr>
        <w:spacing w:after="0" w:line="140"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increase in the expense ratio for the three and six months ended June 30, 2010 was primarily attributable to higher expenses in Canada and a decrease in net premiums written in Australia.</w:t>
      </w:r>
    </w:p>
    <w:p>
      <w:pPr>
        <w:spacing w:after="0" w:line="213"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Delinquent loans</w:t>
      </w:r>
    </w:p>
    <w:p>
      <w:pPr>
        <w:spacing w:after="0" w:line="90" w:lineRule="exact"/>
        <w:rPr>
          <w:sz w:val="20"/>
          <w:szCs w:val="20"/>
          <w:color w:val="auto"/>
        </w:rPr>
      </w:pPr>
    </w:p>
    <w:p>
      <w:pPr>
        <w:ind w:right="680" w:firstLine="456"/>
        <w:spacing w:after="0" w:line="268" w:lineRule="auto"/>
        <w:rPr>
          <w:sz w:val="20"/>
          <w:szCs w:val="20"/>
          <w:color w:val="auto"/>
        </w:rPr>
      </w:pPr>
      <w:r>
        <w:rPr>
          <w:rFonts w:ascii="Arial" w:cs="Arial" w:eastAsia="Arial" w:hAnsi="Arial"/>
          <w:sz w:val="18"/>
          <w:szCs w:val="18"/>
          <w:color w:val="auto"/>
        </w:rPr>
        <w:t>The following table sets forth the number of loans insured, the number of delinquent loans and the delinquency rate for our international mortgage insurance portfolio as of the dates indicated: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00" w:type="dxa"/>
            <w:vAlign w:val="bottom"/>
          </w:tcPr>
          <w:p>
            <w:pPr>
              <w:spacing w:after="0"/>
              <w:rPr>
                <w:sz w:val="14"/>
                <w:szCs w:val="14"/>
                <w:color w:val="auto"/>
              </w:rPr>
            </w:pPr>
          </w:p>
        </w:tc>
        <w:tc>
          <w:tcPr>
            <w:tcW w:w="1620" w:type="dxa"/>
            <w:vAlign w:val="bottom"/>
            <w:gridSpan w:val="2"/>
          </w:tcPr>
          <w:p>
            <w:pPr>
              <w:jc w:val="right"/>
              <w:ind w:right="820"/>
              <w:spacing w:after="0"/>
              <w:rPr>
                <w:sz w:val="20"/>
                <w:szCs w:val="20"/>
                <w:color w:val="auto"/>
              </w:rPr>
            </w:pPr>
            <w:r>
              <w:rPr>
                <w:rFonts w:ascii="Arial" w:cs="Arial" w:eastAsia="Arial" w:hAnsi="Arial"/>
                <w:sz w:val="14"/>
                <w:szCs w:val="14"/>
                <w:b w:val="1"/>
                <w:bCs w:val="1"/>
                <w:color w:val="auto"/>
                <w:w w:val="85"/>
              </w:rPr>
              <w:t>June 30, 2010</w:t>
            </w:r>
          </w:p>
        </w:tc>
        <w:tc>
          <w:tcPr>
            <w:tcW w:w="1900" w:type="dxa"/>
            <w:vAlign w:val="bottom"/>
            <w:gridSpan w:val="2"/>
          </w:tcPr>
          <w:p>
            <w:pPr>
              <w:jc w:val="right"/>
              <w:ind w:right="820"/>
              <w:spacing w:after="0"/>
              <w:rPr>
                <w:sz w:val="20"/>
                <w:szCs w:val="20"/>
                <w:color w:val="auto"/>
              </w:rPr>
            </w:pPr>
            <w:r>
              <w:rPr>
                <w:rFonts w:ascii="Arial" w:cs="Arial" w:eastAsia="Arial" w:hAnsi="Arial"/>
                <w:sz w:val="14"/>
                <w:szCs w:val="14"/>
                <w:b w:val="1"/>
                <w:bCs w:val="1"/>
                <w:color w:val="auto"/>
                <w:w w:val="84"/>
              </w:rPr>
              <w:t>December 31, 2009</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85"/>
              </w:rPr>
              <w:t>June 30, 2009</w:t>
            </w:r>
          </w:p>
        </w:tc>
      </w:tr>
      <w:tr>
        <w:trPr>
          <w:trHeight w:val="210"/>
        </w:trPr>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Primary insurance</w:t>
            </w:r>
          </w:p>
        </w:tc>
        <w:tc>
          <w:tcPr>
            <w:tcW w:w="800" w:type="dxa"/>
            <w:vAlign w:val="bottom"/>
            <w:tcBorders>
              <w:top w:val="single" w:sz="8" w:color="auto"/>
            </w:tcBorders>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r>
        <w:trPr>
          <w:trHeight w:val="216"/>
        </w:trPr>
        <w:tc>
          <w:tcPr>
            <w:tcW w:w="6900" w:type="dxa"/>
            <w:vAlign w:val="bottom"/>
          </w:tcPr>
          <w:p>
            <w:pPr>
              <w:ind w:left="440"/>
              <w:spacing w:after="0"/>
              <w:rPr>
                <w:sz w:val="20"/>
                <w:szCs w:val="20"/>
                <w:color w:val="auto"/>
              </w:rPr>
            </w:pPr>
            <w:r>
              <w:rPr>
                <w:rFonts w:ascii="Arial" w:cs="Arial" w:eastAsia="Arial" w:hAnsi="Arial"/>
                <w:sz w:val="18"/>
                <w:szCs w:val="18"/>
                <w:color w:val="auto"/>
              </w:rPr>
              <w:t>Insured loans in-force</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2,938,624</w:t>
            </w:r>
          </w:p>
        </w:tc>
        <w:tc>
          <w:tcPr>
            <w:tcW w:w="82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2,911,605</w:t>
            </w:r>
          </w:p>
        </w:tc>
        <w:tc>
          <w:tcPr>
            <w:tcW w:w="80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97"/>
              </w:rPr>
              <w:t>2,918,570</w:t>
            </w:r>
          </w:p>
        </w:tc>
      </w:tr>
      <w:tr>
        <w:trPr>
          <w:trHeight w:val="216"/>
        </w:trPr>
        <w:tc>
          <w:tcPr>
            <w:tcW w:w="69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 xml:space="preserve">Delinquent loans </w:t>
            </w:r>
            <w:r>
              <w:rPr>
                <w:rFonts w:ascii="Arial" w:cs="Arial" w:eastAsia="Arial" w:hAnsi="Arial"/>
                <w:sz w:val="11"/>
                <w:szCs w:val="11"/>
                <w:color w:val="auto"/>
              </w:rPr>
              <w:t>(1)</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22,093</w:t>
            </w:r>
          </w:p>
        </w:tc>
        <w:tc>
          <w:tcPr>
            <w:tcW w:w="8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22,821</w:t>
            </w:r>
          </w:p>
        </w:tc>
        <w:tc>
          <w:tcPr>
            <w:tcW w:w="8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24,569</w:t>
            </w:r>
          </w:p>
        </w:tc>
      </w:tr>
      <w:tr>
        <w:trPr>
          <w:trHeight w:val="222"/>
        </w:trPr>
        <w:tc>
          <w:tcPr>
            <w:tcW w:w="6900" w:type="dxa"/>
            <w:vAlign w:val="bottom"/>
          </w:tcPr>
          <w:p>
            <w:pPr>
              <w:ind w:left="440"/>
              <w:spacing w:after="0"/>
              <w:rPr>
                <w:sz w:val="20"/>
                <w:szCs w:val="20"/>
                <w:color w:val="auto"/>
              </w:rPr>
            </w:pPr>
            <w:r>
              <w:rPr>
                <w:rFonts w:ascii="Arial" w:cs="Arial" w:eastAsia="Arial" w:hAnsi="Arial"/>
                <w:sz w:val="18"/>
                <w:szCs w:val="18"/>
                <w:color w:val="auto"/>
              </w:rPr>
              <w:t xml:space="preserve">Percentage of delinquent loans (delinquency rate) </w:t>
            </w:r>
            <w:r>
              <w:rPr>
                <w:rFonts w:ascii="Arial" w:cs="Arial" w:eastAsia="Arial" w:hAnsi="Arial"/>
                <w:sz w:val="11"/>
                <w:szCs w:val="11"/>
                <w:color w:val="auto"/>
              </w:rPr>
              <w:t>(1)</w:t>
            </w:r>
          </w:p>
        </w:tc>
        <w:tc>
          <w:tcPr>
            <w:tcW w:w="1620" w:type="dxa"/>
            <w:vAlign w:val="bottom"/>
            <w:gridSpan w:val="2"/>
          </w:tcPr>
          <w:p>
            <w:pPr>
              <w:jc w:val="right"/>
              <w:ind w:right="660"/>
              <w:spacing w:after="0"/>
              <w:rPr>
                <w:sz w:val="20"/>
                <w:szCs w:val="20"/>
                <w:color w:val="auto"/>
              </w:rPr>
            </w:pPr>
            <w:r>
              <w:rPr>
                <w:rFonts w:ascii="Arial" w:cs="Arial" w:eastAsia="Arial" w:hAnsi="Arial"/>
                <w:sz w:val="18"/>
                <w:szCs w:val="18"/>
                <w:color w:val="auto"/>
              </w:rPr>
              <w:t>0.75%</w:t>
            </w:r>
          </w:p>
        </w:tc>
        <w:tc>
          <w:tcPr>
            <w:tcW w:w="1900" w:type="dxa"/>
            <w:vAlign w:val="bottom"/>
            <w:gridSpan w:val="2"/>
          </w:tcPr>
          <w:p>
            <w:pPr>
              <w:jc w:val="right"/>
              <w:ind w:right="660"/>
              <w:spacing w:after="0"/>
              <w:rPr>
                <w:sz w:val="20"/>
                <w:szCs w:val="20"/>
                <w:color w:val="auto"/>
              </w:rPr>
            </w:pPr>
            <w:r>
              <w:rPr>
                <w:rFonts w:ascii="Arial" w:cs="Arial" w:eastAsia="Arial" w:hAnsi="Arial"/>
                <w:sz w:val="18"/>
                <w:szCs w:val="18"/>
                <w:color w:val="auto"/>
              </w:rPr>
              <w:t>0.78%</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0.84%</w:t>
            </w:r>
          </w:p>
        </w:tc>
      </w:tr>
      <w:tr>
        <w:trPr>
          <w:trHeight w:val="102"/>
        </w:trPr>
        <w:tc>
          <w:tcPr>
            <w:tcW w:w="69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00" w:type="dxa"/>
            <w:vAlign w:val="bottom"/>
          </w:tcPr>
          <w:p>
            <w:pPr>
              <w:spacing w:after="0"/>
              <w:rPr>
                <w:sz w:val="8"/>
                <w:szCs w:val="8"/>
                <w:color w:val="auto"/>
              </w:rPr>
            </w:pPr>
          </w:p>
        </w:tc>
        <w:tc>
          <w:tcPr>
            <w:tcW w:w="200" w:type="dxa"/>
            <w:vAlign w:val="bottom"/>
          </w:tcPr>
          <w:p>
            <w:pPr>
              <w:spacing w:after="0"/>
              <w:rPr>
                <w:sz w:val="8"/>
                <w:szCs w:val="8"/>
                <w:color w:val="auto"/>
              </w:rPr>
            </w:pPr>
          </w:p>
        </w:tc>
      </w:tr>
      <w:tr>
        <w:trPr>
          <w:trHeight w:val="216"/>
        </w:trPr>
        <w:tc>
          <w:tcPr>
            <w:tcW w:w="69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Flow loans in-force</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2,447,543</w:t>
            </w:r>
          </w:p>
        </w:tc>
        <w:tc>
          <w:tcPr>
            <w:tcW w:w="8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2,418,144</w:t>
            </w:r>
          </w:p>
        </w:tc>
        <w:tc>
          <w:tcPr>
            <w:tcW w:w="8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7"/>
              </w:rPr>
              <w:t>2,392,425</w:t>
            </w:r>
          </w:p>
        </w:tc>
      </w:tr>
      <w:tr>
        <w:trPr>
          <w:trHeight w:val="216"/>
        </w:trPr>
        <w:tc>
          <w:tcPr>
            <w:tcW w:w="6900" w:type="dxa"/>
            <w:vAlign w:val="bottom"/>
          </w:tcPr>
          <w:p>
            <w:pPr>
              <w:ind w:left="440"/>
              <w:spacing w:after="0"/>
              <w:rPr>
                <w:sz w:val="20"/>
                <w:szCs w:val="20"/>
                <w:color w:val="auto"/>
              </w:rPr>
            </w:pPr>
            <w:r>
              <w:rPr>
                <w:rFonts w:ascii="Arial" w:cs="Arial" w:eastAsia="Arial" w:hAnsi="Arial"/>
                <w:sz w:val="18"/>
                <w:szCs w:val="18"/>
                <w:color w:val="auto"/>
              </w:rPr>
              <w:t xml:space="preserve">Flow delinquent loans </w:t>
            </w:r>
            <w:r>
              <w:rPr>
                <w:rFonts w:ascii="Arial" w:cs="Arial" w:eastAsia="Arial" w:hAnsi="Arial"/>
                <w:sz w:val="11"/>
                <w:szCs w:val="11"/>
                <w:color w:val="auto"/>
              </w:rPr>
              <w:t>(1)</w:t>
            </w:r>
          </w:p>
        </w:tc>
        <w:tc>
          <w:tcPr>
            <w:tcW w:w="800" w:type="dxa"/>
            <w:vAlign w:val="bottom"/>
          </w:tcPr>
          <w:p>
            <w:pPr>
              <w:jc w:val="right"/>
              <w:spacing w:after="0"/>
              <w:rPr>
                <w:sz w:val="20"/>
                <w:szCs w:val="20"/>
                <w:color w:val="auto"/>
              </w:rPr>
            </w:pPr>
            <w:r>
              <w:rPr>
                <w:rFonts w:ascii="Arial" w:cs="Arial" w:eastAsia="Arial" w:hAnsi="Arial"/>
                <w:sz w:val="18"/>
                <w:szCs w:val="18"/>
                <w:color w:val="auto"/>
              </w:rPr>
              <w:t>19,219</w:t>
            </w:r>
          </w:p>
        </w:tc>
        <w:tc>
          <w:tcPr>
            <w:tcW w:w="82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19,652</w:t>
            </w:r>
          </w:p>
        </w:tc>
        <w:tc>
          <w:tcPr>
            <w:tcW w:w="80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21,389</w:t>
            </w:r>
          </w:p>
        </w:tc>
      </w:tr>
      <w:tr>
        <w:trPr>
          <w:trHeight w:val="216"/>
        </w:trPr>
        <w:tc>
          <w:tcPr>
            <w:tcW w:w="69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 xml:space="preserve">Percentage of flow delinquent loans (delinquency rate) </w:t>
            </w:r>
            <w:r>
              <w:rPr>
                <w:rFonts w:ascii="Arial" w:cs="Arial" w:eastAsia="Arial" w:hAnsi="Arial"/>
                <w:sz w:val="11"/>
                <w:szCs w:val="11"/>
                <w:color w:val="auto"/>
              </w:rPr>
              <w:t>(1)</w:t>
            </w:r>
          </w:p>
        </w:tc>
        <w:tc>
          <w:tcPr>
            <w:tcW w:w="162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0.79%</w:t>
            </w:r>
          </w:p>
        </w:tc>
        <w:tc>
          <w:tcPr>
            <w:tcW w:w="19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0.81%</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0.89%</w:t>
            </w:r>
          </w:p>
        </w:tc>
      </w:tr>
      <w:tr>
        <w:trPr>
          <w:trHeight w:val="323"/>
        </w:trPr>
        <w:tc>
          <w:tcPr>
            <w:tcW w:w="6900" w:type="dxa"/>
            <w:vAlign w:val="bottom"/>
          </w:tcPr>
          <w:p>
            <w:pPr>
              <w:ind w:left="440"/>
              <w:spacing w:after="0"/>
              <w:rPr>
                <w:sz w:val="20"/>
                <w:szCs w:val="20"/>
                <w:color w:val="auto"/>
              </w:rPr>
            </w:pPr>
            <w:r>
              <w:rPr>
                <w:rFonts w:ascii="Arial" w:cs="Arial" w:eastAsia="Arial" w:hAnsi="Arial"/>
                <w:sz w:val="18"/>
                <w:szCs w:val="18"/>
                <w:color w:val="auto"/>
              </w:rPr>
              <w:t>Bulk loans in-force</w:t>
            </w:r>
          </w:p>
        </w:tc>
        <w:tc>
          <w:tcPr>
            <w:tcW w:w="800" w:type="dxa"/>
            <w:vAlign w:val="bottom"/>
          </w:tcPr>
          <w:p>
            <w:pPr>
              <w:jc w:val="right"/>
              <w:spacing w:after="0"/>
              <w:rPr>
                <w:sz w:val="20"/>
                <w:szCs w:val="20"/>
                <w:color w:val="auto"/>
              </w:rPr>
            </w:pPr>
            <w:r>
              <w:rPr>
                <w:rFonts w:ascii="Arial" w:cs="Arial" w:eastAsia="Arial" w:hAnsi="Arial"/>
                <w:sz w:val="18"/>
                <w:szCs w:val="18"/>
                <w:color w:val="auto"/>
              </w:rPr>
              <w:t>491,081</w:t>
            </w:r>
          </w:p>
        </w:tc>
        <w:tc>
          <w:tcPr>
            <w:tcW w:w="82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493,461</w:t>
            </w:r>
          </w:p>
        </w:tc>
        <w:tc>
          <w:tcPr>
            <w:tcW w:w="800" w:type="dxa"/>
            <w:vAlign w:val="bottom"/>
          </w:tcPr>
          <w:p>
            <w:pPr>
              <w:spacing w:after="0"/>
              <w:rPr>
                <w:sz w:val="24"/>
                <w:szCs w:val="24"/>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526,145</w:t>
            </w:r>
          </w:p>
        </w:tc>
      </w:tr>
      <w:tr>
        <w:trPr>
          <w:trHeight w:val="217"/>
        </w:trPr>
        <w:tc>
          <w:tcPr>
            <w:tcW w:w="69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 xml:space="preserve">Bulk delinquent loans </w:t>
            </w:r>
            <w:r>
              <w:rPr>
                <w:rFonts w:ascii="Arial" w:cs="Arial" w:eastAsia="Arial" w:hAnsi="Arial"/>
                <w:sz w:val="11"/>
                <w:szCs w:val="11"/>
                <w:color w:val="auto"/>
              </w:rPr>
              <w:t>(2)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2,874</w:t>
            </w:r>
          </w:p>
        </w:tc>
        <w:tc>
          <w:tcPr>
            <w:tcW w:w="8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3,169</w:t>
            </w:r>
          </w:p>
        </w:tc>
        <w:tc>
          <w:tcPr>
            <w:tcW w:w="8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3,180</w:t>
            </w:r>
          </w:p>
        </w:tc>
      </w:tr>
      <w:tr>
        <w:trPr>
          <w:trHeight w:val="222"/>
        </w:trPr>
        <w:tc>
          <w:tcPr>
            <w:tcW w:w="6900" w:type="dxa"/>
            <w:vAlign w:val="bottom"/>
          </w:tcPr>
          <w:p>
            <w:pPr>
              <w:ind w:left="440"/>
              <w:spacing w:after="0"/>
              <w:rPr>
                <w:sz w:val="20"/>
                <w:szCs w:val="20"/>
                <w:color w:val="auto"/>
              </w:rPr>
            </w:pPr>
            <w:r>
              <w:rPr>
                <w:rFonts w:ascii="Arial" w:cs="Arial" w:eastAsia="Arial" w:hAnsi="Arial"/>
                <w:sz w:val="18"/>
                <w:szCs w:val="18"/>
                <w:color w:val="auto"/>
              </w:rPr>
              <w:t>Percentage of bulk delinquent loans (delinquency rate)</w:t>
            </w:r>
          </w:p>
        </w:tc>
        <w:tc>
          <w:tcPr>
            <w:tcW w:w="1620" w:type="dxa"/>
            <w:vAlign w:val="bottom"/>
            <w:gridSpan w:val="2"/>
          </w:tcPr>
          <w:p>
            <w:pPr>
              <w:jc w:val="right"/>
              <w:ind w:right="660"/>
              <w:spacing w:after="0"/>
              <w:rPr>
                <w:sz w:val="20"/>
                <w:szCs w:val="20"/>
                <w:color w:val="auto"/>
              </w:rPr>
            </w:pPr>
            <w:r>
              <w:rPr>
                <w:rFonts w:ascii="Arial" w:cs="Arial" w:eastAsia="Arial" w:hAnsi="Arial"/>
                <w:sz w:val="18"/>
                <w:szCs w:val="18"/>
                <w:color w:val="auto"/>
              </w:rPr>
              <w:t>0.59%</w:t>
            </w:r>
          </w:p>
        </w:tc>
        <w:tc>
          <w:tcPr>
            <w:tcW w:w="1900" w:type="dxa"/>
            <w:vAlign w:val="bottom"/>
            <w:gridSpan w:val="2"/>
          </w:tcPr>
          <w:p>
            <w:pPr>
              <w:jc w:val="right"/>
              <w:ind w:right="660"/>
              <w:spacing w:after="0"/>
              <w:rPr>
                <w:sz w:val="20"/>
                <w:szCs w:val="20"/>
                <w:color w:val="auto"/>
              </w:rPr>
            </w:pPr>
            <w:r>
              <w:rPr>
                <w:rFonts w:ascii="Arial" w:cs="Arial" w:eastAsia="Arial" w:hAnsi="Arial"/>
                <w:sz w:val="18"/>
                <w:szCs w:val="18"/>
                <w:color w:val="auto"/>
              </w:rPr>
              <w:t>0.64%</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0.60%</w:t>
            </w:r>
          </w:p>
        </w:tc>
      </w:tr>
    </w:tbl>
    <w:p>
      <w:pPr>
        <w:spacing w:after="0" w:line="134" w:lineRule="exact"/>
        <w:rPr>
          <w:sz w:val="20"/>
          <w:szCs w:val="20"/>
          <w:color w:val="auto"/>
        </w:rPr>
      </w:pPr>
    </w:p>
    <w:p>
      <w:pPr>
        <w:ind w:left="460" w:right="60" w:hanging="452"/>
        <w:spacing w:after="0" w:line="235" w:lineRule="auto"/>
        <w:tabs>
          <w:tab w:leader="none" w:pos="460" w:val="left"/>
        </w:tabs>
        <w:numPr>
          <w:ilvl w:val="0"/>
          <w:numId w:val="92"/>
        </w:numPr>
        <w:rPr>
          <w:rFonts w:ascii="Arial" w:cs="Arial" w:eastAsia="Arial" w:hAnsi="Arial"/>
          <w:sz w:val="22"/>
          <w:szCs w:val="22"/>
          <w:color w:val="auto"/>
          <w:vertAlign w:val="superscript"/>
        </w:rPr>
      </w:pPr>
      <w:r>
        <w:rPr>
          <w:rFonts w:ascii="Arial" w:cs="Arial" w:eastAsia="Arial" w:hAnsi="Arial"/>
          <w:sz w:val="18"/>
          <w:szCs w:val="18"/>
          <w:color w:val="auto"/>
        </w:rPr>
        <w:t>The amounts previously presented in our second quarter of 2009 Quarterly Report on Form 10-Q have been revised for June 30, 2009 to include delinquencies associated with a lender captive reinsured by us in Australia that had previously been excluded. There was no impact on reserves or losses as these items had previously been included in reported amounts.</w:t>
      </w:r>
    </w:p>
    <w:p>
      <w:pPr>
        <w:spacing w:after="0" w:line="1" w:lineRule="exact"/>
        <w:rPr>
          <w:rFonts w:ascii="Arial" w:cs="Arial" w:eastAsia="Arial" w:hAnsi="Arial"/>
          <w:sz w:val="22"/>
          <w:szCs w:val="22"/>
          <w:color w:val="auto"/>
          <w:vertAlign w:val="superscript"/>
        </w:rPr>
      </w:pPr>
    </w:p>
    <w:p>
      <w:pPr>
        <w:ind w:left="460" w:right="120" w:hanging="452"/>
        <w:spacing w:after="0" w:line="237" w:lineRule="auto"/>
        <w:tabs>
          <w:tab w:leader="none" w:pos="460" w:val="left"/>
        </w:tabs>
        <w:numPr>
          <w:ilvl w:val="0"/>
          <w:numId w:val="92"/>
        </w:numPr>
        <w:rPr>
          <w:rFonts w:ascii="Arial" w:cs="Arial" w:eastAsia="Arial" w:hAnsi="Arial"/>
          <w:sz w:val="21"/>
          <w:szCs w:val="21"/>
          <w:color w:val="auto"/>
          <w:vertAlign w:val="superscript"/>
        </w:rPr>
      </w:pPr>
      <w:r>
        <w:rPr>
          <w:rFonts w:ascii="Arial" w:cs="Arial" w:eastAsia="Arial" w:hAnsi="Arial"/>
          <w:sz w:val="17"/>
          <w:szCs w:val="17"/>
          <w:color w:val="auto"/>
        </w:rPr>
        <w:t>Included loans where we were in a secondary loss position for which no reserve was established due to an existing deductible. Excluding these loans, bulk delinquent loans were 2,858 as of June 30, 2010, 3,154 as of December 31, 2009 and 2,547 as of June 30,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-709295</wp:posOffset>
            </wp:positionV>
            <wp:extent cx="72898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6"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Flow loans in-force increased primarily due to growth in Canada that was partially offset by loss mitigation efforts in Europe. Bulk loans in-force decreased due to limited market opportunities. Delinquent loans decreased from lower new delinquencies in Canada from improving economic conditions and in Europe from ongoing loss mitigation activities, partially offset by a moderate increase in delinquencies in Australia.</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Lifestyle protection insurance</w:t>
      </w:r>
    </w:p>
    <w:p>
      <w:pPr>
        <w:spacing w:after="0" w:line="90"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The following table sets forth selected operating performance measures regarding our lifestyle protection insurance business and other related consumer protection insurance products for the periods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6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87"/>
              </w:rPr>
              <w:t>Increase</w:t>
            </w: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4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84"/>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6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82"/>
              </w:rPr>
              <w:t>(decrease) and</w:t>
            </w: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4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1400" w:type="dxa"/>
            <w:vAlign w:val="bottom"/>
            <w:gridSpan w:val="5"/>
          </w:tcPr>
          <w:p>
            <w:pPr>
              <w:jc w:val="center"/>
              <w:spacing w:after="0" w:line="149" w:lineRule="exact"/>
              <w:rPr>
                <w:sz w:val="20"/>
                <w:szCs w:val="20"/>
                <w:color w:val="auto"/>
              </w:rPr>
            </w:pPr>
            <w:r>
              <w:rPr>
                <w:rFonts w:ascii="Arial" w:cs="Arial" w:eastAsia="Arial" w:hAnsi="Arial"/>
                <w:sz w:val="14"/>
                <w:szCs w:val="14"/>
                <w:b w:val="1"/>
                <w:bCs w:val="1"/>
                <w:color w:val="auto"/>
                <w:w w:val="85"/>
              </w:rPr>
              <w:t>Three months ended</w:t>
            </w:r>
          </w:p>
        </w:tc>
        <w:tc>
          <w:tcPr>
            <w:tcW w:w="280" w:type="dxa"/>
            <w:vAlign w:val="bottom"/>
          </w:tcPr>
          <w:p>
            <w:pPr>
              <w:spacing w:after="0"/>
              <w:rPr>
                <w:sz w:val="12"/>
                <w:szCs w:val="12"/>
                <w:color w:val="auto"/>
              </w:rPr>
            </w:pPr>
          </w:p>
        </w:tc>
        <w:tc>
          <w:tcPr>
            <w:tcW w:w="146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82"/>
              </w:rPr>
              <w:t>percentage</w:t>
            </w:r>
          </w:p>
        </w:tc>
        <w:tc>
          <w:tcPr>
            <w:tcW w:w="160" w:type="dxa"/>
            <w:vAlign w:val="bottom"/>
          </w:tcPr>
          <w:p>
            <w:pPr>
              <w:spacing w:after="0"/>
              <w:rPr>
                <w:sz w:val="12"/>
                <w:szCs w:val="12"/>
                <w:color w:val="auto"/>
              </w:rPr>
            </w:pPr>
          </w:p>
        </w:tc>
        <w:tc>
          <w:tcPr>
            <w:tcW w:w="1380" w:type="dxa"/>
            <w:vAlign w:val="bottom"/>
            <w:gridSpan w:val="5"/>
          </w:tcPr>
          <w:p>
            <w:pPr>
              <w:jc w:val="center"/>
              <w:spacing w:after="0" w:line="149" w:lineRule="exact"/>
              <w:rPr>
                <w:sz w:val="20"/>
                <w:szCs w:val="20"/>
                <w:color w:val="auto"/>
              </w:rPr>
            </w:pPr>
            <w:r>
              <w:rPr>
                <w:rFonts w:ascii="Arial" w:cs="Arial" w:eastAsia="Arial" w:hAnsi="Arial"/>
                <w:sz w:val="14"/>
                <w:szCs w:val="14"/>
                <w:b w:val="1"/>
                <w:bCs w:val="1"/>
                <w:color w:val="auto"/>
                <w:w w:val="84"/>
              </w:rPr>
              <w:t>Six months ended</w:t>
            </w:r>
          </w:p>
        </w:tc>
        <w:tc>
          <w:tcPr>
            <w:tcW w:w="300" w:type="dxa"/>
            <w:vAlign w:val="bottom"/>
          </w:tcPr>
          <w:p>
            <w:pPr>
              <w:spacing w:after="0"/>
              <w:rPr>
                <w:sz w:val="12"/>
                <w:szCs w:val="12"/>
                <w:color w:val="auto"/>
              </w:rPr>
            </w:pPr>
          </w:p>
        </w:tc>
        <w:tc>
          <w:tcPr>
            <w:tcW w:w="134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percentage</w:t>
            </w:r>
          </w:p>
        </w:tc>
        <w:tc>
          <w:tcPr>
            <w:tcW w:w="0" w:type="dxa"/>
            <w:vAlign w:val="bottom"/>
          </w:tcPr>
          <w:p>
            <w:pPr>
              <w:spacing w:after="0"/>
              <w:rPr>
                <w:sz w:val="1"/>
                <w:szCs w:val="1"/>
                <w:color w:val="auto"/>
              </w:rPr>
            </w:pPr>
          </w:p>
        </w:tc>
      </w:tr>
      <w:tr>
        <w:trPr>
          <w:trHeight w:val="161"/>
        </w:trPr>
        <w:tc>
          <w:tcPr>
            <w:tcW w:w="51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980" w:type="dxa"/>
            <w:vAlign w:val="bottom"/>
            <w:tcBorders>
              <w:bottom w:val="single" w:sz="8" w:color="auto"/>
            </w:tcBorders>
            <w:gridSpan w:val="4"/>
          </w:tcPr>
          <w:p>
            <w:pPr>
              <w:jc w:val="center"/>
              <w:ind w:left="341"/>
              <w:spacing w:after="0"/>
              <w:rPr>
                <w:sz w:val="20"/>
                <w:szCs w:val="20"/>
                <w:color w:val="auto"/>
              </w:rPr>
            </w:pPr>
            <w:r>
              <w:rPr>
                <w:rFonts w:ascii="Arial" w:cs="Arial" w:eastAsia="Arial" w:hAnsi="Arial"/>
                <w:sz w:val="14"/>
                <w:szCs w:val="14"/>
                <w:b w:val="1"/>
                <w:bCs w:val="1"/>
                <w:color w:val="auto"/>
                <w:w w:val="92"/>
              </w:rPr>
              <w:t>June 30,</w:t>
            </w:r>
          </w:p>
        </w:tc>
        <w:tc>
          <w:tcPr>
            <w:tcW w:w="42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760" w:type="dxa"/>
            <w:vAlign w:val="bottom"/>
            <w:tcBorders>
              <w:bottom w:val="single" w:sz="8" w:color="auto"/>
            </w:tcBorders>
          </w:tcPr>
          <w:p>
            <w:pPr>
              <w:jc w:val="center"/>
              <w:ind w:left="272"/>
              <w:spacing w:after="0"/>
              <w:rPr>
                <w:sz w:val="20"/>
                <w:szCs w:val="20"/>
                <w:color w:val="auto"/>
              </w:rPr>
            </w:pPr>
            <w:r>
              <w:rPr>
                <w:rFonts w:ascii="Arial" w:cs="Arial" w:eastAsia="Arial" w:hAnsi="Arial"/>
                <w:sz w:val="14"/>
                <w:szCs w:val="14"/>
                <w:b w:val="1"/>
                <w:bCs w:val="1"/>
                <w:color w:val="auto"/>
                <w:w w:val="85"/>
              </w:rPr>
              <w:t>change</w:t>
            </w:r>
          </w:p>
        </w:tc>
        <w:tc>
          <w:tcPr>
            <w:tcW w:w="320" w:type="dxa"/>
            <w:vAlign w:val="bottom"/>
            <w:tcBorders>
              <w:bottom w:val="single" w:sz="8" w:color="auto"/>
            </w:tcBorders>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tcBorders>
              <w:bottom w:val="single" w:sz="8" w:color="auto"/>
            </w:tcBorders>
            <w:gridSpan w:val="4"/>
          </w:tcPr>
          <w:p>
            <w:pPr>
              <w:jc w:val="center"/>
              <w:ind w:left="367"/>
              <w:spacing w:after="0"/>
              <w:rPr>
                <w:sz w:val="20"/>
                <w:szCs w:val="20"/>
                <w:color w:val="auto"/>
              </w:rPr>
            </w:pPr>
            <w:r>
              <w:rPr>
                <w:rFonts w:ascii="Arial" w:cs="Arial" w:eastAsia="Arial" w:hAnsi="Arial"/>
                <w:sz w:val="14"/>
                <w:szCs w:val="14"/>
                <w:b w:val="1"/>
                <w:bCs w:val="1"/>
                <w:color w:val="auto"/>
                <w:w w:val="92"/>
              </w:rPr>
              <w:t>June 30,</w:t>
            </w:r>
          </w:p>
        </w:tc>
        <w:tc>
          <w:tcPr>
            <w:tcW w:w="420" w:type="dxa"/>
            <w:vAlign w:val="bottom"/>
            <w:tcBorders>
              <w:bottom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760" w:type="dxa"/>
            <w:vAlign w:val="bottom"/>
            <w:tcBorders>
              <w:bottom w:val="single" w:sz="8" w:color="auto"/>
            </w:tcBorders>
          </w:tcPr>
          <w:p>
            <w:pPr>
              <w:jc w:val="center"/>
              <w:ind w:left="252"/>
              <w:spacing w:after="0"/>
              <w:rPr>
                <w:sz w:val="20"/>
                <w:szCs w:val="20"/>
                <w:color w:val="auto"/>
              </w:rPr>
            </w:pPr>
            <w:r>
              <w:rPr>
                <w:rFonts w:ascii="Arial" w:cs="Arial" w:eastAsia="Arial" w:hAnsi="Arial"/>
                <w:sz w:val="14"/>
                <w:szCs w:val="14"/>
                <w:b w:val="1"/>
                <w:bCs w:val="1"/>
                <w:color w:val="auto"/>
                <w:w w:val="81"/>
              </w:rPr>
              <w:t>change</w:t>
            </w:r>
          </w:p>
        </w:tc>
        <w:tc>
          <w:tcPr>
            <w:tcW w:w="32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100" w:type="dxa"/>
            <w:vAlign w:val="bottom"/>
            <w:gridSpan w:val="3"/>
            <w:vMerge w:val="continue"/>
          </w:tcPr>
          <w:p>
            <w:pPr>
              <w:spacing w:after="0"/>
              <w:rPr>
                <w:sz w:val="12"/>
                <w:szCs w:val="12"/>
                <w:color w:val="auto"/>
              </w:rPr>
            </w:pPr>
          </w:p>
        </w:tc>
        <w:tc>
          <w:tcPr>
            <w:tcW w:w="560" w:type="dxa"/>
            <w:vAlign w:val="bottom"/>
          </w:tcPr>
          <w:p>
            <w:pPr>
              <w:jc w:val="right"/>
              <w:ind w:right="61"/>
              <w:spacing w:after="0" w:line="142" w:lineRule="exact"/>
              <w:rPr>
                <w:sz w:val="20"/>
                <w:szCs w:val="20"/>
                <w:color w:val="auto"/>
              </w:rPr>
            </w:pPr>
            <w:r>
              <w:rPr>
                <w:rFonts w:ascii="Arial" w:cs="Arial" w:eastAsia="Arial" w:hAnsi="Arial"/>
                <w:sz w:val="14"/>
                <w:szCs w:val="14"/>
                <w:b w:val="1"/>
                <w:bCs w:val="1"/>
                <w:color w:val="auto"/>
              </w:rPr>
              <w:t>2010</w:t>
            </w: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jc w:val="right"/>
              <w:ind w:right="57"/>
              <w:spacing w:after="0" w:line="142" w:lineRule="exact"/>
              <w:rPr>
                <w:sz w:val="20"/>
                <w:szCs w:val="20"/>
                <w:color w:val="auto"/>
              </w:rPr>
            </w:pPr>
            <w:r>
              <w:rPr>
                <w:rFonts w:ascii="Arial" w:cs="Arial" w:eastAsia="Arial" w:hAnsi="Arial"/>
                <w:sz w:val="14"/>
                <w:szCs w:val="14"/>
                <w:b w:val="1"/>
                <w:bCs w:val="1"/>
                <w:color w:val="auto"/>
                <w:w w:val="83"/>
              </w:rPr>
              <w:t>2009</w:t>
            </w:r>
          </w:p>
        </w:tc>
        <w:tc>
          <w:tcPr>
            <w:tcW w:w="280" w:type="dxa"/>
            <w:vAlign w:val="bottom"/>
          </w:tcPr>
          <w:p>
            <w:pPr>
              <w:spacing w:after="0"/>
              <w:rPr>
                <w:sz w:val="12"/>
                <w:szCs w:val="12"/>
                <w:color w:val="auto"/>
              </w:rPr>
            </w:pPr>
          </w:p>
        </w:tc>
        <w:tc>
          <w:tcPr>
            <w:tcW w:w="1080" w:type="dxa"/>
            <w:vAlign w:val="bottom"/>
            <w:gridSpan w:val="2"/>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ind w:right="47"/>
              <w:spacing w:after="0" w:line="142" w:lineRule="exact"/>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37"/>
              <w:spacing w:after="0" w:line="142" w:lineRule="exact"/>
              <w:rPr>
                <w:sz w:val="20"/>
                <w:szCs w:val="20"/>
                <w:color w:val="auto"/>
              </w:rPr>
            </w:pPr>
            <w:r>
              <w:rPr>
                <w:rFonts w:ascii="Arial" w:cs="Arial" w:eastAsia="Arial" w:hAnsi="Arial"/>
                <w:sz w:val="14"/>
                <w:szCs w:val="14"/>
                <w:b w:val="1"/>
                <w:bCs w:val="1"/>
                <w:color w:val="auto"/>
                <w:w w:val="89"/>
              </w:rPr>
              <w:t>2009</w:t>
            </w:r>
          </w:p>
        </w:tc>
        <w:tc>
          <w:tcPr>
            <w:tcW w:w="300" w:type="dxa"/>
            <w:vAlign w:val="bottom"/>
          </w:tcPr>
          <w:p>
            <w:pPr>
              <w:spacing w:after="0"/>
              <w:rPr>
                <w:sz w:val="12"/>
                <w:szCs w:val="12"/>
                <w:color w:val="auto"/>
              </w:rPr>
            </w:pPr>
          </w:p>
        </w:tc>
        <w:tc>
          <w:tcPr>
            <w:tcW w:w="1080" w:type="dxa"/>
            <w:vAlign w:val="bottom"/>
            <w:gridSpan w:val="2"/>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50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Lifestyle protection insurance gross written premiums, premium</w:t>
            </w:r>
          </w:p>
        </w:tc>
        <w:tc>
          <w:tcPr>
            <w:tcW w:w="5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0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equivalents and deposits</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   424</w:t>
            </w:r>
          </w:p>
        </w:tc>
        <w:tc>
          <w:tcPr>
            <w:tcW w:w="240" w:type="dxa"/>
            <w:vAlign w:val="bottom"/>
            <w:shd w:val="clear" w:color="auto" w:fill="CCEEFF"/>
          </w:tcPr>
          <w:p>
            <w:pPr>
              <w:spacing w:after="0"/>
              <w:rPr>
                <w:sz w:val="19"/>
                <w:szCs w:val="19"/>
                <w:color w:val="auto"/>
              </w:rPr>
            </w:pPr>
          </w:p>
        </w:tc>
        <w:tc>
          <w:tcPr>
            <w:tcW w:w="1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w:t>
            </w:r>
          </w:p>
        </w:tc>
        <w:tc>
          <w:tcPr>
            <w:tcW w:w="1040" w:type="dxa"/>
            <w:vAlign w:val="bottom"/>
            <w:gridSpan w:val="2"/>
            <w:shd w:val="clear" w:color="auto" w:fill="CCEEFF"/>
          </w:tcPr>
          <w:p>
            <w:pPr>
              <w:jc w:val="right"/>
              <w:ind w:right="292"/>
              <w:spacing w:after="0"/>
              <w:rPr>
                <w:sz w:val="20"/>
                <w:szCs w:val="20"/>
                <w:color w:val="auto"/>
              </w:rPr>
            </w:pPr>
            <w:r>
              <w:rPr>
                <w:rFonts w:ascii="Arial" w:cs="Arial" w:eastAsia="Arial" w:hAnsi="Arial"/>
                <w:sz w:val="18"/>
                <w:szCs w:val="18"/>
                <w:color w:val="auto"/>
              </w:rPr>
              <w:t>$(32)</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w:t>
            </w:r>
          </w:p>
        </w:tc>
        <w:tc>
          <w:tcPr>
            <w:tcW w:w="8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  861</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863</w:t>
            </w:r>
          </w:p>
        </w:tc>
        <w:tc>
          <w:tcPr>
            <w:tcW w:w="1060" w:type="dxa"/>
            <w:vAlign w:val="bottom"/>
            <w:gridSpan w:val="2"/>
            <w:shd w:val="clear" w:color="auto" w:fill="CCEEFF"/>
          </w:tcPr>
          <w:p>
            <w:pPr>
              <w:jc w:val="right"/>
              <w:ind w:right="292"/>
              <w:spacing w:after="0"/>
              <w:rPr>
                <w:sz w:val="20"/>
                <w:szCs w:val="20"/>
                <w:color w:val="auto"/>
              </w:rPr>
            </w:pPr>
            <w:r>
              <w:rPr>
                <w:rFonts w:ascii="Arial" w:cs="Arial" w:eastAsia="Arial" w:hAnsi="Arial"/>
                <w:sz w:val="18"/>
                <w:szCs w:val="18"/>
                <w:color w:val="auto"/>
              </w:rPr>
              <w:t>$ (2)</w:t>
            </w:r>
          </w:p>
        </w:tc>
        <w:tc>
          <w:tcPr>
            <w:tcW w:w="5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gridSpan w:val="2"/>
          </w:tcPr>
          <w:p>
            <w:pPr>
              <w:spacing w:after="0"/>
              <w:rPr>
                <w:sz w:val="20"/>
                <w:szCs w:val="20"/>
                <w:color w:val="auto"/>
              </w:rPr>
            </w:pPr>
            <w:r>
              <w:rPr>
                <w:rFonts w:ascii="Arial" w:cs="Arial" w:eastAsia="Arial" w:hAnsi="Arial"/>
                <w:sz w:val="18"/>
                <w:szCs w:val="18"/>
                <w:color w:val="auto"/>
              </w:rPr>
              <w:t>Mexico operations gross written premiums</w:t>
            </w:r>
          </w:p>
        </w:tc>
        <w:tc>
          <w:tcPr>
            <w:tcW w:w="8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16</w:t>
            </w:r>
          </w:p>
        </w:tc>
        <w:tc>
          <w:tcPr>
            <w:tcW w:w="1040" w:type="dxa"/>
            <w:vAlign w:val="bottom"/>
            <w:gridSpan w:val="2"/>
          </w:tcPr>
          <w:p>
            <w:pPr>
              <w:jc w:val="right"/>
              <w:ind w:right="292"/>
              <w:spacing w:after="0"/>
              <w:rPr>
                <w:sz w:val="20"/>
                <w:szCs w:val="20"/>
                <w:color w:val="auto"/>
              </w:rPr>
            </w:pPr>
            <w:r>
              <w:rPr>
                <w:rFonts w:ascii="Arial" w:cs="Arial" w:eastAsia="Arial" w:hAnsi="Arial"/>
                <w:sz w:val="18"/>
                <w:szCs w:val="18"/>
                <w:color w:val="auto"/>
              </w:rPr>
              <w:t>(16)</w:t>
            </w: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w w:val="89"/>
              </w:rPr>
              <w:t>(100)%</w:t>
            </w:r>
          </w:p>
        </w:tc>
        <w:tc>
          <w:tcPr>
            <w:tcW w:w="16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32</w:t>
            </w:r>
          </w:p>
        </w:tc>
        <w:tc>
          <w:tcPr>
            <w:tcW w:w="1060" w:type="dxa"/>
            <w:vAlign w:val="bottom"/>
            <w:gridSpan w:val="2"/>
          </w:tcPr>
          <w:p>
            <w:pPr>
              <w:jc w:val="right"/>
              <w:ind w:right="292"/>
              <w:spacing w:after="0"/>
              <w:rPr>
                <w:sz w:val="20"/>
                <w:szCs w:val="20"/>
                <w:color w:val="auto"/>
              </w:rPr>
            </w:pPr>
            <w:r>
              <w:rPr>
                <w:rFonts w:ascii="Arial" w:cs="Arial" w:eastAsia="Arial" w:hAnsi="Arial"/>
                <w:sz w:val="18"/>
                <w:szCs w:val="18"/>
                <w:color w:val="auto"/>
              </w:rPr>
              <w:t>(32)</w:t>
            </w: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w w:val="86"/>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earned premiums</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244</w:t>
            </w: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w:t>
            </w:r>
          </w:p>
        </w:tc>
        <w:tc>
          <w:tcPr>
            <w:tcW w:w="1040" w:type="dxa"/>
            <w:vAlign w:val="bottom"/>
            <w:gridSpan w:val="2"/>
            <w:shd w:val="clear" w:color="auto" w:fill="CCEEFF"/>
          </w:tcPr>
          <w:p>
            <w:pPr>
              <w:jc w:val="right"/>
              <w:ind w:right="292"/>
              <w:spacing w:after="0"/>
              <w:rPr>
                <w:sz w:val="20"/>
                <w:szCs w:val="20"/>
                <w:color w:val="auto"/>
              </w:rPr>
            </w:pPr>
            <w:r>
              <w:rPr>
                <w:rFonts w:ascii="Arial" w:cs="Arial" w:eastAsia="Arial" w:hAnsi="Arial"/>
                <w:sz w:val="18"/>
                <w:szCs w:val="18"/>
                <w:color w:val="auto"/>
              </w:rPr>
              <w:t>(40)</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w:t>
            </w:r>
          </w:p>
        </w:tc>
        <w:tc>
          <w:tcPr>
            <w:tcW w:w="8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502</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w:t>
            </w:r>
          </w:p>
        </w:tc>
        <w:tc>
          <w:tcPr>
            <w:tcW w:w="1060" w:type="dxa"/>
            <w:vAlign w:val="bottom"/>
            <w:gridSpan w:val="2"/>
            <w:shd w:val="clear" w:color="auto" w:fill="CCEEFF"/>
          </w:tcPr>
          <w:p>
            <w:pPr>
              <w:jc w:val="right"/>
              <w:ind w:right="292"/>
              <w:spacing w:after="0"/>
              <w:rPr>
                <w:sz w:val="20"/>
                <w:szCs w:val="20"/>
                <w:color w:val="auto"/>
              </w:rPr>
            </w:pPr>
            <w:r>
              <w:rPr>
                <w:rFonts w:ascii="Arial" w:cs="Arial" w:eastAsia="Arial" w:hAnsi="Arial"/>
                <w:sz w:val="18"/>
                <w:szCs w:val="18"/>
                <w:color w:val="auto"/>
              </w:rPr>
              <w:t>(64)</w:t>
            </w: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363"/>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102</w:t>
            </w: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02" w:name="page103"/>
    <w:bookmarkEnd w:id="10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Gross written premiums, premium equivalents and deposits</w:t>
      </w:r>
    </w:p>
    <w:p>
      <w:pPr>
        <w:spacing w:after="0" w:line="90"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The three and six months ended June 30, 2010 included a decrease of $8 million and an increase of $30 million, respectively, attributable to changes in foreign exchange rates. Gross written premiums, premium equivalents and deposits, gross of ceded reinsurance and cancellations, decreased mainly attributable to reduced levels of consumer lending. In the third quarter of 2009, we sold our Mexico operations; therefore, there were no sales in 2010.</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Net earned premiums</w:t>
      </w:r>
    </w:p>
    <w:p>
      <w:pPr>
        <w:spacing w:after="0" w:line="90"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For the three months ended June 30, 2010, the decrease in our lifestyle protection insurance business was primarily attributable to our runoff business. Reduced levels of consumer lending and lower single premium sales related to new business regulations in the U.K. also contributed to the decrease. These decreases were partially offset by a favorable impact from our re-pricing actions taken in the second half of 2009. The three months ended June 30, 2010 included a decrease of $6 million attributable to changes in foreign exchange rates.</w:t>
      </w:r>
    </w:p>
    <w:p>
      <w:pPr>
        <w:spacing w:after="0" w:line="143" w:lineRule="exact"/>
        <w:rPr>
          <w:sz w:val="20"/>
          <w:szCs w:val="20"/>
          <w:color w:val="auto"/>
        </w:rPr>
      </w:pPr>
    </w:p>
    <w:p>
      <w:pPr>
        <w:ind w:right="220" w:firstLine="456"/>
        <w:spacing w:after="0" w:line="318" w:lineRule="auto"/>
        <w:rPr>
          <w:sz w:val="20"/>
          <w:szCs w:val="20"/>
          <w:color w:val="auto"/>
        </w:rPr>
      </w:pPr>
      <w:r>
        <w:rPr>
          <w:rFonts w:ascii="Arial" w:cs="Arial" w:eastAsia="Arial" w:hAnsi="Arial"/>
          <w:sz w:val="15"/>
          <w:szCs w:val="15"/>
          <w:color w:val="auto"/>
        </w:rPr>
        <w:t>For the six months ended June 30, 2010, the decrease in our lifestyle protection insurance business was primarily attributable to our runoff business. Reduced levels of consumer lending and lower single premium sales related to new business regulations in the U.K. also contributed to the decrease. These decreases were partially offset by a favorable impact from our re-pricing actions taken in the second half of 2009. Additionally, there was a favorable premium adjustment related to the timing of receiving client data which was partially offset by an unfavorable reinsurance adjustment in the first quarter of 2010. These adjustments were offset in expenses. The six months ended June 30, 2010 included an increase of $16 million attributable to changes in foreign exchange rates.</w:t>
      </w:r>
    </w:p>
    <w:p>
      <w:pPr>
        <w:spacing w:after="0" w:line="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420"/>
          </w:cols>
          <w:pgMar w:left="240" w:top="459" w:right="239" w:bottom="1440" w:gutter="0" w:footer="0" w:header="0"/>
        </w:sectPr>
      </w:pPr>
    </w:p>
    <w:bookmarkStart w:id="103" w:name="page104"/>
    <w:bookmarkEnd w:id="10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Mortgage Insurance segment</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 of operations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2010 Compared to Three Months Ended June 30, 2009</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results of operations relating to our U.S. Mortgage Insurance segment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center"/>
              <w:ind w:left="137"/>
              <w:spacing w:after="0"/>
              <w:rPr>
                <w:sz w:val="20"/>
                <w:szCs w:val="20"/>
                <w:color w:val="auto"/>
              </w:rPr>
            </w:pPr>
            <w:r>
              <w:rPr>
                <w:rFonts w:ascii="Arial" w:cs="Arial" w:eastAsia="Arial" w:hAnsi="Arial"/>
                <w:sz w:val="14"/>
                <w:szCs w:val="14"/>
                <w:b w:val="1"/>
                <w:bCs w:val="1"/>
                <w:color w:val="auto"/>
                <w:w w:val="84"/>
              </w:rPr>
              <w:t>Increase</w:t>
            </w:r>
          </w:p>
        </w:tc>
        <w:tc>
          <w:tcPr>
            <w:tcW w:w="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900" w:type="dxa"/>
            <w:vAlign w:val="bottom"/>
            <w:gridSpan w:val="6"/>
          </w:tcPr>
          <w:p>
            <w:pPr>
              <w:jc w:val="right"/>
              <w:ind w:right="580"/>
              <w:spacing w:after="0" w:line="149" w:lineRule="exact"/>
              <w:rPr>
                <w:sz w:val="20"/>
                <w:szCs w:val="20"/>
                <w:color w:val="auto"/>
              </w:rPr>
            </w:pPr>
            <w:r>
              <w:rPr>
                <w:rFonts w:ascii="Arial" w:cs="Arial" w:eastAsia="Arial" w:hAnsi="Arial"/>
                <w:sz w:val="14"/>
                <w:szCs w:val="14"/>
                <w:b w:val="1"/>
                <w:bCs w:val="1"/>
                <w:color w:val="auto"/>
                <w:w w:val="94"/>
              </w:rPr>
              <w:t>Three months ended</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left="117"/>
              <w:spacing w:after="0" w:line="149" w:lineRule="exact"/>
              <w:rPr>
                <w:sz w:val="20"/>
                <w:szCs w:val="20"/>
                <w:color w:val="auto"/>
              </w:rPr>
            </w:pPr>
            <w:r>
              <w:rPr>
                <w:rFonts w:ascii="Arial" w:cs="Arial" w:eastAsia="Arial" w:hAnsi="Arial"/>
                <w:sz w:val="14"/>
                <w:szCs w:val="14"/>
                <w:b w:val="1"/>
                <w:bCs w:val="1"/>
                <w:color w:val="auto"/>
                <w:w w:val="82"/>
              </w:rPr>
              <w:t>percentage</w:t>
            </w: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76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w w:val="82"/>
              </w:rPr>
              <w:t>June 30,</w:t>
            </w:r>
          </w:p>
        </w:tc>
        <w:tc>
          <w:tcPr>
            <w:tcW w:w="44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1"/>
              </w:rPr>
              <w:t>change</w:t>
            </w:r>
          </w:p>
        </w:tc>
        <w:tc>
          <w:tcPr>
            <w:tcW w:w="30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60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5"/>
              <w:spacing w:after="0" w:line="142" w:lineRule="exact"/>
              <w:rPr>
                <w:sz w:val="20"/>
                <w:szCs w:val="20"/>
                <w:color w:val="auto"/>
              </w:rPr>
            </w:pPr>
            <w:r>
              <w:rPr>
                <w:rFonts w:ascii="Arial" w:cs="Arial" w:eastAsia="Arial" w:hAnsi="Arial"/>
                <w:sz w:val="14"/>
                <w:szCs w:val="14"/>
                <w:b w:val="1"/>
                <w:bCs w:val="1"/>
                <w:color w:val="auto"/>
                <w:w w:val="89"/>
              </w:rPr>
              <w:t>2010</w:t>
            </w: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4"/>
              <w:spacing w:after="0" w:line="142" w:lineRule="exact"/>
              <w:rPr>
                <w:sz w:val="20"/>
                <w:szCs w:val="20"/>
                <w:color w:val="auto"/>
              </w:rPr>
            </w:pPr>
            <w:r>
              <w:rPr>
                <w:rFonts w:ascii="Arial" w:cs="Arial" w:eastAsia="Arial" w:hAnsi="Arial"/>
                <w:sz w:val="14"/>
                <w:szCs w:val="14"/>
                <w:b w:val="1"/>
                <w:bCs w:val="1"/>
                <w:color w:val="auto"/>
                <w:w w:val="89"/>
              </w:rPr>
              <w:t>2009</w:t>
            </w: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62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tcPr>
          <w:p>
            <w:pPr>
              <w:spacing w:after="0"/>
              <w:rPr>
                <w:sz w:val="20"/>
                <w:szCs w:val="20"/>
                <w:color w:val="auto"/>
              </w:rPr>
            </w:pPr>
            <w:r>
              <w:rPr>
                <w:rFonts w:ascii="Arial" w:cs="Arial" w:eastAsia="Arial" w:hAnsi="Arial"/>
                <w:sz w:val="18"/>
                <w:szCs w:val="18"/>
                <w:color w:val="auto"/>
              </w:rPr>
              <w:t>Premiums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rPr>
              <w:t>153</w:t>
            </w: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164</w:t>
            </w:r>
          </w:p>
        </w:tc>
        <w:tc>
          <w:tcPr>
            <w:tcW w:w="320" w:type="dxa"/>
            <w:vAlign w:val="bottom"/>
          </w:tcPr>
          <w:p>
            <w:pPr>
              <w:spacing w:after="0"/>
              <w:rPr>
                <w:sz w:val="18"/>
                <w:szCs w:val="18"/>
                <w:color w:val="auto"/>
              </w:rPr>
            </w:pP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(11)</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31</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(4)</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tcPr>
          <w:p>
            <w:pPr>
              <w:spacing w:after="0"/>
              <w:rPr>
                <w:sz w:val="20"/>
                <w:szCs w:val="20"/>
                <w:color w:val="auto"/>
              </w:rPr>
            </w:pPr>
            <w:r>
              <w:rPr>
                <w:rFonts w:ascii="Arial" w:cs="Arial" w:eastAsia="Arial" w:hAnsi="Arial"/>
                <w:sz w:val="18"/>
                <w:szCs w:val="18"/>
                <w:color w:val="auto"/>
              </w:rPr>
              <w:t>Net investment gains (losses)</w:t>
            </w:r>
          </w:p>
        </w:tc>
        <w:tc>
          <w:tcPr>
            <w:tcW w:w="100" w:type="dxa"/>
            <w:vAlign w:val="bottom"/>
          </w:tcPr>
          <w:p>
            <w:pPr>
              <w:spacing w:after="0"/>
              <w:rPr>
                <w:sz w:val="18"/>
                <w:szCs w:val="18"/>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(3)</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(3)</w:t>
            </w:r>
          </w:p>
        </w:tc>
        <w:tc>
          <w:tcPr>
            <w:tcW w:w="560" w:type="dxa"/>
            <w:vAlign w:val="bottom"/>
            <w:gridSpan w:val="2"/>
          </w:tcPr>
          <w:p>
            <w:pPr>
              <w:ind w:left="2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12"/>
              <w:spacing w:after="0"/>
              <w:rPr>
                <w:sz w:val="20"/>
                <w:szCs w:val="20"/>
                <w:color w:val="auto"/>
              </w:rPr>
            </w:pPr>
            <w:r>
              <w:rPr>
                <w:rFonts w:ascii="Arial" w:cs="Arial" w:eastAsia="Arial" w:hAnsi="Arial"/>
                <w:sz w:val="18"/>
                <w:szCs w:val="18"/>
                <w:color w:val="auto"/>
              </w:rPr>
              <w:t>3</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1"/>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58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revenues</w:t>
            </w: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6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rPr>
              <w:t>(8)%</w:t>
            </w: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58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181</w:t>
            </w: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196</w:t>
            </w:r>
          </w:p>
        </w:tc>
        <w:tc>
          <w:tcPr>
            <w:tcW w:w="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(15)</w:t>
            </w:r>
          </w:p>
        </w:tc>
        <w:tc>
          <w:tcPr>
            <w:tcW w:w="56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tcPr>
          <w:p>
            <w:pPr>
              <w:spacing w:after="0"/>
              <w:rPr>
                <w:sz w:val="20"/>
                <w:szCs w:val="20"/>
                <w:color w:val="auto"/>
              </w:rPr>
            </w:pPr>
            <w:r>
              <w:rPr>
                <w:rFonts w:ascii="Arial" w:cs="Arial" w:eastAsia="Arial" w:hAnsi="Arial"/>
                <w:sz w:val="18"/>
                <w:szCs w:val="18"/>
                <w:color w:val="auto"/>
              </w:rPr>
              <w:t>Benefits and other changes in policy reserves</w:t>
            </w:r>
          </w:p>
        </w:tc>
        <w:tc>
          <w:tcPr>
            <w:tcW w:w="100" w:type="dxa"/>
            <w:vAlign w:val="bottom"/>
          </w:tcPr>
          <w:p>
            <w:pPr>
              <w:spacing w:after="0"/>
              <w:rPr>
                <w:sz w:val="18"/>
                <w:szCs w:val="18"/>
                <w:color w:val="auto"/>
              </w:rPr>
            </w:pP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rPr>
              <w:t>216</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371</w:t>
            </w: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w w:val="85"/>
              </w:rPr>
              <w:t>(155)</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w w:val="99"/>
              </w:rPr>
              <w:t>(42)%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Acquisition and operating expenses, net of deferrals</w:t>
            </w: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33</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92"/>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w:t>
            </w: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5</w:t>
            </w: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(1)</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w w:val="99"/>
              </w:rPr>
              <w:t>(20)%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benefits and expenses</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w w:val="85"/>
              </w:rPr>
              <w:t>(156)</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9"/>
              </w:rPr>
              <w:t>(38)%</w:t>
            </w:r>
          </w:p>
        </w:tc>
        <w:tc>
          <w:tcPr>
            <w:tcW w:w="0" w:type="dxa"/>
            <w:vAlign w:val="bottom"/>
          </w:tcPr>
          <w:p>
            <w:pPr>
              <w:spacing w:after="0"/>
              <w:rPr>
                <w:sz w:val="1"/>
                <w:szCs w:val="1"/>
                <w:color w:val="auto"/>
              </w:rPr>
            </w:pPr>
          </w:p>
        </w:tc>
      </w:tr>
      <w:tr>
        <w:trPr>
          <w:trHeight w:val="20"/>
        </w:trPr>
        <w:tc>
          <w:tcPr>
            <w:tcW w:w="7600" w:type="dxa"/>
            <w:vAlign w:val="bottom"/>
            <w:gridSpan w:val="3"/>
            <w:vMerge w:val="restart"/>
          </w:tcPr>
          <w:p>
            <w:pPr>
              <w:spacing w:after="0"/>
              <w:rPr>
                <w:sz w:val="20"/>
                <w:szCs w:val="20"/>
                <w:color w:val="auto"/>
              </w:rPr>
            </w:pPr>
            <w:r>
              <w:rPr>
                <w:rFonts w:ascii="Arial" w:cs="Arial" w:eastAsia="Arial" w:hAnsi="Arial"/>
                <w:sz w:val="18"/>
                <w:szCs w:val="18"/>
                <w:color w:val="auto"/>
              </w:rPr>
              <w:t>Loss before income taxes</w:t>
            </w: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6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66%</w:t>
            </w:r>
          </w:p>
        </w:tc>
        <w:tc>
          <w:tcPr>
            <w:tcW w:w="0" w:type="dxa"/>
            <w:vAlign w:val="bottom"/>
          </w:tcPr>
          <w:p>
            <w:pPr>
              <w:spacing w:after="0" w:line="20" w:lineRule="exact"/>
              <w:rPr>
                <w:sz w:val="1"/>
                <w:szCs w:val="1"/>
                <w:color w:val="auto"/>
              </w:rPr>
            </w:pPr>
          </w:p>
        </w:tc>
      </w:tr>
      <w:tr>
        <w:trPr>
          <w:trHeight w:val="221"/>
        </w:trPr>
        <w:tc>
          <w:tcPr>
            <w:tcW w:w="7600" w:type="dxa"/>
            <w:vAlign w:val="bottom"/>
            <w:gridSpan w:val="3"/>
            <w:vMerge w:val="continue"/>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(72)</w:t>
            </w: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gridSpan w:val="2"/>
          </w:tcPr>
          <w:p>
            <w:pPr>
              <w:jc w:val="right"/>
              <w:ind w:right="260"/>
              <w:spacing w:after="0"/>
              <w:rPr>
                <w:sz w:val="20"/>
                <w:szCs w:val="20"/>
                <w:color w:val="auto"/>
              </w:rPr>
            </w:pPr>
            <w:r>
              <w:rPr>
                <w:rFonts w:ascii="Arial" w:cs="Arial" w:eastAsia="Arial" w:hAnsi="Arial"/>
                <w:sz w:val="18"/>
                <w:szCs w:val="18"/>
                <w:color w:val="auto"/>
              </w:rPr>
              <w:t>(213)</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512"/>
              <w:spacing w:after="0"/>
              <w:rPr>
                <w:sz w:val="20"/>
                <w:szCs w:val="20"/>
                <w:color w:val="auto"/>
              </w:rPr>
            </w:pPr>
            <w:r>
              <w:rPr>
                <w:rFonts w:ascii="Arial" w:cs="Arial" w:eastAsia="Arial" w:hAnsi="Arial"/>
                <w:sz w:val="18"/>
                <w:szCs w:val="18"/>
                <w:color w:val="auto"/>
                <w:w w:val="99"/>
              </w:rPr>
              <w:t>141</w:t>
            </w:r>
          </w:p>
        </w:tc>
        <w:tc>
          <w:tcPr>
            <w:tcW w:w="5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 for income taxes</w:t>
            </w: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(79)</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12"/>
              <w:spacing w:after="0"/>
              <w:rPr>
                <w:sz w:val="20"/>
                <w:szCs w:val="20"/>
                <w:color w:val="auto"/>
              </w:rPr>
            </w:pPr>
            <w:r>
              <w:rPr>
                <w:rFonts w:ascii="Arial" w:cs="Arial" w:eastAsia="Arial" w:hAnsi="Arial"/>
                <w:sz w:val="18"/>
                <w:szCs w:val="18"/>
                <w:color w:val="auto"/>
              </w:rPr>
              <w:t>50</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0"/>
        </w:trPr>
        <w:tc>
          <w:tcPr>
            <w:tcW w:w="7600" w:type="dxa"/>
            <w:vAlign w:val="bottom"/>
            <w:gridSpan w:val="3"/>
            <w:vMerge w:val="restart"/>
          </w:tcPr>
          <w:p>
            <w:pPr>
              <w:spacing w:after="0"/>
              <w:rPr>
                <w:sz w:val="20"/>
                <w:szCs w:val="20"/>
                <w:color w:val="auto"/>
              </w:rPr>
            </w:pPr>
            <w:r>
              <w:rPr>
                <w:rFonts w:ascii="Arial" w:cs="Arial" w:eastAsia="Arial" w:hAnsi="Arial"/>
                <w:sz w:val="18"/>
                <w:szCs w:val="18"/>
                <w:color w:val="auto"/>
              </w:rPr>
              <w:t>Net loss available to Genworth Financial, Inc.’s common stockholders</w:t>
            </w: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6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68%</w:t>
            </w:r>
          </w:p>
        </w:tc>
        <w:tc>
          <w:tcPr>
            <w:tcW w:w="0" w:type="dxa"/>
            <w:vAlign w:val="bottom"/>
          </w:tcPr>
          <w:p>
            <w:pPr>
              <w:spacing w:after="0" w:line="20" w:lineRule="exact"/>
              <w:rPr>
                <w:sz w:val="1"/>
                <w:szCs w:val="1"/>
                <w:color w:val="auto"/>
              </w:rPr>
            </w:pPr>
          </w:p>
        </w:tc>
      </w:tr>
      <w:tr>
        <w:trPr>
          <w:trHeight w:val="221"/>
        </w:trPr>
        <w:tc>
          <w:tcPr>
            <w:tcW w:w="7600" w:type="dxa"/>
            <w:vAlign w:val="bottom"/>
            <w:gridSpan w:val="3"/>
            <w:vMerge w:val="continue"/>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(43)</w:t>
            </w: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gridSpan w:val="2"/>
          </w:tcPr>
          <w:p>
            <w:pPr>
              <w:jc w:val="right"/>
              <w:ind w:right="260"/>
              <w:spacing w:after="0"/>
              <w:rPr>
                <w:sz w:val="20"/>
                <w:szCs w:val="20"/>
                <w:color w:val="auto"/>
              </w:rPr>
            </w:pPr>
            <w:r>
              <w:rPr>
                <w:rFonts w:ascii="Arial" w:cs="Arial" w:eastAsia="Arial" w:hAnsi="Arial"/>
                <w:sz w:val="18"/>
                <w:szCs w:val="18"/>
                <w:color w:val="auto"/>
              </w:rPr>
              <w:t>(134)</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512"/>
              <w:spacing w:after="0"/>
              <w:rPr>
                <w:sz w:val="20"/>
                <w:szCs w:val="20"/>
                <w:color w:val="auto"/>
              </w:rPr>
            </w:pPr>
            <w:r>
              <w:rPr>
                <w:rFonts w:ascii="Arial" w:cs="Arial" w:eastAsia="Arial" w:hAnsi="Arial"/>
                <w:sz w:val="18"/>
                <w:szCs w:val="18"/>
                <w:color w:val="auto"/>
              </w:rPr>
              <w:t>91</w:t>
            </w:r>
          </w:p>
        </w:tc>
        <w:tc>
          <w:tcPr>
            <w:tcW w:w="5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 to net loss available to Genworth Financial, Inc.’s common stockholders:</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80" w:type="dxa"/>
            <w:vAlign w:val="bottom"/>
            <w:gridSpan w:val="2"/>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w:t>
            </w: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512"/>
              <w:spacing w:after="0"/>
              <w:rPr>
                <w:sz w:val="20"/>
                <w:szCs w:val="20"/>
                <w:color w:val="auto"/>
              </w:rPr>
            </w:pPr>
            <w:r>
              <w:rPr>
                <w:rFonts w:ascii="Arial" w:cs="Arial" w:eastAsia="Arial" w:hAnsi="Arial"/>
                <w:sz w:val="18"/>
                <w:szCs w:val="18"/>
                <w:color w:val="auto"/>
              </w:rPr>
              <w:t>3</w:t>
            </w:r>
          </w:p>
        </w:tc>
        <w:tc>
          <w:tcPr>
            <w:tcW w:w="560" w:type="dxa"/>
            <w:vAlign w:val="bottom"/>
            <w:gridSpan w:val="2"/>
          </w:tcPr>
          <w:p>
            <w:pPr>
              <w:ind w:left="2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6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operating loss available to Genworth Financial, Inc.’s common stockholders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(134)</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512"/>
              <w:spacing w:after="0"/>
              <w:rPr>
                <w:sz w:val="20"/>
                <w:szCs w:val="20"/>
                <w:color w:val="auto"/>
              </w:rPr>
            </w:pPr>
            <w:r>
              <w:rPr>
                <w:rFonts w:ascii="Arial" w:cs="Arial" w:eastAsia="Arial" w:hAnsi="Arial"/>
                <w:sz w:val="18"/>
                <w:szCs w:val="18"/>
                <w:color w:val="auto"/>
              </w:rPr>
              <w:t>94</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93"/>
        </w:numPr>
        <w:rPr>
          <w:rFonts w:ascii="Arial" w:cs="Arial" w:eastAsia="Arial" w:hAnsi="Arial"/>
          <w:sz w:val="22"/>
          <w:szCs w:val="22"/>
          <w:color w:val="auto"/>
          <w:vertAlign w:val="superscript"/>
        </w:rPr>
      </w:pPr>
      <w:r>
        <w:rPr>
          <w:rFonts w:ascii="Arial" w:cs="Arial" w:eastAsia="Arial" w:hAnsi="Arial"/>
          <w:sz w:val="18"/>
          <w:szCs w:val="18"/>
          <w:color w:val="auto"/>
        </w:rPr>
        <w:t>We define “NM” as not meaningful for increases or decreases greater than 200%.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operating loss available to Genworth Financial, Inc.’s common stockholders</w:t>
      </w:r>
    </w:p>
    <w:p>
      <w:pPr>
        <w:spacing w:after="0" w:line="90"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The decrease in the net operating loss available to Genworth Financial, Inc.’s common stockholders was as a result of moderating losses from a decrease in delinquencies and increasing loss mitigation activities, including settlements, in 2010.</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90"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Premiums decreased primarily driven by lower new insurance written as a result of a smaller mortgage insurance market and policy coverage rescission activity, partially offset by the favorable impact of rate increases and an increase in flow persistency from 81% for the three months ended June 30, 2009 to 88% for the three months ended June 30, 2010.</w:t>
      </w:r>
    </w:p>
    <w:p>
      <w:pPr>
        <w:spacing w:after="0" w:line="140"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Net investment income decreased primarily from lower average invested assets. Net investment income in 2010 included $2 million of lower losses related to limited partnerships accounted for under the equity method.</w:t>
      </w:r>
    </w:p>
    <w:p>
      <w:pPr>
        <w:spacing w:after="0" w:line="132"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Net investment losses in 2010 were as a result of a decrease in gains on sales of investments from portfolio repositioning activities for the three months ended June 30, 2010 compared to the three months ended June 30, 2009.</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104</w:t>
      </w:r>
    </w:p>
    <w:p>
      <w:pPr>
        <w:sectPr>
          <w:pgSz w:w="11900" w:h="16838" w:orient="portrait"/>
          <w:cols w:equalWidth="0" w:num="1">
            <w:col w:w="11420"/>
          </w:cols>
          <w:pgMar w:left="240" w:top="459" w:right="239" w:bottom="1440" w:gutter="0" w:footer="0" w:header="0"/>
        </w:sectPr>
      </w:pPr>
    </w:p>
    <w:bookmarkStart w:id="104" w:name="page105"/>
    <w:bookmarkEnd w:id="10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Insurance and investment product fees and other income increased primarily from the cancellation of a capital maintenance agreement with our European international mortgage insurance business in the second quarter of 2009.</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Benefits and expenses</w:t>
      </w:r>
    </w:p>
    <w:p>
      <w:pPr>
        <w:spacing w:after="0" w:line="90"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Benefits and other changes in policy reserves decreased due to a decrease in change in reserves of $202 million and an increase in net paid claims of $46 million. The decrease in change in reserves was primarily driven by a decrease in delinquencies from the fourth quarter of 2009 related to increased loss mitigation efforts. The increase in paid claims was attributable to an increase in average claim payments reflecting higher loan balances in more recent book years and higher claim counts. Benefits and other changes in reserves included a reinsurance credit principally related to our captive reinsurance arrangements of $55 million and $76 million for the three months ended June 30, 2010 and 2009, respectively.</w:t>
      </w:r>
    </w:p>
    <w:p>
      <w:pPr>
        <w:spacing w:after="0" w:line="116" w:lineRule="exact"/>
        <w:rPr>
          <w:sz w:val="20"/>
          <w:szCs w:val="20"/>
          <w:color w:val="auto"/>
        </w:rPr>
      </w:pPr>
    </w:p>
    <w:p>
      <w:pPr>
        <w:ind w:right="280" w:firstLine="456"/>
        <w:spacing w:after="0" w:line="259" w:lineRule="auto"/>
        <w:rPr>
          <w:sz w:val="20"/>
          <w:szCs w:val="20"/>
          <w:color w:val="auto"/>
        </w:rPr>
      </w:pPr>
      <w:r>
        <w:rPr>
          <w:rFonts w:ascii="Arial" w:cs="Arial" w:eastAsia="Arial" w:hAnsi="Arial"/>
          <w:sz w:val="18"/>
          <w:szCs w:val="18"/>
          <w:i w:val="1"/>
          <w:iCs w:val="1"/>
          <w:color w:val="auto"/>
        </w:rPr>
        <w:t xml:space="preserve">Benefit for income taxes. </w:t>
      </w:r>
      <w:r>
        <w:rPr>
          <w:rFonts w:ascii="Arial" w:cs="Arial" w:eastAsia="Arial" w:hAnsi="Arial"/>
          <w:sz w:val="18"/>
          <w:szCs w:val="18"/>
          <w:color w:val="auto"/>
        </w:rPr>
        <w:t>The effective tax rate increased to 40.3% for the three months ended June 30, 2010 from 37.1% for the three months ended</w:t>
      </w:r>
      <w:r>
        <w:rPr>
          <w:rFonts w:ascii="Arial" w:cs="Arial" w:eastAsia="Arial" w:hAnsi="Arial"/>
          <w:sz w:val="18"/>
          <w:szCs w:val="18"/>
          <w:i w:val="1"/>
          <w:iCs w:val="1"/>
          <w:color w:val="auto"/>
        </w:rPr>
        <w:t xml:space="preserve"> </w:t>
      </w:r>
      <w:r>
        <w:rPr>
          <w:rFonts w:ascii="Arial" w:cs="Arial" w:eastAsia="Arial" w:hAnsi="Arial"/>
          <w:sz w:val="18"/>
          <w:szCs w:val="18"/>
          <w:color w:val="auto"/>
        </w:rPr>
        <w:t>June 30, 2009. This increase in the effective tax rate was primarily attributable to proportion of tax favored investment income and to the effects of interim tax accounting standards in the prior year.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2010 Compared to Six Months Ended June 30, 2009</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results of operations relating to our U.S. Mortgage Insurance segment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4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84"/>
              </w:rPr>
              <w:t>Increase</w:t>
            </w: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4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0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4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160" w:type="dxa"/>
            <w:vAlign w:val="bottom"/>
            <w:gridSpan w:val="6"/>
          </w:tcPr>
          <w:p>
            <w:pPr>
              <w:jc w:val="right"/>
              <w:ind w:right="920"/>
              <w:spacing w:after="0" w:line="149" w:lineRule="exact"/>
              <w:rPr>
                <w:sz w:val="20"/>
                <w:szCs w:val="20"/>
                <w:color w:val="auto"/>
              </w:rPr>
            </w:pPr>
            <w:r>
              <w:rPr>
                <w:rFonts w:ascii="Arial" w:cs="Arial" w:eastAsia="Arial" w:hAnsi="Arial"/>
                <w:sz w:val="14"/>
                <w:szCs w:val="14"/>
                <w:b w:val="1"/>
                <w:bCs w:val="1"/>
                <w:color w:val="auto"/>
              </w:rPr>
              <w:t>Six months ended</w:t>
            </w:r>
          </w:p>
        </w:tc>
        <w:tc>
          <w:tcPr>
            <w:tcW w:w="100" w:type="dxa"/>
            <w:vAlign w:val="bottom"/>
          </w:tcPr>
          <w:p>
            <w:pPr>
              <w:spacing w:after="0"/>
              <w:rPr>
                <w:sz w:val="12"/>
                <w:szCs w:val="12"/>
                <w:color w:val="auto"/>
              </w:rPr>
            </w:pPr>
          </w:p>
        </w:tc>
        <w:tc>
          <w:tcPr>
            <w:tcW w:w="900" w:type="dxa"/>
            <w:vAlign w:val="bottom"/>
            <w:gridSpan w:val="2"/>
          </w:tcPr>
          <w:p>
            <w:pPr>
              <w:jc w:val="center"/>
              <w:ind w:left="156"/>
              <w:spacing w:after="0" w:line="149" w:lineRule="exact"/>
              <w:rPr>
                <w:sz w:val="20"/>
                <w:szCs w:val="20"/>
                <w:color w:val="auto"/>
              </w:rPr>
            </w:pPr>
            <w:r>
              <w:rPr>
                <w:rFonts w:ascii="Arial" w:cs="Arial" w:eastAsia="Arial" w:hAnsi="Arial"/>
                <w:sz w:val="14"/>
                <w:szCs w:val="14"/>
                <w:b w:val="1"/>
                <w:bCs w:val="1"/>
                <w:color w:val="auto"/>
                <w:w w:val="82"/>
              </w:rPr>
              <w:t>percentage</w:t>
            </w: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67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7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w w:val="82"/>
              </w:rPr>
              <w:t>June 30,</w:t>
            </w:r>
          </w:p>
        </w:tc>
        <w:tc>
          <w:tcPr>
            <w:tcW w:w="440" w:type="dxa"/>
            <w:vAlign w:val="bottom"/>
            <w:tcBorders>
              <w:bottom w:val="single" w:sz="8" w:color="auto"/>
            </w:tcBorders>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change</w:t>
            </w:r>
          </w:p>
        </w:tc>
        <w:tc>
          <w:tcPr>
            <w:tcW w:w="3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780" w:type="dxa"/>
            <w:vAlign w:val="bottom"/>
            <w:gridSpan w:val="3"/>
            <w:vMerge w:val="continue"/>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5"/>
              <w:spacing w:after="0" w:line="142" w:lineRule="exact"/>
              <w:rPr>
                <w:sz w:val="20"/>
                <w:szCs w:val="20"/>
                <w:color w:val="auto"/>
              </w:rPr>
            </w:pPr>
            <w:r>
              <w:rPr>
                <w:rFonts w:ascii="Arial" w:cs="Arial" w:eastAsia="Arial" w:hAnsi="Arial"/>
                <w:sz w:val="14"/>
                <w:szCs w:val="14"/>
                <w:b w:val="1"/>
                <w:bCs w:val="1"/>
                <w:color w:val="auto"/>
                <w:w w:val="89"/>
              </w:rPr>
              <w:t>2010</w:t>
            </w: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4"/>
              <w:spacing w:after="0" w:line="142" w:lineRule="exact"/>
              <w:rPr>
                <w:sz w:val="20"/>
                <w:szCs w:val="20"/>
                <w:color w:val="auto"/>
              </w:rPr>
            </w:pPr>
            <w:r>
              <w:rPr>
                <w:rFonts w:ascii="Arial" w:cs="Arial" w:eastAsia="Arial" w:hAnsi="Arial"/>
                <w:sz w:val="14"/>
                <w:szCs w:val="14"/>
                <w:b w:val="1"/>
                <w:bCs w:val="1"/>
                <w:color w:val="auto"/>
                <w:w w:val="89"/>
              </w:rPr>
              <w:t>2009</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54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spacing w:after="0"/>
              <w:rPr>
                <w:sz w:val="20"/>
                <w:szCs w:val="20"/>
                <w:color w:val="auto"/>
              </w:rPr>
            </w:pPr>
            <w:r>
              <w:rPr>
                <w:rFonts w:ascii="Arial" w:cs="Arial" w:eastAsia="Arial" w:hAnsi="Arial"/>
                <w:sz w:val="18"/>
                <w:szCs w:val="18"/>
                <w:color w:val="auto"/>
              </w:rPr>
              <w:t>Premiums</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295</w:t>
            </w:r>
          </w:p>
        </w:tc>
        <w:tc>
          <w:tcPr>
            <w:tcW w:w="6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580"/>
              <w:spacing w:after="0"/>
              <w:rPr>
                <w:sz w:val="20"/>
                <w:szCs w:val="20"/>
                <w:color w:val="auto"/>
              </w:rPr>
            </w:pPr>
            <w:r>
              <w:rPr>
                <w:rFonts w:ascii="Arial" w:cs="Arial" w:eastAsia="Arial" w:hAnsi="Arial"/>
                <w:sz w:val="18"/>
                <w:szCs w:val="18"/>
                <w:color w:val="auto"/>
              </w:rPr>
              <w:t>334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(39)</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68</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(7)</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spacing w:after="0"/>
              <w:rPr>
                <w:sz w:val="20"/>
                <w:szCs w:val="20"/>
                <w:color w:val="auto"/>
              </w:rPr>
            </w:pPr>
            <w:r>
              <w:rPr>
                <w:rFonts w:ascii="Arial" w:cs="Arial" w:eastAsia="Arial" w:hAnsi="Arial"/>
                <w:sz w:val="18"/>
                <w:szCs w:val="18"/>
                <w:color w:val="auto"/>
              </w:rPr>
              <w:t>Net investment gains (losses)</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w:t>
            </w: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20</w:t>
            </w:r>
          </w:p>
        </w:tc>
        <w:tc>
          <w:tcPr>
            <w:tcW w:w="58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w w:val="99"/>
              </w:rPr>
              <w:t>105%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7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5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5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760" w:type="dxa"/>
            <w:vAlign w:val="bottom"/>
            <w:gridSpan w:val="2"/>
          </w:tcPr>
          <w:p>
            <w:pPr>
              <w:ind w:left="420"/>
              <w:spacing w:after="0"/>
              <w:rPr>
                <w:sz w:val="20"/>
                <w:szCs w:val="20"/>
                <w:color w:val="auto"/>
              </w:rPr>
            </w:pPr>
            <w:r>
              <w:rPr>
                <w:rFonts w:ascii="Arial" w:cs="Arial" w:eastAsia="Arial" w:hAnsi="Arial"/>
                <w:sz w:val="18"/>
                <w:szCs w:val="18"/>
                <w:color w:val="auto"/>
              </w:rPr>
              <w:t>Total revenues</w:t>
            </w: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362</w:t>
            </w: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gridSpan w:val="2"/>
          </w:tcPr>
          <w:p>
            <w:pPr>
              <w:jc w:val="right"/>
              <w:ind w:right="580"/>
              <w:spacing w:after="0"/>
              <w:rPr>
                <w:sz w:val="20"/>
                <w:szCs w:val="20"/>
                <w:color w:val="auto"/>
              </w:rPr>
            </w:pPr>
            <w:r>
              <w:rPr>
                <w:rFonts w:ascii="Arial" w:cs="Arial" w:eastAsia="Arial" w:hAnsi="Arial"/>
                <w:sz w:val="18"/>
                <w:szCs w:val="18"/>
                <w:color w:val="auto"/>
              </w:rPr>
              <w:t>384</w:t>
            </w:r>
          </w:p>
        </w:tc>
        <w:tc>
          <w:tcPr>
            <w:tcW w:w="100" w:type="dxa"/>
            <w:vAlign w:val="bottom"/>
          </w:tcPr>
          <w:p>
            <w:pPr>
              <w:spacing w:after="0"/>
              <w:rPr>
                <w:sz w:val="20"/>
                <w:szCs w:val="20"/>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(22)</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7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spacing w:after="0"/>
              <w:rPr>
                <w:sz w:val="20"/>
                <w:szCs w:val="20"/>
                <w:color w:val="auto"/>
              </w:rPr>
            </w:pPr>
            <w:r>
              <w:rPr>
                <w:rFonts w:ascii="Arial" w:cs="Arial" w:eastAsia="Arial" w:hAnsi="Arial"/>
                <w:sz w:val="18"/>
                <w:szCs w:val="18"/>
                <w:color w:val="auto"/>
              </w:rPr>
              <w:t>Benefits and other changes in policy reserves</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412</w:t>
            </w: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580"/>
              <w:spacing w:after="0"/>
              <w:rPr>
                <w:sz w:val="20"/>
                <w:szCs w:val="20"/>
                <w:color w:val="auto"/>
              </w:rPr>
            </w:pPr>
            <w:r>
              <w:rPr>
                <w:rFonts w:ascii="Arial" w:cs="Arial" w:eastAsia="Arial" w:hAnsi="Arial"/>
                <w:sz w:val="18"/>
                <w:szCs w:val="18"/>
                <w:color w:val="auto"/>
              </w:rPr>
              <w:t>774</w:t>
            </w:r>
          </w:p>
        </w:tc>
        <w:tc>
          <w:tcPr>
            <w:tcW w:w="100" w:type="dxa"/>
            <w:vAlign w:val="bottom"/>
          </w:tcPr>
          <w:p>
            <w:pPr>
              <w:spacing w:after="0"/>
              <w:rPr>
                <w:sz w:val="18"/>
                <w:szCs w:val="18"/>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w w:val="85"/>
              </w:rPr>
              <w:t>(362)</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Acquisition and operating expenses, net of deferrals</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65</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5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7</w:t>
            </w: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10</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(3)</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4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benefits and expenses</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486</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849</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w w:val="85"/>
              </w:rPr>
              <w:t>(363)</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0"/>
        </w:trPr>
        <w:tc>
          <w:tcPr>
            <w:tcW w:w="6780" w:type="dxa"/>
            <w:vAlign w:val="bottom"/>
            <w:gridSpan w:val="3"/>
            <w:vMerge w:val="restart"/>
          </w:tcPr>
          <w:p>
            <w:pPr>
              <w:spacing w:after="0"/>
              <w:rPr>
                <w:sz w:val="20"/>
                <w:szCs w:val="20"/>
                <w:color w:val="auto"/>
              </w:rPr>
            </w:pPr>
            <w:r>
              <w:rPr>
                <w:rFonts w:ascii="Arial" w:cs="Arial" w:eastAsia="Arial" w:hAnsi="Arial"/>
                <w:sz w:val="18"/>
                <w:szCs w:val="18"/>
                <w:color w:val="auto"/>
              </w:rPr>
              <w:t>Loss before income taxes</w:t>
            </w:r>
          </w:p>
        </w:tc>
        <w:tc>
          <w:tcPr>
            <w:tcW w:w="7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0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73%</w:t>
            </w:r>
          </w:p>
        </w:tc>
        <w:tc>
          <w:tcPr>
            <w:tcW w:w="0" w:type="dxa"/>
            <w:vAlign w:val="bottom"/>
          </w:tcPr>
          <w:p>
            <w:pPr>
              <w:spacing w:after="0" w:line="20" w:lineRule="exact"/>
              <w:rPr>
                <w:sz w:val="1"/>
                <w:szCs w:val="1"/>
                <w:color w:val="auto"/>
              </w:rPr>
            </w:pPr>
          </w:p>
        </w:tc>
      </w:tr>
      <w:tr>
        <w:trPr>
          <w:trHeight w:val="221"/>
        </w:trPr>
        <w:tc>
          <w:tcPr>
            <w:tcW w:w="6780" w:type="dxa"/>
            <w:vAlign w:val="bottom"/>
            <w:gridSpan w:val="3"/>
            <w:vMerge w:val="continue"/>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(124)</w:t>
            </w: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(465)</w:t>
            </w:r>
          </w:p>
        </w:tc>
        <w:tc>
          <w:tcPr>
            <w:tcW w:w="1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99"/>
              </w:rPr>
              <w:t>341</w:t>
            </w:r>
          </w:p>
        </w:tc>
        <w:tc>
          <w:tcPr>
            <w:tcW w:w="580" w:type="dxa"/>
            <w:vAlign w:val="bottom"/>
          </w:tcPr>
          <w:p>
            <w:pPr>
              <w:spacing w:after="0"/>
              <w:rPr>
                <w:sz w:val="19"/>
                <w:szCs w:val="19"/>
                <w:color w:val="auto"/>
              </w:rPr>
            </w:pPr>
          </w:p>
        </w:tc>
        <w:tc>
          <w:tcPr>
            <w:tcW w:w="6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 for income taxes</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(183)</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135</w:t>
            </w:r>
          </w:p>
        </w:tc>
        <w:tc>
          <w:tcPr>
            <w:tcW w:w="5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0"/>
        </w:trPr>
        <w:tc>
          <w:tcPr>
            <w:tcW w:w="6780" w:type="dxa"/>
            <w:vAlign w:val="bottom"/>
            <w:gridSpan w:val="3"/>
            <w:vMerge w:val="restart"/>
          </w:tcPr>
          <w:p>
            <w:pPr>
              <w:spacing w:after="0"/>
              <w:rPr>
                <w:sz w:val="20"/>
                <w:szCs w:val="20"/>
                <w:color w:val="auto"/>
              </w:rPr>
            </w:pPr>
            <w:r>
              <w:rPr>
                <w:rFonts w:ascii="Arial" w:cs="Arial" w:eastAsia="Arial" w:hAnsi="Arial"/>
                <w:sz w:val="18"/>
                <w:szCs w:val="18"/>
                <w:color w:val="auto"/>
              </w:rPr>
              <w:t>Net loss available to Genworth Financial, Inc.’s common stockholders</w:t>
            </w:r>
          </w:p>
        </w:tc>
        <w:tc>
          <w:tcPr>
            <w:tcW w:w="7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0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73%</w:t>
            </w:r>
          </w:p>
        </w:tc>
        <w:tc>
          <w:tcPr>
            <w:tcW w:w="0" w:type="dxa"/>
            <w:vAlign w:val="bottom"/>
          </w:tcPr>
          <w:p>
            <w:pPr>
              <w:spacing w:after="0" w:line="20" w:lineRule="exact"/>
              <w:rPr>
                <w:sz w:val="1"/>
                <w:szCs w:val="1"/>
                <w:color w:val="auto"/>
              </w:rPr>
            </w:pPr>
          </w:p>
        </w:tc>
      </w:tr>
      <w:tr>
        <w:trPr>
          <w:trHeight w:val="221"/>
        </w:trPr>
        <w:tc>
          <w:tcPr>
            <w:tcW w:w="6780" w:type="dxa"/>
            <w:vAlign w:val="bottom"/>
            <w:gridSpan w:val="3"/>
            <w:vMerge w:val="continue"/>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(76)</w:t>
            </w: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(282)</w:t>
            </w:r>
          </w:p>
        </w:tc>
        <w:tc>
          <w:tcPr>
            <w:tcW w:w="1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99"/>
              </w:rPr>
              <w:t>206</w:t>
            </w:r>
          </w:p>
        </w:tc>
        <w:tc>
          <w:tcPr>
            <w:tcW w:w="580" w:type="dxa"/>
            <w:vAlign w:val="bottom"/>
          </w:tcPr>
          <w:p>
            <w:pPr>
              <w:spacing w:after="0"/>
              <w:rPr>
                <w:sz w:val="19"/>
                <w:szCs w:val="19"/>
                <w:color w:val="auto"/>
              </w:rPr>
            </w:pPr>
          </w:p>
        </w:tc>
        <w:tc>
          <w:tcPr>
            <w:tcW w:w="6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 to net loss available to Genworth Financial, Inc.’s common stockholders:</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13</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(13)</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89"/>
              </w:rPr>
              <w:t>(100)%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54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operating loss available to Genworth Financial, Inc.’s common stockholders</w:t>
            </w: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(269)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193</w:t>
            </w:r>
          </w:p>
        </w:tc>
        <w:tc>
          <w:tcPr>
            <w:tcW w:w="5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5580" w:right="5260" w:hanging="5572"/>
        <w:spacing w:after="0" w:line="322" w:lineRule="auto"/>
        <w:tabs>
          <w:tab w:leader="none" w:pos="451" w:val="left"/>
        </w:tabs>
        <w:numPr>
          <w:ilvl w:val="0"/>
          <w:numId w:val="94"/>
        </w:numPr>
        <w:rPr>
          <w:rFonts w:ascii="Arial" w:cs="Arial" w:eastAsia="Arial" w:hAnsi="Arial"/>
          <w:sz w:val="19"/>
          <w:szCs w:val="19"/>
          <w:color w:val="auto"/>
          <w:vertAlign w:val="superscript"/>
        </w:rPr>
      </w:pPr>
      <w:r>
        <w:rPr>
          <w:rFonts w:ascii="Arial" w:cs="Arial" w:eastAsia="Arial" w:hAnsi="Arial"/>
          <w:sz w:val="15"/>
          <w:szCs w:val="15"/>
          <w:color w:val="auto"/>
        </w:rPr>
        <w:t>We define “NM” as not meaningful for increases or decreases greater than 200%. 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898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sectPr>
      </w:pPr>
    </w:p>
    <w:bookmarkStart w:id="105" w:name="page106"/>
    <w:bookmarkEnd w:id="10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operating loss available to Genworth Financial, Inc.’s common stockholders</w:t>
      </w:r>
    </w:p>
    <w:p>
      <w:pPr>
        <w:spacing w:after="0" w:line="90"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The decrease in the net operating loss available to Genworth Financial, Inc.’s common stockholders was as a result of moderating losses from a decrease in delinquencies and increasing loss mitigation activities, including settlements, in 2010.</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90"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Premiums decreased primarily driven by lower new insurance written as a result of a smaller mortgage insurance market and policy coverage rescission activity, partially offset by the favorable impact of rate increases and an increase in flow persistency from 82% for the six months ended June 30, 2009 to 87% for the six months ended June 30, 2010.</w:t>
      </w:r>
    </w:p>
    <w:p>
      <w:pPr>
        <w:spacing w:after="0" w:line="140"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Net investment income decreased primarily from lower average invested assets. Net investment income in 2010 included $6 million of lower losses related to limited partnerships accounted for under the equity method.</w:t>
      </w:r>
    </w:p>
    <w:p>
      <w:pPr>
        <w:spacing w:after="0" w:line="132" w:lineRule="exact"/>
        <w:rPr>
          <w:sz w:val="20"/>
          <w:szCs w:val="20"/>
          <w:color w:val="auto"/>
        </w:rPr>
      </w:pPr>
    </w:p>
    <w:p>
      <w:pPr>
        <w:jc w:val="both"/>
        <w:ind w:right="140" w:firstLine="456"/>
        <w:spacing w:after="0" w:line="259" w:lineRule="auto"/>
        <w:rPr>
          <w:sz w:val="20"/>
          <w:szCs w:val="20"/>
          <w:color w:val="auto"/>
        </w:rPr>
      </w:pPr>
      <w:r>
        <w:rPr>
          <w:rFonts w:ascii="Arial" w:cs="Arial" w:eastAsia="Arial" w:hAnsi="Arial"/>
          <w:sz w:val="18"/>
          <w:szCs w:val="18"/>
          <w:color w:val="auto"/>
        </w:rPr>
        <w:t>The change in net investment gains (losses) was primarily driven by impairments recorded in the first quarter of 2009 that did not recur. Also contributing to the change was an increase in gains on sales of investments from portfolio repositioning activities for the six months ended June 30, 2010 compared to the six months ended June 30, 2009.</w:t>
      </w:r>
    </w:p>
    <w:p>
      <w:pPr>
        <w:spacing w:after="0" w:line="140"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Insurance and investment product fees and other income increased primarily from the cancellation of a capital maintenance agreement with our European international mortgage insurance business in the second quarter of 2009.</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Benefits and expenses</w:t>
      </w:r>
    </w:p>
    <w:p>
      <w:pPr>
        <w:spacing w:after="0" w:line="90"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Benefits and other changes in policy reserves decreased due to a decrease in change in reserves of $639 million and an increase in net paid claims of $276 million. The decrease in change in reserves was primarily driven by a decrease in delinquencies from the fourth quarter of 2009 related to increased loss mitigation efforts. The increase in paid claims was attributable to an increase in average claim payments reflecting higher loan balances in more recent book years and higher claim counts. Benefits and other changes in reserves included a reinsurance credit principally related to our captive reinsurance arrangements of $89 million and $195 million for the six months ended June 30, 2010 and 2009, respectively.</w:t>
      </w:r>
    </w:p>
    <w:p>
      <w:pPr>
        <w:spacing w:after="0" w:line="116"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i w:val="1"/>
          <w:iCs w:val="1"/>
          <w:color w:val="auto"/>
        </w:rPr>
        <w:t xml:space="preserve">Benefit for income taxes. </w:t>
      </w:r>
      <w:r>
        <w:rPr>
          <w:rFonts w:ascii="Arial" w:cs="Arial" w:eastAsia="Arial" w:hAnsi="Arial"/>
          <w:sz w:val="18"/>
          <w:szCs w:val="18"/>
          <w:color w:val="auto"/>
        </w:rPr>
        <w:t>The effective tax rate decreased to 38.7% for the six months ended June 30, 2010 from 39.4% for the six months ended June 30,</w:t>
      </w:r>
      <w:r>
        <w:rPr>
          <w:rFonts w:ascii="Arial" w:cs="Arial" w:eastAsia="Arial" w:hAnsi="Arial"/>
          <w:sz w:val="18"/>
          <w:szCs w:val="18"/>
          <w:i w:val="1"/>
          <w:iCs w:val="1"/>
          <w:color w:val="auto"/>
        </w:rPr>
        <w:t xml:space="preserve"> </w:t>
      </w:r>
      <w:r>
        <w:rPr>
          <w:rFonts w:ascii="Arial" w:cs="Arial" w:eastAsia="Arial" w:hAnsi="Arial"/>
          <w:sz w:val="18"/>
          <w:szCs w:val="18"/>
          <w:color w:val="auto"/>
        </w:rPr>
        <w:t>2009. This decrease in the effective tax rate was primarily attributable to tax favored investments.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 Mortgage Insurance selected operating performance measures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sets forth selected operating performance measures regarding our U.S. Mortgage Insurance segment as of or for the dates indicated:</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00" w:type="dxa"/>
            <w:vAlign w:val="bottom"/>
          </w:tcPr>
          <w:p>
            <w:pPr>
              <w:jc w:val="center"/>
              <w:ind w:left="187"/>
              <w:spacing w:after="0"/>
              <w:rPr>
                <w:sz w:val="20"/>
                <w:szCs w:val="20"/>
                <w:color w:val="auto"/>
              </w:rPr>
            </w:pPr>
            <w:r>
              <w:rPr>
                <w:rFonts w:ascii="Arial" w:cs="Arial" w:eastAsia="Arial" w:hAnsi="Arial"/>
                <w:sz w:val="14"/>
                <w:szCs w:val="14"/>
                <w:b w:val="1"/>
                <w:bCs w:val="1"/>
                <w:color w:val="auto"/>
                <w:w w:val="84"/>
              </w:rPr>
              <w:t>Increase</w:t>
            </w: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40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00" w:type="dxa"/>
            <w:vAlign w:val="bottom"/>
          </w:tcPr>
          <w:p>
            <w:pPr>
              <w:jc w:val="center"/>
              <w:ind w:left="187"/>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40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00" w:type="dxa"/>
            <w:vAlign w:val="bottom"/>
          </w:tcPr>
          <w:p>
            <w:pPr>
              <w:jc w:val="center"/>
              <w:ind w:left="167"/>
              <w:spacing w:after="0" w:line="149" w:lineRule="exact"/>
              <w:rPr>
                <w:sz w:val="20"/>
                <w:szCs w:val="20"/>
                <w:color w:val="auto"/>
              </w:rPr>
            </w:pPr>
            <w:r>
              <w:rPr>
                <w:rFonts w:ascii="Arial" w:cs="Arial" w:eastAsia="Arial" w:hAnsi="Arial"/>
                <w:sz w:val="14"/>
                <w:szCs w:val="14"/>
                <w:b w:val="1"/>
                <w:bCs w:val="1"/>
                <w:color w:val="auto"/>
                <w:w w:val="82"/>
              </w:rPr>
              <w:t>percentage</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37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4060" w:type="dxa"/>
            <w:vAlign w:val="bottom"/>
          </w:tcPr>
          <w:p>
            <w:pPr>
              <w:spacing w:after="0"/>
              <w:rPr>
                <w:sz w:val="14"/>
                <w:szCs w:val="14"/>
                <w:color w:val="auto"/>
              </w:rPr>
            </w:pPr>
          </w:p>
        </w:tc>
        <w:tc>
          <w:tcPr>
            <w:tcW w:w="2020" w:type="dxa"/>
            <w:vAlign w:val="bottom"/>
            <w:gridSpan w:val="4"/>
          </w:tcPr>
          <w:p>
            <w:pPr>
              <w:jc w:val="right"/>
              <w:ind w:right="780"/>
              <w:spacing w:after="0"/>
              <w:rPr>
                <w:sz w:val="20"/>
                <w:szCs w:val="20"/>
                <w:color w:val="auto"/>
              </w:rPr>
            </w:pPr>
            <w:r>
              <w:rPr>
                <w:rFonts w:ascii="Arial" w:cs="Arial" w:eastAsia="Arial" w:hAnsi="Arial"/>
                <w:sz w:val="14"/>
                <w:szCs w:val="14"/>
                <w:b w:val="1"/>
                <w:bCs w:val="1"/>
                <w:color w:val="auto"/>
              </w:rPr>
              <w:t>As of June 30,</w:t>
            </w:r>
          </w:p>
        </w:tc>
        <w:tc>
          <w:tcPr>
            <w:tcW w:w="1100" w:type="dxa"/>
            <w:vAlign w:val="bottom"/>
          </w:tcPr>
          <w:p>
            <w:pPr>
              <w:jc w:val="center"/>
              <w:ind w:left="187"/>
              <w:spacing w:after="0"/>
              <w:rPr>
                <w:sz w:val="20"/>
                <w:szCs w:val="20"/>
                <w:color w:val="auto"/>
              </w:rPr>
            </w:pPr>
            <w:r>
              <w:rPr>
                <w:rFonts w:ascii="Arial" w:cs="Arial" w:eastAsia="Arial" w:hAnsi="Arial"/>
                <w:sz w:val="14"/>
                <w:szCs w:val="14"/>
                <w:b w:val="1"/>
                <w:bCs w:val="1"/>
                <w:color w:val="auto"/>
                <w:w w:val="81"/>
              </w:rPr>
              <w:t>change</w:t>
            </w: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740" w:type="dxa"/>
            <w:vAlign w:val="bottom"/>
            <w:gridSpan w:val="3"/>
            <w:vMerge w:val="continue"/>
          </w:tcPr>
          <w:p>
            <w:pPr>
              <w:spacing w:after="0"/>
              <w:rPr>
                <w:sz w:val="12"/>
                <w:szCs w:val="12"/>
                <w:color w:val="auto"/>
              </w:rPr>
            </w:pPr>
          </w:p>
        </w:tc>
        <w:tc>
          <w:tcPr>
            <w:tcW w:w="4060" w:type="dxa"/>
            <w:vAlign w:val="bottom"/>
          </w:tcPr>
          <w:p>
            <w:pPr>
              <w:spacing w:after="0"/>
              <w:rPr>
                <w:sz w:val="12"/>
                <w:szCs w:val="12"/>
                <w:color w:val="auto"/>
              </w:rPr>
            </w:pPr>
          </w:p>
        </w:tc>
        <w:tc>
          <w:tcPr>
            <w:tcW w:w="680" w:type="dxa"/>
            <w:vAlign w:val="bottom"/>
            <w:tcBorders>
              <w:top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2010</w:t>
            </w:r>
          </w:p>
        </w:tc>
        <w:tc>
          <w:tcPr>
            <w:tcW w:w="1000" w:type="dxa"/>
            <w:vAlign w:val="bottom"/>
            <w:tcBorders>
              <w:top w:val="single" w:sz="8" w:color="auto"/>
            </w:tcBorders>
            <w:gridSpan w:val="2"/>
          </w:tcPr>
          <w:p>
            <w:pPr>
              <w:jc w:val="right"/>
              <w:ind w:right="200"/>
              <w:spacing w:after="0" w:line="142" w:lineRule="exact"/>
              <w:rPr>
                <w:sz w:val="20"/>
                <w:szCs w:val="20"/>
                <w:color w:val="auto"/>
              </w:rPr>
            </w:pPr>
            <w:r>
              <w:rPr>
                <w:rFonts w:ascii="Arial" w:cs="Arial" w:eastAsia="Arial" w:hAnsi="Arial"/>
                <w:sz w:val="14"/>
                <w:szCs w:val="14"/>
                <w:b w:val="1"/>
                <w:bCs w:val="1"/>
                <w:color w:val="auto"/>
              </w:rPr>
              <w:t>2009</w:t>
            </w:r>
          </w:p>
        </w:tc>
        <w:tc>
          <w:tcPr>
            <w:tcW w:w="340" w:type="dxa"/>
            <w:vAlign w:val="bottom"/>
          </w:tcPr>
          <w:p>
            <w:pPr>
              <w:spacing w:after="0"/>
              <w:rPr>
                <w:sz w:val="12"/>
                <w:szCs w:val="12"/>
                <w:color w:val="auto"/>
              </w:rPr>
            </w:pPr>
          </w:p>
        </w:tc>
        <w:tc>
          <w:tcPr>
            <w:tcW w:w="1100" w:type="dxa"/>
            <w:vAlign w:val="bottom"/>
            <w:tcBorders>
              <w:top w:val="single" w:sz="8" w:color="auto"/>
            </w:tcBorders>
          </w:tcPr>
          <w:p>
            <w:pPr>
              <w:jc w:val="center"/>
              <w:ind w:left="187"/>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40" w:type="dxa"/>
            <w:vAlign w:val="bottom"/>
            <w:tcBorders>
              <w:top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Primary insurance in-force</w:t>
            </w:r>
          </w:p>
        </w:tc>
        <w:tc>
          <w:tcPr>
            <w:tcW w:w="4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$131,900</w:t>
            </w:r>
          </w:p>
        </w:tc>
        <w:tc>
          <w:tcPr>
            <w:tcW w:w="13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$155,200</w:t>
            </w:r>
          </w:p>
        </w:tc>
        <w:tc>
          <w:tcPr>
            <w:tcW w:w="1100" w:type="dxa"/>
            <w:vAlign w:val="bottom"/>
            <w:shd w:val="clear" w:color="auto" w:fill="CCEEFF"/>
          </w:tcPr>
          <w:p>
            <w:pPr>
              <w:jc w:val="right"/>
              <w:ind w:right="307"/>
              <w:spacing w:after="0"/>
              <w:rPr>
                <w:sz w:val="20"/>
                <w:szCs w:val="20"/>
                <w:color w:val="auto"/>
              </w:rPr>
            </w:pPr>
            <w:r>
              <w:rPr>
                <w:rFonts w:ascii="Arial" w:cs="Arial" w:eastAsia="Arial" w:hAnsi="Arial"/>
                <w:sz w:val="18"/>
                <w:szCs w:val="18"/>
                <w:color w:val="auto"/>
                <w:w w:val="85"/>
              </w:rPr>
              <w:t>$ (23,300)</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7"/>
              </w:rPr>
              <w:t>(15)%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720" w:type="dxa"/>
            <w:vAlign w:val="bottom"/>
            <w:gridSpan w:val="2"/>
          </w:tcPr>
          <w:p>
            <w:pPr>
              <w:spacing w:after="0"/>
              <w:rPr>
                <w:sz w:val="20"/>
                <w:szCs w:val="20"/>
                <w:color w:val="auto"/>
              </w:rPr>
            </w:pPr>
            <w:r>
              <w:rPr>
                <w:rFonts w:ascii="Arial" w:cs="Arial" w:eastAsia="Arial" w:hAnsi="Arial"/>
                <w:sz w:val="18"/>
                <w:szCs w:val="18"/>
                <w:color w:val="auto"/>
              </w:rPr>
              <w:t>Risk in-force</w:t>
            </w:r>
          </w:p>
        </w:tc>
        <w:tc>
          <w:tcPr>
            <w:tcW w:w="4740" w:type="dxa"/>
            <w:vAlign w:val="bottom"/>
            <w:gridSpan w:val="2"/>
          </w:tcPr>
          <w:p>
            <w:pPr>
              <w:jc w:val="right"/>
              <w:spacing w:after="0"/>
              <w:rPr>
                <w:sz w:val="20"/>
                <w:szCs w:val="20"/>
                <w:color w:val="auto"/>
              </w:rPr>
            </w:pPr>
            <w:r>
              <w:rPr>
                <w:rFonts w:ascii="Arial" w:cs="Arial" w:eastAsia="Arial" w:hAnsi="Arial"/>
                <w:sz w:val="18"/>
                <w:szCs w:val="18"/>
                <w:color w:val="auto"/>
              </w:rPr>
              <w:t>30,700</w:t>
            </w:r>
          </w:p>
        </w:tc>
        <w:tc>
          <w:tcPr>
            <w:tcW w:w="1340" w:type="dxa"/>
            <w:vAlign w:val="bottom"/>
            <w:gridSpan w:val="3"/>
          </w:tcPr>
          <w:p>
            <w:pPr>
              <w:jc w:val="right"/>
              <w:ind w:right="340"/>
              <w:spacing w:after="0"/>
              <w:rPr>
                <w:sz w:val="20"/>
                <w:szCs w:val="20"/>
                <w:color w:val="auto"/>
              </w:rPr>
            </w:pPr>
            <w:r>
              <w:rPr>
                <w:rFonts w:ascii="Arial" w:cs="Arial" w:eastAsia="Arial" w:hAnsi="Arial"/>
                <w:sz w:val="18"/>
                <w:szCs w:val="18"/>
                <w:color w:val="auto"/>
              </w:rPr>
              <w:t>33,900</w:t>
            </w:r>
          </w:p>
        </w:tc>
        <w:tc>
          <w:tcPr>
            <w:tcW w:w="1100" w:type="dxa"/>
            <w:vAlign w:val="bottom"/>
          </w:tcPr>
          <w:p>
            <w:pPr>
              <w:jc w:val="right"/>
              <w:ind w:right="307"/>
              <w:spacing w:after="0"/>
              <w:rPr>
                <w:sz w:val="20"/>
                <w:szCs w:val="20"/>
                <w:color w:val="auto"/>
              </w:rPr>
            </w:pPr>
            <w:r>
              <w:rPr>
                <w:rFonts w:ascii="Arial" w:cs="Arial" w:eastAsia="Arial" w:hAnsi="Arial"/>
                <w:sz w:val="18"/>
                <w:szCs w:val="18"/>
                <w:color w:val="auto"/>
              </w:rPr>
              <w:t>(3,200)</w:t>
            </w: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356"/>
        </w:trPr>
        <w:tc>
          <w:tcPr>
            <w:tcW w:w="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4060" w:type="dxa"/>
            <w:vAlign w:val="bottom"/>
          </w:tcPr>
          <w:p>
            <w:pPr>
              <w:jc w:val="right"/>
              <w:ind w:right="1872"/>
              <w:spacing w:after="0"/>
              <w:rPr>
                <w:sz w:val="20"/>
                <w:szCs w:val="20"/>
                <w:color w:val="auto"/>
              </w:rPr>
            </w:pPr>
            <w:r>
              <w:rPr>
                <w:rFonts w:ascii="Arial" w:cs="Arial" w:eastAsia="Arial" w:hAnsi="Arial"/>
                <w:sz w:val="18"/>
                <w:szCs w:val="18"/>
                <w:color w:val="auto"/>
              </w:rPr>
              <w:t>106</w:t>
            </w: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06" w:name="page107"/>
    <w:bookmarkEnd w:id="10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4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jc w:val="center"/>
              <w:ind w:left="172"/>
              <w:spacing w:after="0"/>
              <w:rPr>
                <w:sz w:val="20"/>
                <w:szCs w:val="20"/>
                <w:color w:val="auto"/>
              </w:rPr>
            </w:pPr>
            <w:r>
              <w:rPr>
                <w:rFonts w:ascii="Arial" w:cs="Arial" w:eastAsia="Arial" w:hAnsi="Arial"/>
                <w:sz w:val="14"/>
                <w:szCs w:val="14"/>
                <w:b w:val="1"/>
                <w:bCs w:val="1"/>
                <w:color w:val="auto"/>
                <w:w w:val="84"/>
              </w:rPr>
              <w:t>Increase</w:t>
            </w: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tcPr>
          <w:p>
            <w:pPr>
              <w:jc w:val="center"/>
              <w:ind w:left="172"/>
              <w:spacing w:after="0"/>
              <w:rPr>
                <w:sz w:val="20"/>
                <w:szCs w:val="20"/>
                <w:color w:val="auto"/>
              </w:rPr>
            </w:pPr>
            <w:r>
              <w:rPr>
                <w:rFonts w:ascii="Arial" w:cs="Arial" w:eastAsia="Arial" w:hAnsi="Arial"/>
                <w:sz w:val="14"/>
                <w:szCs w:val="14"/>
                <w:b w:val="1"/>
                <w:bCs w:val="1"/>
                <w:color w:val="auto"/>
                <w:w w:val="84"/>
              </w:rPr>
              <w:t>Increase</w:t>
            </w: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4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6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89"/>
              </w:rPr>
              <w:t>(decrease) and</w:t>
            </w: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4120" w:type="dxa"/>
            <w:vAlign w:val="bottom"/>
          </w:tcPr>
          <w:p>
            <w:pPr>
              <w:spacing w:after="0"/>
              <w:rPr>
                <w:sz w:val="12"/>
                <w:szCs w:val="12"/>
                <w:color w:val="auto"/>
              </w:rPr>
            </w:pPr>
          </w:p>
        </w:tc>
        <w:tc>
          <w:tcPr>
            <w:tcW w:w="1440" w:type="dxa"/>
            <w:vAlign w:val="bottom"/>
            <w:gridSpan w:val="4"/>
          </w:tcPr>
          <w:p>
            <w:pPr>
              <w:jc w:val="right"/>
              <w:ind w:right="180"/>
              <w:spacing w:after="0" w:line="149" w:lineRule="exact"/>
              <w:rPr>
                <w:sz w:val="20"/>
                <w:szCs w:val="20"/>
                <w:color w:val="auto"/>
              </w:rPr>
            </w:pPr>
            <w:r>
              <w:rPr>
                <w:rFonts w:ascii="Arial" w:cs="Arial" w:eastAsia="Arial" w:hAnsi="Arial"/>
                <w:sz w:val="14"/>
                <w:szCs w:val="14"/>
                <w:b w:val="1"/>
                <w:bCs w:val="1"/>
                <w:color w:val="auto"/>
                <w:w w:val="90"/>
              </w:rPr>
              <w:t>Three months ended</w:t>
            </w:r>
          </w:p>
        </w:tc>
        <w:tc>
          <w:tcPr>
            <w:tcW w:w="120" w:type="dxa"/>
            <w:vAlign w:val="bottom"/>
          </w:tcPr>
          <w:p>
            <w:pPr>
              <w:spacing w:after="0"/>
              <w:rPr>
                <w:sz w:val="12"/>
                <w:szCs w:val="12"/>
                <w:color w:val="auto"/>
              </w:rPr>
            </w:pPr>
          </w:p>
        </w:tc>
        <w:tc>
          <w:tcPr>
            <w:tcW w:w="880" w:type="dxa"/>
            <w:vAlign w:val="bottom"/>
          </w:tcPr>
          <w:p>
            <w:pPr>
              <w:jc w:val="center"/>
              <w:ind w:left="172"/>
              <w:spacing w:after="0" w:line="149" w:lineRule="exact"/>
              <w:rPr>
                <w:sz w:val="20"/>
                <w:szCs w:val="20"/>
                <w:color w:val="auto"/>
              </w:rPr>
            </w:pPr>
            <w:r>
              <w:rPr>
                <w:rFonts w:ascii="Arial" w:cs="Arial" w:eastAsia="Arial" w:hAnsi="Arial"/>
                <w:sz w:val="14"/>
                <w:szCs w:val="14"/>
                <w:b w:val="1"/>
                <w:bCs w:val="1"/>
                <w:color w:val="auto"/>
                <w:w w:val="85"/>
              </w:rPr>
              <w:t>percentage</w:t>
            </w: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gridSpan w:val="5"/>
          </w:tcPr>
          <w:p>
            <w:pPr>
              <w:jc w:val="right"/>
              <w:ind w:right="220"/>
              <w:spacing w:after="0" w:line="149" w:lineRule="exact"/>
              <w:rPr>
                <w:sz w:val="20"/>
                <w:szCs w:val="20"/>
                <w:color w:val="auto"/>
              </w:rPr>
            </w:pPr>
            <w:r>
              <w:rPr>
                <w:rFonts w:ascii="Arial" w:cs="Arial" w:eastAsia="Arial" w:hAnsi="Arial"/>
                <w:sz w:val="14"/>
                <w:szCs w:val="14"/>
                <w:b w:val="1"/>
                <w:bCs w:val="1"/>
                <w:color w:val="auto"/>
                <w:w w:val="89"/>
              </w:rPr>
              <w:t>Six months ended</w:t>
            </w:r>
          </w:p>
        </w:tc>
        <w:tc>
          <w:tcPr>
            <w:tcW w:w="100" w:type="dxa"/>
            <w:vAlign w:val="bottom"/>
          </w:tcPr>
          <w:p>
            <w:pPr>
              <w:spacing w:after="0"/>
              <w:rPr>
                <w:sz w:val="12"/>
                <w:szCs w:val="12"/>
                <w:color w:val="auto"/>
              </w:rPr>
            </w:pPr>
          </w:p>
        </w:tc>
        <w:tc>
          <w:tcPr>
            <w:tcW w:w="880" w:type="dxa"/>
            <w:vAlign w:val="bottom"/>
          </w:tcPr>
          <w:p>
            <w:pPr>
              <w:jc w:val="center"/>
              <w:ind w:left="172"/>
              <w:spacing w:after="0" w:line="149" w:lineRule="exact"/>
              <w:rPr>
                <w:sz w:val="20"/>
                <w:szCs w:val="20"/>
                <w:color w:val="auto"/>
              </w:rPr>
            </w:pPr>
            <w:r>
              <w:rPr>
                <w:rFonts w:ascii="Arial" w:cs="Arial" w:eastAsia="Arial" w:hAnsi="Arial"/>
                <w:sz w:val="14"/>
                <w:szCs w:val="14"/>
                <w:b w:val="1"/>
                <w:bCs w:val="1"/>
                <w:color w:val="auto"/>
                <w:w w:val="85"/>
              </w:rPr>
              <w:t>percentage</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54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440" w:type="dxa"/>
            <w:vAlign w:val="bottom"/>
            <w:gridSpan w:val="4"/>
          </w:tcPr>
          <w:p>
            <w:pPr>
              <w:jc w:val="right"/>
              <w:ind w:right="520"/>
              <w:spacing w:after="0"/>
              <w:rPr>
                <w:sz w:val="20"/>
                <w:szCs w:val="20"/>
                <w:color w:val="auto"/>
              </w:rPr>
            </w:pPr>
            <w:r>
              <w:rPr>
                <w:rFonts w:ascii="Arial" w:cs="Arial" w:eastAsia="Arial" w:hAnsi="Arial"/>
                <w:sz w:val="14"/>
                <w:szCs w:val="14"/>
                <w:b w:val="1"/>
                <w:bCs w:val="1"/>
                <w:color w:val="auto"/>
              </w:rPr>
              <w:t>June 30,</w:t>
            </w:r>
          </w:p>
        </w:tc>
        <w:tc>
          <w:tcPr>
            <w:tcW w:w="120" w:type="dxa"/>
            <w:vAlign w:val="bottom"/>
          </w:tcPr>
          <w:p>
            <w:pPr>
              <w:spacing w:after="0"/>
              <w:rPr>
                <w:sz w:val="14"/>
                <w:szCs w:val="14"/>
                <w:color w:val="auto"/>
              </w:rPr>
            </w:pPr>
          </w:p>
        </w:tc>
        <w:tc>
          <w:tcPr>
            <w:tcW w:w="880" w:type="dxa"/>
            <w:vAlign w:val="bottom"/>
          </w:tcPr>
          <w:p>
            <w:pPr>
              <w:jc w:val="center"/>
              <w:ind w:left="172"/>
              <w:spacing w:after="0"/>
              <w:rPr>
                <w:sz w:val="20"/>
                <w:szCs w:val="20"/>
                <w:color w:val="auto"/>
              </w:rPr>
            </w:pPr>
            <w:r>
              <w:rPr>
                <w:rFonts w:ascii="Arial" w:cs="Arial" w:eastAsia="Arial" w:hAnsi="Arial"/>
                <w:sz w:val="14"/>
                <w:szCs w:val="14"/>
                <w:b w:val="1"/>
                <w:bCs w:val="1"/>
                <w:color w:val="auto"/>
                <w:w w:val="81"/>
              </w:rPr>
              <w:t>change</w:t>
            </w: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20" w:type="dxa"/>
            <w:vAlign w:val="bottom"/>
            <w:gridSpan w:val="5"/>
          </w:tcPr>
          <w:p>
            <w:pPr>
              <w:jc w:val="right"/>
              <w:ind w:right="480"/>
              <w:spacing w:after="0"/>
              <w:rPr>
                <w:sz w:val="20"/>
                <w:szCs w:val="20"/>
                <w:color w:val="auto"/>
              </w:rPr>
            </w:pPr>
            <w:r>
              <w:rPr>
                <w:rFonts w:ascii="Arial" w:cs="Arial" w:eastAsia="Arial" w:hAnsi="Arial"/>
                <w:sz w:val="14"/>
                <w:szCs w:val="14"/>
                <w:b w:val="1"/>
                <w:bCs w:val="1"/>
                <w:color w:val="auto"/>
              </w:rPr>
              <w:t>June 30,</w:t>
            </w:r>
          </w:p>
        </w:tc>
        <w:tc>
          <w:tcPr>
            <w:tcW w:w="100" w:type="dxa"/>
            <w:vAlign w:val="bottom"/>
          </w:tcPr>
          <w:p>
            <w:pPr>
              <w:spacing w:after="0"/>
              <w:rPr>
                <w:sz w:val="14"/>
                <w:szCs w:val="14"/>
                <w:color w:val="auto"/>
              </w:rPr>
            </w:pPr>
          </w:p>
        </w:tc>
        <w:tc>
          <w:tcPr>
            <w:tcW w:w="880" w:type="dxa"/>
            <w:vAlign w:val="bottom"/>
          </w:tcPr>
          <w:p>
            <w:pPr>
              <w:jc w:val="center"/>
              <w:ind w:left="172"/>
              <w:spacing w:after="0"/>
              <w:rPr>
                <w:sz w:val="20"/>
                <w:szCs w:val="20"/>
                <w:color w:val="auto"/>
              </w:rPr>
            </w:pPr>
            <w:r>
              <w:rPr>
                <w:rFonts w:ascii="Arial" w:cs="Arial" w:eastAsia="Arial" w:hAnsi="Arial"/>
                <w:sz w:val="14"/>
                <w:szCs w:val="14"/>
                <w:b w:val="1"/>
                <w:bCs w:val="1"/>
                <w:color w:val="auto"/>
                <w:w w:val="81"/>
              </w:rPr>
              <w:t>change</w:t>
            </w: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460" w:type="dxa"/>
            <w:vAlign w:val="bottom"/>
            <w:gridSpan w:val="3"/>
            <w:vMerge w:val="continue"/>
          </w:tcPr>
          <w:p>
            <w:pPr>
              <w:spacing w:after="0"/>
              <w:rPr>
                <w:sz w:val="12"/>
                <w:szCs w:val="12"/>
                <w:color w:val="auto"/>
              </w:rPr>
            </w:pPr>
          </w:p>
        </w:tc>
        <w:tc>
          <w:tcPr>
            <w:tcW w:w="560" w:type="dxa"/>
            <w:vAlign w:val="bottom"/>
            <w:tcBorders>
              <w:top w:val="single" w:sz="8" w:color="auto"/>
            </w:tcBorders>
          </w:tcPr>
          <w:p>
            <w:pPr>
              <w:jc w:val="right"/>
              <w:ind w:right="64"/>
              <w:spacing w:after="0" w:line="142" w:lineRule="exact"/>
              <w:rPr>
                <w:sz w:val="20"/>
                <w:szCs w:val="20"/>
                <w:color w:val="auto"/>
              </w:rPr>
            </w:pPr>
            <w:r>
              <w:rPr>
                <w:rFonts w:ascii="Arial" w:cs="Arial" w:eastAsia="Arial" w:hAnsi="Arial"/>
                <w:sz w:val="14"/>
                <w:szCs w:val="14"/>
                <w:b w:val="1"/>
                <w:bCs w:val="1"/>
                <w:color w:val="auto"/>
              </w:rPr>
              <w:t>2010</w:t>
            </w:r>
          </w:p>
        </w:tc>
        <w:tc>
          <w:tcPr>
            <w:tcW w:w="780" w:type="dxa"/>
            <w:vAlign w:val="bottom"/>
            <w:tcBorders>
              <w:top w:val="single" w:sz="8" w:color="auto"/>
            </w:tcBorders>
            <w:gridSpan w:val="2"/>
          </w:tcPr>
          <w:p>
            <w:pPr>
              <w:jc w:val="right"/>
              <w:ind w:right="140"/>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Borders>
              <w:top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Borders>
              <w:top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rPr>
              <w:t>2010</w:t>
            </w: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gridSpan w:val="2"/>
          </w:tcPr>
          <w:p>
            <w:pPr>
              <w:jc w:val="right"/>
              <w:ind w:right="100"/>
              <w:spacing w:after="0" w:line="142" w:lineRule="exact"/>
              <w:rPr>
                <w:sz w:val="20"/>
                <w:szCs w:val="20"/>
                <w:color w:val="auto"/>
              </w:rPr>
            </w:pPr>
            <w:r>
              <w:rPr>
                <w:rFonts w:ascii="Arial" w:cs="Arial" w:eastAsia="Arial" w:hAnsi="Arial"/>
                <w:sz w:val="14"/>
                <w:szCs w:val="14"/>
                <w:b w:val="1"/>
                <w:bCs w:val="1"/>
                <w:color w:val="auto"/>
              </w:rPr>
              <w:t>2009</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tcBorders>
              <w:top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New insurance written</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$ 2,200</w:t>
            </w:r>
          </w:p>
        </w:tc>
        <w:tc>
          <w:tcPr>
            <w:tcW w:w="8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$ 3,400</w:t>
            </w:r>
          </w:p>
        </w:tc>
        <w:tc>
          <w:tcPr>
            <w:tcW w:w="1000" w:type="dxa"/>
            <w:vAlign w:val="bottom"/>
            <w:gridSpan w:val="2"/>
            <w:shd w:val="clear" w:color="auto" w:fill="CCEEFF"/>
          </w:tcPr>
          <w:p>
            <w:pPr>
              <w:jc w:val="right"/>
              <w:ind w:right="212"/>
              <w:spacing w:after="0"/>
              <w:rPr>
                <w:sz w:val="20"/>
                <w:szCs w:val="20"/>
                <w:color w:val="auto"/>
              </w:rPr>
            </w:pPr>
            <w:r>
              <w:rPr>
                <w:rFonts w:ascii="Arial" w:cs="Arial" w:eastAsia="Arial" w:hAnsi="Arial"/>
                <w:sz w:val="18"/>
                <w:szCs w:val="18"/>
                <w:color w:val="auto"/>
              </w:rPr>
              <w:t>$(1,200)</w:t>
            </w: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7"/>
              </w:rPr>
              <w:t>(35)%</w:t>
            </w:r>
          </w:p>
        </w:tc>
        <w:tc>
          <w:tcPr>
            <w:tcW w:w="7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$3,900</w:t>
            </w:r>
          </w:p>
        </w:tc>
        <w:tc>
          <w:tcPr>
            <w:tcW w:w="7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$7,100</w:t>
            </w:r>
          </w:p>
        </w:tc>
        <w:tc>
          <w:tcPr>
            <w:tcW w:w="98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rPr>
              <w:t>$(3,200)</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7"/>
              </w:rPr>
              <w:t>(45)%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440" w:type="dxa"/>
            <w:vAlign w:val="bottom"/>
            <w:gridSpan w:val="2"/>
          </w:tcPr>
          <w:p>
            <w:pPr>
              <w:spacing w:after="0"/>
              <w:rPr>
                <w:sz w:val="20"/>
                <w:szCs w:val="20"/>
                <w:color w:val="auto"/>
              </w:rPr>
            </w:pPr>
            <w:r>
              <w:rPr>
                <w:rFonts w:ascii="Arial" w:cs="Arial" w:eastAsia="Arial" w:hAnsi="Arial"/>
                <w:sz w:val="18"/>
                <w:szCs w:val="18"/>
                <w:color w:val="auto"/>
              </w:rPr>
              <w:t>Net premiums written</w:t>
            </w:r>
          </w:p>
        </w:tc>
        <w:tc>
          <w:tcPr>
            <w:tcW w:w="560" w:type="dxa"/>
            <w:vAlign w:val="bottom"/>
          </w:tcPr>
          <w:p>
            <w:pPr>
              <w:jc w:val="right"/>
              <w:spacing w:after="0"/>
              <w:rPr>
                <w:sz w:val="20"/>
                <w:szCs w:val="20"/>
                <w:color w:val="auto"/>
              </w:rPr>
            </w:pPr>
            <w:r>
              <w:rPr>
                <w:rFonts w:ascii="Arial" w:cs="Arial" w:eastAsia="Arial" w:hAnsi="Arial"/>
                <w:sz w:val="18"/>
                <w:szCs w:val="18"/>
                <w:color w:val="auto"/>
              </w:rPr>
              <w:t>152</w:t>
            </w:r>
          </w:p>
        </w:tc>
        <w:tc>
          <w:tcPr>
            <w:tcW w:w="880" w:type="dxa"/>
            <w:vAlign w:val="bottom"/>
            <w:gridSpan w:val="3"/>
          </w:tcPr>
          <w:p>
            <w:pPr>
              <w:jc w:val="right"/>
              <w:ind w:right="100"/>
              <w:spacing w:after="0"/>
              <w:rPr>
                <w:sz w:val="20"/>
                <w:szCs w:val="20"/>
                <w:color w:val="auto"/>
              </w:rPr>
            </w:pPr>
            <w:r>
              <w:rPr>
                <w:rFonts w:ascii="Arial" w:cs="Arial" w:eastAsia="Arial" w:hAnsi="Arial"/>
                <w:sz w:val="18"/>
                <w:szCs w:val="18"/>
                <w:color w:val="auto"/>
              </w:rPr>
              <w:t>160</w:t>
            </w:r>
          </w:p>
        </w:tc>
        <w:tc>
          <w:tcPr>
            <w:tcW w:w="1000" w:type="dxa"/>
            <w:vAlign w:val="bottom"/>
            <w:gridSpan w:val="2"/>
          </w:tcPr>
          <w:p>
            <w:pPr>
              <w:jc w:val="right"/>
              <w:ind w:right="212"/>
              <w:spacing w:after="0"/>
              <w:rPr>
                <w:sz w:val="20"/>
                <w:szCs w:val="20"/>
                <w:color w:val="auto"/>
              </w:rPr>
            </w:pPr>
            <w:r>
              <w:rPr>
                <w:rFonts w:ascii="Arial" w:cs="Arial" w:eastAsia="Arial" w:hAnsi="Arial"/>
                <w:sz w:val="18"/>
                <w:szCs w:val="18"/>
                <w:color w:val="auto"/>
              </w:rPr>
              <w:t>(8)</w:t>
            </w:r>
          </w:p>
        </w:tc>
        <w:tc>
          <w:tcPr>
            <w:tcW w:w="580" w:type="dxa"/>
            <w:vAlign w:val="bottom"/>
            <w:gridSpan w:val="2"/>
          </w:tcPr>
          <w:p>
            <w:pPr>
              <w:jc w:val="right"/>
              <w:ind w:right="140"/>
              <w:spacing w:after="0"/>
              <w:rPr>
                <w:sz w:val="20"/>
                <w:szCs w:val="20"/>
                <w:color w:val="auto"/>
              </w:rPr>
            </w:pPr>
            <w:r>
              <w:rPr>
                <w:rFonts w:ascii="Arial" w:cs="Arial" w:eastAsia="Arial" w:hAnsi="Arial"/>
                <w:sz w:val="18"/>
                <w:szCs w:val="18"/>
                <w:color w:val="auto"/>
              </w:rPr>
              <w:t>(5)%</w:t>
            </w:r>
          </w:p>
        </w:tc>
        <w:tc>
          <w:tcPr>
            <w:tcW w:w="740" w:type="dxa"/>
            <w:vAlign w:val="bottom"/>
            <w:gridSpan w:val="3"/>
          </w:tcPr>
          <w:p>
            <w:pPr>
              <w:jc w:val="right"/>
              <w:ind w:right="100"/>
              <w:spacing w:after="0"/>
              <w:rPr>
                <w:sz w:val="20"/>
                <w:szCs w:val="20"/>
                <w:color w:val="auto"/>
              </w:rPr>
            </w:pPr>
            <w:r>
              <w:rPr>
                <w:rFonts w:ascii="Arial" w:cs="Arial" w:eastAsia="Arial" w:hAnsi="Arial"/>
                <w:sz w:val="18"/>
                <w:szCs w:val="18"/>
                <w:color w:val="auto"/>
              </w:rPr>
              <w:t>294</w:t>
            </w:r>
          </w:p>
        </w:tc>
        <w:tc>
          <w:tcPr>
            <w:tcW w:w="720" w:type="dxa"/>
            <w:vAlign w:val="bottom"/>
            <w:gridSpan w:val="3"/>
          </w:tcPr>
          <w:p>
            <w:pPr>
              <w:jc w:val="right"/>
              <w:ind w:right="120"/>
              <w:spacing w:after="0"/>
              <w:rPr>
                <w:sz w:val="20"/>
                <w:szCs w:val="20"/>
                <w:color w:val="auto"/>
              </w:rPr>
            </w:pPr>
            <w:r>
              <w:rPr>
                <w:rFonts w:ascii="Arial" w:cs="Arial" w:eastAsia="Arial" w:hAnsi="Arial"/>
                <w:sz w:val="18"/>
                <w:szCs w:val="18"/>
                <w:color w:val="auto"/>
              </w:rPr>
              <w:t>331</w:t>
            </w:r>
          </w:p>
        </w:tc>
        <w:tc>
          <w:tcPr>
            <w:tcW w:w="980" w:type="dxa"/>
            <w:vAlign w:val="bottom"/>
            <w:gridSpan w:val="2"/>
          </w:tcPr>
          <w:p>
            <w:pPr>
              <w:jc w:val="right"/>
              <w:ind w:right="192"/>
              <w:spacing w:after="0"/>
              <w:rPr>
                <w:sz w:val="20"/>
                <w:szCs w:val="20"/>
                <w:color w:val="auto"/>
              </w:rPr>
            </w:pPr>
            <w:r>
              <w:rPr>
                <w:rFonts w:ascii="Arial" w:cs="Arial" w:eastAsia="Arial" w:hAnsi="Arial"/>
                <w:sz w:val="18"/>
                <w:szCs w:val="18"/>
                <w:color w:val="auto"/>
              </w:rPr>
              <w:t>(37)</w:t>
            </w: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w w:val="87"/>
              </w:rPr>
              <w:t>(11)%</w:t>
            </w:r>
          </w:p>
        </w:tc>
        <w:tc>
          <w:tcPr>
            <w:tcW w:w="0" w:type="dxa"/>
            <w:vAlign w:val="bottom"/>
          </w:tcPr>
          <w:p>
            <w:pPr>
              <w:spacing w:after="0"/>
              <w:rPr>
                <w:sz w:val="1"/>
                <w:szCs w:val="1"/>
                <w:color w:val="auto"/>
              </w:rPr>
            </w:pPr>
          </w:p>
        </w:tc>
      </w:tr>
    </w:tbl>
    <w:p>
      <w:pPr>
        <w:spacing w:after="0" w:line="228"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Primary insurance in-force and risk in-force</w:t>
      </w:r>
    </w:p>
    <w:p>
      <w:pPr>
        <w:spacing w:after="0" w:line="90"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Primary insurance in-force and risk in-force decreased primarily as a result of an increase in rescissions and other loss mitigation actions, including agreements with a counterparty that reduced our bulk risk in-force exposure. This decrease was partially offset by an increase in flow new insurance written from an increase in our mortgage insurance market share, partially offset and limited by tight domestic credit markets and lending guidelines, as well as a weak housing market and limited mortgage credit liquidity. Our flow persistency was 87% and 82% for the six months ended June 30, 2010 and 2009, respectively.</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New insurance written</w:t>
      </w:r>
    </w:p>
    <w:p>
      <w:pPr>
        <w:spacing w:after="0" w:line="90"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New insurance written decreased during the three months ended June 30, 2010 primarily driven by constraints in the bulk market. This decrease was partially offset by an increase in flow new insurance written from an increase in our mortgage insurance market share, partially offset by tighter mortgage insurance guidelines and mortgage lender underwriting standards. New insurance written decreased during the six months ended June 30, 2010 primarily driven by constraints in the bulk market as well as a decrease in flow new insurance written from a decline in overall mortgage originations as a result of a weak housing market and reduced mortgage credit liquidity.</w:t>
      </w:r>
    </w:p>
    <w:p>
      <w:pPr>
        <w:spacing w:after="0" w:line="22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Net premiums written</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Net premiums written decreased principally from lower new insurance written during 2010 as a result of a lower mortgage insurance origination market.</w:t>
      </w:r>
    </w:p>
    <w:p>
      <w:pPr>
        <w:spacing w:after="0" w:line="275"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Loss and expense ratios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loss and expense ratios for our U.S. Mortgage Insurance segment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80" w:type="dxa"/>
            <w:vAlign w:val="bottom"/>
          </w:tcPr>
          <w:p>
            <w:pPr>
              <w:spacing w:after="0"/>
              <w:rPr>
                <w:sz w:val="14"/>
                <w:szCs w:val="14"/>
                <w:color w:val="auto"/>
              </w:rPr>
            </w:pPr>
          </w:p>
        </w:tc>
        <w:tc>
          <w:tcPr>
            <w:tcW w:w="2420" w:type="dxa"/>
            <w:vAlign w:val="bottom"/>
            <w:gridSpan w:val="5"/>
          </w:tcPr>
          <w:p>
            <w:pPr>
              <w:jc w:val="right"/>
              <w:ind w:right="1000"/>
              <w:spacing w:after="0"/>
              <w:rPr>
                <w:sz w:val="20"/>
                <w:szCs w:val="20"/>
                <w:color w:val="auto"/>
              </w:rPr>
            </w:pPr>
            <w:r>
              <w:rPr>
                <w:rFonts w:ascii="Arial" w:cs="Arial" w:eastAsia="Arial" w:hAnsi="Arial"/>
                <w:sz w:val="14"/>
                <w:szCs w:val="14"/>
                <w:b w:val="1"/>
                <w:bCs w:val="1"/>
                <w:color w:val="auto"/>
              </w:rPr>
              <w:t>Three months ended</w:t>
            </w: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60" w:type="dxa"/>
            <w:vAlign w:val="bottom"/>
            <w:gridSpan w:val="5"/>
          </w:tcPr>
          <w:p>
            <w:pPr>
              <w:jc w:val="right"/>
              <w:ind w:right="1000"/>
              <w:spacing w:after="0"/>
              <w:rPr>
                <w:sz w:val="20"/>
                <w:szCs w:val="20"/>
                <w:color w:val="auto"/>
              </w:rPr>
            </w:pPr>
            <w:r>
              <w:rPr>
                <w:rFonts w:ascii="Arial" w:cs="Arial" w:eastAsia="Arial" w:hAnsi="Arial"/>
                <w:sz w:val="14"/>
                <w:szCs w:val="14"/>
                <w:b w:val="1"/>
                <w:bCs w:val="1"/>
                <w:color w:val="auto"/>
              </w:rPr>
              <w:t>Six months ended</w:t>
            </w: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r>
      <w:tr>
        <w:trPr>
          <w:trHeight w:val="161"/>
        </w:trPr>
        <w:tc>
          <w:tcPr>
            <w:tcW w:w="34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60" w:type="dxa"/>
            <w:vAlign w:val="bottom"/>
            <w:gridSpan w:val="3"/>
          </w:tcPr>
          <w:p>
            <w:pPr>
              <w:jc w:val="right"/>
              <w:ind w:right="1320"/>
              <w:spacing w:after="0"/>
              <w:rPr>
                <w:sz w:val="20"/>
                <w:szCs w:val="20"/>
                <w:color w:val="auto"/>
              </w:rPr>
            </w:pPr>
            <w:r>
              <w:rPr>
                <w:rFonts w:ascii="Arial" w:cs="Arial" w:eastAsia="Arial" w:hAnsi="Arial"/>
                <w:sz w:val="14"/>
                <w:szCs w:val="14"/>
                <w:b w:val="1"/>
                <w:bCs w:val="1"/>
                <w:color w:val="auto"/>
                <w:w w:val="92"/>
              </w:rPr>
              <w:t>June 30,</w:t>
            </w:r>
          </w:p>
        </w:tc>
        <w:tc>
          <w:tcPr>
            <w:tcW w:w="1900" w:type="dxa"/>
            <w:vAlign w:val="bottom"/>
            <w:gridSpan w:val="2"/>
          </w:tcPr>
          <w:p>
            <w:pPr>
              <w:jc w:val="center"/>
              <w:ind w:right="800"/>
              <w:spacing w:after="0"/>
              <w:rPr>
                <w:sz w:val="20"/>
                <w:szCs w:val="20"/>
                <w:color w:val="auto"/>
              </w:rPr>
            </w:pPr>
            <w:r>
              <w:rPr>
                <w:rFonts w:ascii="Arial" w:cs="Arial" w:eastAsia="Arial" w:hAnsi="Arial"/>
                <w:sz w:val="14"/>
                <w:szCs w:val="14"/>
                <w:b w:val="1"/>
                <w:bCs w:val="1"/>
                <w:color w:val="auto"/>
                <w:w w:val="84"/>
              </w:rPr>
              <w:t>Increase (decrease)</w:t>
            </w: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60" w:type="dxa"/>
            <w:vAlign w:val="bottom"/>
            <w:gridSpan w:val="3"/>
          </w:tcPr>
          <w:p>
            <w:pPr>
              <w:jc w:val="right"/>
              <w:ind w:right="1240"/>
              <w:spacing w:after="0"/>
              <w:rPr>
                <w:sz w:val="20"/>
                <w:szCs w:val="20"/>
                <w:color w:val="auto"/>
              </w:rPr>
            </w:pPr>
            <w:r>
              <w:rPr>
                <w:rFonts w:ascii="Arial" w:cs="Arial" w:eastAsia="Arial" w:hAnsi="Arial"/>
                <w:sz w:val="14"/>
                <w:szCs w:val="14"/>
                <w:b w:val="1"/>
                <w:bCs w:val="1"/>
                <w:color w:val="auto"/>
                <w:w w:val="89"/>
              </w:rPr>
              <w:t>June 30,</w:t>
            </w:r>
          </w:p>
        </w:tc>
        <w:tc>
          <w:tcPr>
            <w:tcW w:w="13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4"/>
              </w:rPr>
              <w:t>Increase (decrease)</w:t>
            </w:r>
          </w:p>
        </w:tc>
      </w:tr>
      <w:tr>
        <w:trPr>
          <w:trHeight w:val="142"/>
        </w:trPr>
        <w:tc>
          <w:tcPr>
            <w:tcW w:w="3480" w:type="dxa"/>
            <w:vAlign w:val="bottom"/>
          </w:tcPr>
          <w:p>
            <w:pPr>
              <w:spacing w:after="0"/>
              <w:rPr>
                <w:sz w:val="12"/>
                <w:szCs w:val="12"/>
                <w:color w:val="auto"/>
              </w:rPr>
            </w:pPr>
          </w:p>
        </w:tc>
        <w:tc>
          <w:tcPr>
            <w:tcW w:w="4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2010</w:t>
            </w:r>
          </w:p>
        </w:tc>
        <w:tc>
          <w:tcPr>
            <w:tcW w:w="16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2009</w:t>
            </w:r>
          </w:p>
        </w:tc>
        <w:tc>
          <w:tcPr>
            <w:tcW w:w="740" w:type="dxa"/>
            <w:vAlign w:val="bottom"/>
          </w:tcPr>
          <w:p>
            <w:pPr>
              <w:spacing w:after="0"/>
              <w:rPr>
                <w:sz w:val="12"/>
                <w:szCs w:val="12"/>
                <w:color w:val="auto"/>
              </w:rPr>
            </w:pPr>
          </w:p>
        </w:tc>
        <w:tc>
          <w:tcPr>
            <w:tcW w:w="110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7"/>
              </w:rPr>
              <w:t>2010 vs. 2009</w:t>
            </w:r>
          </w:p>
        </w:tc>
        <w:tc>
          <w:tcPr>
            <w:tcW w:w="800" w:type="dxa"/>
            <w:vAlign w:val="bottom"/>
          </w:tcPr>
          <w:p>
            <w:pPr>
              <w:spacing w:after="0"/>
              <w:rPr>
                <w:sz w:val="12"/>
                <w:szCs w:val="12"/>
                <w:color w:val="auto"/>
              </w:rPr>
            </w:pPr>
          </w:p>
        </w:tc>
        <w:tc>
          <w:tcPr>
            <w:tcW w:w="3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6"/>
              </w:rPr>
              <w:t>2010</w:t>
            </w:r>
          </w:p>
        </w:tc>
        <w:tc>
          <w:tcPr>
            <w:tcW w:w="14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3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6"/>
              </w:rPr>
              <w:t>2009</w:t>
            </w:r>
          </w:p>
        </w:tc>
        <w:tc>
          <w:tcPr>
            <w:tcW w:w="740" w:type="dxa"/>
            <w:vAlign w:val="bottom"/>
          </w:tcPr>
          <w:p>
            <w:pPr>
              <w:spacing w:after="0"/>
              <w:rPr>
                <w:sz w:val="12"/>
                <w:szCs w:val="12"/>
                <w:color w:val="auto"/>
              </w:rPr>
            </w:pPr>
          </w:p>
        </w:tc>
        <w:tc>
          <w:tcPr>
            <w:tcW w:w="110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7"/>
              </w:rPr>
              <w:t>2010 vs. 2009</w:t>
            </w:r>
          </w:p>
        </w:tc>
        <w:tc>
          <w:tcPr>
            <w:tcW w:w="260" w:type="dxa"/>
            <w:vAlign w:val="bottom"/>
          </w:tcPr>
          <w:p>
            <w:pPr>
              <w:spacing w:after="0"/>
              <w:rPr>
                <w:sz w:val="12"/>
                <w:szCs w:val="12"/>
                <w:color w:val="auto"/>
              </w:rPr>
            </w:pPr>
          </w:p>
        </w:tc>
      </w:tr>
      <w:tr>
        <w:trPr>
          <w:trHeight w:val="210"/>
        </w:trPr>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Loss ratio</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141%</w:t>
            </w:r>
          </w:p>
        </w:tc>
        <w:tc>
          <w:tcPr>
            <w:tcW w:w="186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225%</w:t>
            </w:r>
          </w:p>
        </w:tc>
        <w:tc>
          <w:tcPr>
            <w:tcW w:w="19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(84)%</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176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231%</w:t>
            </w:r>
          </w:p>
        </w:tc>
        <w:tc>
          <w:tcPr>
            <w:tcW w:w="13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w:t>
            </w:r>
          </w:p>
        </w:tc>
      </w:tr>
      <w:tr>
        <w:trPr>
          <w:trHeight w:val="222"/>
        </w:trPr>
        <w:tc>
          <w:tcPr>
            <w:tcW w:w="3480" w:type="dxa"/>
            <w:vAlign w:val="bottom"/>
          </w:tcPr>
          <w:p>
            <w:pPr>
              <w:spacing w:after="0"/>
              <w:rPr>
                <w:sz w:val="20"/>
                <w:szCs w:val="20"/>
                <w:color w:val="auto"/>
              </w:rPr>
            </w:pPr>
            <w:r>
              <w:rPr>
                <w:rFonts w:ascii="Arial" w:cs="Arial" w:eastAsia="Arial" w:hAnsi="Arial"/>
                <w:sz w:val="18"/>
                <w:szCs w:val="18"/>
                <w:color w:val="auto"/>
              </w:rPr>
              <w:t>Expense ratio</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25%</w:t>
            </w:r>
          </w:p>
        </w:tc>
        <w:tc>
          <w:tcPr>
            <w:tcW w:w="1860" w:type="dxa"/>
            <w:vAlign w:val="bottom"/>
            <w:gridSpan w:val="3"/>
          </w:tcPr>
          <w:p>
            <w:pPr>
              <w:jc w:val="right"/>
              <w:ind w:right="600"/>
              <w:spacing w:after="0"/>
              <w:rPr>
                <w:sz w:val="20"/>
                <w:szCs w:val="20"/>
                <w:color w:val="auto"/>
              </w:rPr>
            </w:pPr>
            <w:r>
              <w:rPr>
                <w:rFonts w:ascii="Arial" w:cs="Arial" w:eastAsia="Arial" w:hAnsi="Arial"/>
                <w:sz w:val="18"/>
                <w:szCs w:val="18"/>
                <w:color w:val="auto"/>
              </w:rPr>
              <w:t>24%</w:t>
            </w:r>
          </w:p>
        </w:tc>
        <w:tc>
          <w:tcPr>
            <w:tcW w:w="1900" w:type="dxa"/>
            <w:vAlign w:val="bottom"/>
            <w:gridSpan w:val="2"/>
          </w:tcPr>
          <w:p>
            <w:pPr>
              <w:jc w:val="right"/>
              <w:ind w:right="640"/>
              <w:spacing w:after="0"/>
              <w:rPr>
                <w:sz w:val="20"/>
                <w:szCs w:val="20"/>
                <w:color w:val="auto"/>
              </w:rPr>
            </w:pPr>
            <w:r>
              <w:rPr>
                <w:rFonts w:ascii="Arial" w:cs="Arial" w:eastAsia="Arial" w:hAnsi="Arial"/>
                <w:sz w:val="18"/>
                <w:szCs w:val="18"/>
                <w:color w:val="auto"/>
              </w:rPr>
              <w:t>1%</w:t>
            </w: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25%</w:t>
            </w:r>
          </w:p>
        </w:tc>
        <w:tc>
          <w:tcPr>
            <w:tcW w:w="1760" w:type="dxa"/>
            <w:vAlign w:val="bottom"/>
            <w:gridSpan w:val="3"/>
          </w:tcPr>
          <w:p>
            <w:pPr>
              <w:jc w:val="right"/>
              <w:ind w:right="600"/>
              <w:spacing w:after="0"/>
              <w:rPr>
                <w:sz w:val="20"/>
                <w:szCs w:val="20"/>
                <w:color w:val="auto"/>
              </w:rPr>
            </w:pPr>
            <w:r>
              <w:rPr>
                <w:rFonts w:ascii="Arial" w:cs="Arial" w:eastAsia="Arial" w:hAnsi="Arial"/>
                <w:sz w:val="18"/>
                <w:szCs w:val="18"/>
                <w:color w:val="auto"/>
              </w:rPr>
              <w:t>23%</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r>
    </w:tbl>
    <w:p>
      <w:pPr>
        <w:spacing w:after="0" w:line="147"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color w:val="auto"/>
        </w:rPr>
        <w:t>The loss ratio is the ratio of incurred losses and loss adjustment expenses to net earned premiums. The expense ratio is the ratio of general expenses to net premiums written. In our business, general expenses consist of acquisition and operating expenses, net of deferrals, and amortization of deferred acquisition costs and intangibles.</w:t>
      </w:r>
    </w:p>
    <w:p>
      <w:pPr>
        <w:spacing w:after="0" w:line="140" w:lineRule="exact"/>
        <w:rPr>
          <w:sz w:val="20"/>
          <w:szCs w:val="20"/>
          <w:color w:val="auto"/>
        </w:rPr>
      </w:pPr>
    </w:p>
    <w:p>
      <w:pPr>
        <w:ind w:right="180" w:firstLine="456"/>
        <w:spacing w:after="0" w:line="255" w:lineRule="auto"/>
        <w:rPr>
          <w:sz w:val="20"/>
          <w:szCs w:val="20"/>
          <w:color w:val="auto"/>
        </w:rPr>
      </w:pPr>
      <w:r>
        <w:rPr>
          <w:rFonts w:ascii="Arial" w:cs="Arial" w:eastAsia="Arial" w:hAnsi="Arial"/>
          <w:sz w:val="18"/>
          <w:szCs w:val="18"/>
          <w:color w:val="auto"/>
        </w:rPr>
        <w:t>For the three months ended June 30, 2010, the decrease in the loss ratio was primarily attributable to a decrease in change in reserves which was partially offset by an increase in paid claims. The decrease in change in reserves was primarily driven by lower new delinquencies and a decrease in delinquencies from the fourth quarter of 2009 related to increased loss mitigation efforts. The increase in paid claims was attributable to an increase in average claim payments reflecting higher loan balances in more recent book years and higher claim counts. Partially offsetting the decrease in the loss ratio was a decline in net earned premiums.</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107</w:t>
      </w:r>
    </w:p>
    <w:p>
      <w:pPr>
        <w:sectPr>
          <w:pgSz w:w="11900" w:h="16838" w:orient="portrait"/>
          <w:cols w:equalWidth="0" w:num="1">
            <w:col w:w="11420"/>
          </w:cols>
          <w:pgMar w:left="240" w:top="459" w:right="239" w:bottom="1440" w:gutter="0" w:footer="0" w:header="0"/>
        </w:sectPr>
      </w:pPr>
    </w:p>
    <w:bookmarkStart w:id="107" w:name="page108"/>
    <w:bookmarkEnd w:id="10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For the six months ended June 30, 2010, the decrease in the loss ratio was primarily attributable to a decrease in change in reserves which was partially offset by an increase in paid claims. The remaining decrease in change in reserves was primarily driven by lower new delinquencies and a decrease in delinquencies from the fourth quarter of 2009 related to increased loss mitigation efforts. The increase in paid claims was attributable to an increase in average claim payments reflecting higher loan balances in more recent book years and higher claim counts. Partially offsetting the decrease in the loss ratio was a decline in net earned premiums.</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expense ratio increased as a result of a decrease in net premiums written for the three and six months ended June 30, 2010.</w:t>
      </w:r>
    </w:p>
    <w:p>
      <w:pPr>
        <w:spacing w:after="0" w:line="252"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Delinquent loans</w:t>
      </w:r>
    </w:p>
    <w:p>
      <w:pPr>
        <w:spacing w:after="0" w:line="90" w:lineRule="exact"/>
        <w:rPr>
          <w:sz w:val="20"/>
          <w:szCs w:val="20"/>
          <w:color w:val="auto"/>
        </w:rPr>
      </w:pPr>
    </w:p>
    <w:p>
      <w:pPr>
        <w:ind w:right="540" w:firstLine="456"/>
        <w:spacing w:after="0" w:line="268" w:lineRule="auto"/>
        <w:rPr>
          <w:sz w:val="20"/>
          <w:szCs w:val="20"/>
          <w:color w:val="auto"/>
        </w:rPr>
      </w:pPr>
      <w:r>
        <w:rPr>
          <w:rFonts w:ascii="Arial" w:cs="Arial" w:eastAsia="Arial" w:hAnsi="Arial"/>
          <w:sz w:val="18"/>
          <w:szCs w:val="18"/>
          <w:color w:val="auto"/>
        </w:rPr>
        <w:t>The following table sets forth the number of loans insured, the number of delinquent loans and the delinquency rate for our U.S. mortgage insurance portfolio as of the dates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000" w:type="dxa"/>
            <w:vAlign w:val="bottom"/>
          </w:tcPr>
          <w:p>
            <w:pPr>
              <w:spacing w:after="0"/>
              <w:rPr>
                <w:sz w:val="14"/>
                <w:szCs w:val="14"/>
                <w:color w:val="auto"/>
              </w:rPr>
            </w:pPr>
          </w:p>
        </w:tc>
        <w:tc>
          <w:tcPr>
            <w:tcW w:w="120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w w:val="89"/>
              </w:rPr>
              <w:t>June 30,</w:t>
            </w:r>
          </w:p>
        </w:tc>
        <w:tc>
          <w:tcPr>
            <w:tcW w:w="142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w w:val="83"/>
              </w:rPr>
              <w:t>December 31,</w:t>
            </w:r>
          </w:p>
        </w:tc>
        <w:tc>
          <w:tcPr>
            <w:tcW w:w="7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9"/>
              </w:rPr>
              <w:t>June 30,</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8000" w:type="dxa"/>
            <w:vAlign w:val="bottom"/>
          </w:tcPr>
          <w:p>
            <w:pPr>
              <w:spacing w:after="0"/>
              <w:rPr>
                <w:sz w:val="14"/>
                <w:szCs w:val="14"/>
                <w:color w:val="auto"/>
              </w:rPr>
            </w:pPr>
          </w:p>
        </w:tc>
        <w:tc>
          <w:tcPr>
            <w:tcW w:w="580" w:type="dxa"/>
            <w:vAlign w:val="bottom"/>
            <w:tcBorders>
              <w:bottom w:val="single" w:sz="8" w:color="auto"/>
            </w:tcBorders>
          </w:tcPr>
          <w:p>
            <w:pPr>
              <w:jc w:val="right"/>
              <w:ind w:right="75"/>
              <w:spacing w:after="0"/>
              <w:rPr>
                <w:sz w:val="20"/>
                <w:szCs w:val="20"/>
                <w:color w:val="auto"/>
              </w:rPr>
            </w:pPr>
            <w:r>
              <w:rPr>
                <w:rFonts w:ascii="Arial" w:cs="Arial" w:eastAsia="Arial" w:hAnsi="Arial"/>
                <w:sz w:val="14"/>
                <w:szCs w:val="14"/>
                <w:b w:val="1"/>
                <w:bCs w:val="1"/>
                <w:color w:val="auto"/>
              </w:rPr>
              <w:t>2010</w:t>
            </w:r>
          </w:p>
        </w:tc>
        <w:tc>
          <w:tcPr>
            <w:tcW w:w="620" w:type="dxa"/>
            <w:vAlign w:val="bottom"/>
          </w:tcPr>
          <w:p>
            <w:pPr>
              <w:spacing w:after="0"/>
              <w:rPr>
                <w:sz w:val="14"/>
                <w:szCs w:val="14"/>
                <w:color w:val="auto"/>
              </w:rPr>
            </w:pPr>
          </w:p>
        </w:tc>
        <w:tc>
          <w:tcPr>
            <w:tcW w:w="800" w:type="dxa"/>
            <w:vAlign w:val="bottom"/>
            <w:tcBorders>
              <w:bottom w:val="single" w:sz="8" w:color="auto"/>
            </w:tcBorders>
          </w:tcPr>
          <w:p>
            <w:pPr>
              <w:jc w:val="right"/>
              <w:ind w:right="175"/>
              <w:spacing w:after="0"/>
              <w:rPr>
                <w:sz w:val="20"/>
                <w:szCs w:val="20"/>
                <w:color w:val="auto"/>
              </w:rPr>
            </w:pPr>
            <w:r>
              <w:rPr>
                <w:rFonts w:ascii="Arial" w:cs="Arial" w:eastAsia="Arial" w:hAnsi="Arial"/>
                <w:sz w:val="14"/>
                <w:szCs w:val="14"/>
                <w:b w:val="1"/>
                <w:bCs w:val="1"/>
                <w:color w:val="auto"/>
              </w:rPr>
              <w:t>2009</w:t>
            </w:r>
          </w:p>
        </w:tc>
        <w:tc>
          <w:tcPr>
            <w:tcW w:w="620" w:type="dxa"/>
            <w:vAlign w:val="bottom"/>
          </w:tcPr>
          <w:p>
            <w:pPr>
              <w:spacing w:after="0"/>
              <w:rPr>
                <w:sz w:val="14"/>
                <w:szCs w:val="14"/>
                <w:color w:val="auto"/>
              </w:rPr>
            </w:pPr>
          </w:p>
        </w:tc>
        <w:tc>
          <w:tcPr>
            <w:tcW w:w="580" w:type="dxa"/>
            <w:vAlign w:val="bottom"/>
            <w:tcBorders>
              <w:bottom w:val="single" w:sz="8" w:color="auto"/>
            </w:tcBorders>
          </w:tcPr>
          <w:p>
            <w:pPr>
              <w:jc w:val="right"/>
              <w:ind w:right="75"/>
              <w:spacing w:after="0"/>
              <w:rPr>
                <w:sz w:val="20"/>
                <w:szCs w:val="20"/>
                <w:color w:val="auto"/>
              </w:rPr>
            </w:pPr>
            <w:r>
              <w:rPr>
                <w:rFonts w:ascii="Arial" w:cs="Arial" w:eastAsia="Arial" w:hAnsi="Arial"/>
                <w:sz w:val="14"/>
                <w:szCs w:val="14"/>
                <w:b w:val="1"/>
                <w:bCs w:val="1"/>
                <w:color w:val="auto"/>
              </w:rPr>
              <w:t>2009</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Primary insurance:</w:t>
            </w:r>
          </w:p>
        </w:tc>
        <w:tc>
          <w:tcPr>
            <w:tcW w:w="5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00" w:type="dxa"/>
            <w:vAlign w:val="bottom"/>
          </w:tcPr>
          <w:p>
            <w:pPr>
              <w:spacing w:after="0"/>
              <w:rPr>
                <w:sz w:val="20"/>
                <w:szCs w:val="20"/>
                <w:color w:val="auto"/>
              </w:rPr>
            </w:pPr>
            <w:r>
              <w:rPr>
                <w:rFonts w:ascii="Arial" w:cs="Arial" w:eastAsia="Arial" w:hAnsi="Arial"/>
                <w:sz w:val="18"/>
                <w:szCs w:val="18"/>
                <w:color w:val="auto"/>
              </w:rPr>
              <w:t>Insured loans in-force</w:t>
            </w:r>
          </w:p>
        </w:tc>
        <w:tc>
          <w:tcPr>
            <w:tcW w:w="1200" w:type="dxa"/>
            <w:vAlign w:val="bottom"/>
            <w:gridSpan w:val="2"/>
          </w:tcPr>
          <w:p>
            <w:pPr>
              <w:jc w:val="right"/>
              <w:ind w:right="620"/>
              <w:spacing w:after="0"/>
              <w:rPr>
                <w:sz w:val="20"/>
                <w:szCs w:val="20"/>
                <w:color w:val="auto"/>
              </w:rPr>
            </w:pPr>
            <w:r>
              <w:rPr>
                <w:rFonts w:ascii="Arial" w:cs="Arial" w:eastAsia="Arial" w:hAnsi="Arial"/>
                <w:sz w:val="18"/>
                <w:szCs w:val="18"/>
                <w:color w:val="auto"/>
                <w:w w:val="86"/>
              </w:rPr>
              <w:t>821,617</w:t>
            </w:r>
          </w:p>
        </w:tc>
        <w:tc>
          <w:tcPr>
            <w:tcW w:w="800" w:type="dxa"/>
            <w:vAlign w:val="bottom"/>
          </w:tcPr>
          <w:p>
            <w:pPr>
              <w:jc w:val="right"/>
              <w:spacing w:after="0"/>
              <w:rPr>
                <w:sz w:val="20"/>
                <w:szCs w:val="20"/>
                <w:color w:val="auto"/>
              </w:rPr>
            </w:pPr>
            <w:r>
              <w:rPr>
                <w:rFonts w:ascii="Arial" w:cs="Arial" w:eastAsia="Arial" w:hAnsi="Arial"/>
                <w:sz w:val="18"/>
                <w:szCs w:val="18"/>
                <w:color w:val="auto"/>
              </w:rPr>
              <w:t>890,730</w:t>
            </w:r>
          </w:p>
        </w:tc>
        <w:tc>
          <w:tcPr>
            <w:tcW w:w="62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947,777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Delinquent loans</w:t>
            </w:r>
          </w:p>
        </w:tc>
        <w:tc>
          <w:tcPr>
            <w:tcW w:w="120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86"/>
              </w:rPr>
              <w:t>101,759</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122,279</w:t>
            </w:r>
          </w:p>
        </w:tc>
        <w:tc>
          <w:tcPr>
            <w:tcW w:w="6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102,800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00" w:type="dxa"/>
            <w:vAlign w:val="bottom"/>
          </w:tcPr>
          <w:p>
            <w:pPr>
              <w:spacing w:after="0"/>
              <w:rPr>
                <w:sz w:val="20"/>
                <w:szCs w:val="20"/>
                <w:color w:val="auto"/>
              </w:rPr>
            </w:pPr>
            <w:r>
              <w:rPr>
                <w:rFonts w:ascii="Arial" w:cs="Arial" w:eastAsia="Arial" w:hAnsi="Arial"/>
                <w:sz w:val="18"/>
                <w:szCs w:val="18"/>
                <w:color w:val="auto"/>
              </w:rPr>
              <w:t>Percentage of delinquent loans (delinquency rate)</w:t>
            </w:r>
          </w:p>
        </w:tc>
        <w:tc>
          <w:tcPr>
            <w:tcW w:w="1200" w:type="dxa"/>
            <w:vAlign w:val="bottom"/>
            <w:gridSpan w:val="2"/>
          </w:tcPr>
          <w:p>
            <w:pPr>
              <w:jc w:val="right"/>
              <w:ind w:right="480"/>
              <w:spacing w:after="0"/>
              <w:rPr>
                <w:sz w:val="20"/>
                <w:szCs w:val="20"/>
                <w:color w:val="auto"/>
              </w:rPr>
            </w:pPr>
            <w:r>
              <w:rPr>
                <w:rFonts w:ascii="Arial" w:cs="Arial" w:eastAsia="Arial" w:hAnsi="Arial"/>
                <w:sz w:val="18"/>
                <w:szCs w:val="18"/>
                <w:color w:val="auto"/>
              </w:rPr>
              <w:t>12.39%</w:t>
            </w:r>
          </w:p>
        </w:tc>
        <w:tc>
          <w:tcPr>
            <w:tcW w:w="1420" w:type="dxa"/>
            <w:vAlign w:val="bottom"/>
            <w:gridSpan w:val="2"/>
          </w:tcPr>
          <w:p>
            <w:pPr>
              <w:jc w:val="right"/>
              <w:ind w:right="480"/>
              <w:spacing w:after="0"/>
              <w:rPr>
                <w:sz w:val="20"/>
                <w:szCs w:val="20"/>
                <w:color w:val="auto"/>
              </w:rPr>
            </w:pPr>
            <w:r>
              <w:rPr>
                <w:rFonts w:ascii="Arial" w:cs="Arial" w:eastAsia="Arial" w:hAnsi="Arial"/>
                <w:sz w:val="18"/>
                <w:szCs w:val="18"/>
                <w:color w:val="auto"/>
              </w:rPr>
              <w:t>13.73%</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10.85%</w:t>
            </w: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8000" w:type="dxa"/>
            <w:vAlign w:val="bottom"/>
          </w:tcPr>
          <w:p>
            <w:pPr>
              <w:spacing w:after="0"/>
              <w:rPr>
                <w:sz w:val="8"/>
                <w:szCs w:val="8"/>
                <w:color w:val="auto"/>
              </w:rPr>
            </w:pPr>
          </w:p>
        </w:tc>
        <w:tc>
          <w:tcPr>
            <w:tcW w:w="58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Flow loans in-force</w:t>
            </w:r>
          </w:p>
        </w:tc>
        <w:tc>
          <w:tcPr>
            <w:tcW w:w="120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86"/>
              </w:rPr>
              <w:t>723,301</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753,370</w:t>
            </w:r>
          </w:p>
        </w:tc>
        <w:tc>
          <w:tcPr>
            <w:tcW w:w="6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796,633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00" w:type="dxa"/>
            <w:vAlign w:val="bottom"/>
          </w:tcPr>
          <w:p>
            <w:pPr>
              <w:spacing w:after="0"/>
              <w:rPr>
                <w:sz w:val="20"/>
                <w:szCs w:val="20"/>
                <w:color w:val="auto"/>
              </w:rPr>
            </w:pPr>
            <w:r>
              <w:rPr>
                <w:rFonts w:ascii="Arial" w:cs="Arial" w:eastAsia="Arial" w:hAnsi="Arial"/>
                <w:sz w:val="18"/>
                <w:szCs w:val="18"/>
                <w:color w:val="auto"/>
              </w:rPr>
              <w:t>Flow delinquent loans</w:t>
            </w:r>
          </w:p>
        </w:tc>
        <w:tc>
          <w:tcPr>
            <w:tcW w:w="1200" w:type="dxa"/>
            <w:vAlign w:val="bottom"/>
            <w:gridSpan w:val="2"/>
          </w:tcPr>
          <w:p>
            <w:pPr>
              <w:jc w:val="right"/>
              <w:ind w:right="620"/>
              <w:spacing w:after="0"/>
              <w:rPr>
                <w:sz w:val="20"/>
                <w:szCs w:val="20"/>
                <w:color w:val="auto"/>
              </w:rPr>
            </w:pPr>
            <w:r>
              <w:rPr>
                <w:rFonts w:ascii="Arial" w:cs="Arial" w:eastAsia="Arial" w:hAnsi="Arial"/>
                <w:sz w:val="18"/>
                <w:szCs w:val="18"/>
                <w:color w:val="auto"/>
              </w:rPr>
              <w:t>98,771</w:t>
            </w:r>
          </w:p>
        </w:tc>
        <w:tc>
          <w:tcPr>
            <w:tcW w:w="800" w:type="dxa"/>
            <w:vAlign w:val="bottom"/>
          </w:tcPr>
          <w:p>
            <w:pPr>
              <w:jc w:val="right"/>
              <w:spacing w:after="0"/>
              <w:rPr>
                <w:sz w:val="20"/>
                <w:szCs w:val="20"/>
                <w:color w:val="auto"/>
              </w:rPr>
            </w:pPr>
            <w:r>
              <w:rPr>
                <w:rFonts w:ascii="Arial" w:cs="Arial" w:eastAsia="Arial" w:hAnsi="Arial"/>
                <w:sz w:val="18"/>
                <w:szCs w:val="18"/>
                <w:color w:val="auto"/>
              </w:rPr>
              <w:t>107,495</w:t>
            </w:r>
          </w:p>
        </w:tc>
        <w:tc>
          <w:tcPr>
            <w:tcW w:w="62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87,590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Percentage of flow delinquent loans (delinquency rate)</w:t>
            </w:r>
          </w:p>
        </w:tc>
        <w:tc>
          <w:tcPr>
            <w:tcW w:w="12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13.66%</w:t>
            </w:r>
          </w:p>
        </w:tc>
        <w:tc>
          <w:tcPr>
            <w:tcW w:w="14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14.27%</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11.00%</w:t>
            </w:r>
          </w:p>
        </w:tc>
        <w:tc>
          <w:tcPr>
            <w:tcW w:w="0" w:type="dxa"/>
            <w:vAlign w:val="bottom"/>
          </w:tcPr>
          <w:p>
            <w:pPr>
              <w:spacing w:after="0"/>
              <w:rPr>
                <w:sz w:val="1"/>
                <w:szCs w:val="1"/>
                <w:color w:val="auto"/>
              </w:rPr>
            </w:pPr>
          </w:p>
        </w:tc>
      </w:tr>
      <w:tr>
        <w:trPr>
          <w:trHeight w:val="322"/>
        </w:trPr>
        <w:tc>
          <w:tcPr>
            <w:tcW w:w="8020" w:type="dxa"/>
            <w:vAlign w:val="bottom"/>
            <w:gridSpan w:val="2"/>
          </w:tcPr>
          <w:p>
            <w:pPr>
              <w:spacing w:after="0"/>
              <w:rPr>
                <w:sz w:val="20"/>
                <w:szCs w:val="20"/>
                <w:color w:val="auto"/>
              </w:rPr>
            </w:pPr>
            <w:r>
              <w:rPr>
                <w:rFonts w:ascii="Arial" w:cs="Arial" w:eastAsia="Arial" w:hAnsi="Arial"/>
                <w:sz w:val="18"/>
                <w:szCs w:val="18"/>
                <w:color w:val="auto"/>
              </w:rPr>
              <w:t>Bulk loans in-force</w:t>
            </w:r>
          </w:p>
        </w:tc>
        <w:tc>
          <w:tcPr>
            <w:tcW w:w="1200" w:type="dxa"/>
            <w:vAlign w:val="bottom"/>
            <w:gridSpan w:val="2"/>
          </w:tcPr>
          <w:p>
            <w:pPr>
              <w:jc w:val="right"/>
              <w:ind w:right="620"/>
              <w:spacing w:after="0"/>
              <w:rPr>
                <w:sz w:val="20"/>
                <w:szCs w:val="20"/>
                <w:color w:val="auto"/>
              </w:rPr>
            </w:pPr>
            <w:r>
              <w:rPr>
                <w:rFonts w:ascii="Arial" w:cs="Arial" w:eastAsia="Arial" w:hAnsi="Arial"/>
                <w:sz w:val="18"/>
                <w:szCs w:val="18"/>
                <w:color w:val="auto"/>
              </w:rPr>
              <w:t>98,316</w:t>
            </w:r>
          </w:p>
        </w:tc>
        <w:tc>
          <w:tcPr>
            <w:tcW w:w="800" w:type="dxa"/>
            <w:vAlign w:val="bottom"/>
          </w:tcPr>
          <w:p>
            <w:pPr>
              <w:jc w:val="right"/>
              <w:spacing w:after="0"/>
              <w:rPr>
                <w:sz w:val="20"/>
                <w:szCs w:val="20"/>
                <w:color w:val="auto"/>
              </w:rPr>
            </w:pPr>
            <w:r>
              <w:rPr>
                <w:rFonts w:ascii="Arial" w:cs="Arial" w:eastAsia="Arial" w:hAnsi="Arial"/>
                <w:sz w:val="18"/>
                <w:szCs w:val="18"/>
                <w:color w:val="auto"/>
              </w:rPr>
              <w:t>137,360</w:t>
            </w:r>
          </w:p>
        </w:tc>
        <w:tc>
          <w:tcPr>
            <w:tcW w:w="620" w:type="dxa"/>
            <w:vAlign w:val="bottom"/>
          </w:tcPr>
          <w:p>
            <w:pPr>
              <w:spacing w:after="0"/>
              <w:rPr>
                <w:sz w:val="24"/>
                <w:szCs w:val="24"/>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151,144</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Bulk delinquent loans </w:t>
            </w:r>
            <w:r>
              <w:rPr>
                <w:rFonts w:ascii="Arial" w:cs="Arial" w:eastAsia="Arial" w:hAnsi="Arial"/>
                <w:sz w:val="11"/>
                <w:szCs w:val="11"/>
                <w:color w:val="auto"/>
              </w:rPr>
              <w:t>(1)</w:t>
            </w:r>
          </w:p>
        </w:tc>
        <w:tc>
          <w:tcPr>
            <w:tcW w:w="120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2,988</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14,784</w:t>
            </w:r>
          </w:p>
        </w:tc>
        <w:tc>
          <w:tcPr>
            <w:tcW w:w="6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15,210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00" w:type="dxa"/>
            <w:vAlign w:val="bottom"/>
          </w:tcPr>
          <w:p>
            <w:pPr>
              <w:spacing w:after="0"/>
              <w:rPr>
                <w:sz w:val="20"/>
                <w:szCs w:val="20"/>
                <w:color w:val="auto"/>
              </w:rPr>
            </w:pPr>
            <w:r>
              <w:rPr>
                <w:rFonts w:ascii="Arial" w:cs="Arial" w:eastAsia="Arial" w:hAnsi="Arial"/>
                <w:sz w:val="18"/>
                <w:szCs w:val="18"/>
                <w:color w:val="auto"/>
              </w:rPr>
              <w:t>Percentage of bulk delinquent loans (delinquency rate)</w:t>
            </w:r>
          </w:p>
        </w:tc>
        <w:tc>
          <w:tcPr>
            <w:tcW w:w="1200" w:type="dxa"/>
            <w:vAlign w:val="bottom"/>
            <w:gridSpan w:val="2"/>
          </w:tcPr>
          <w:p>
            <w:pPr>
              <w:jc w:val="right"/>
              <w:ind w:right="480"/>
              <w:spacing w:after="0"/>
              <w:rPr>
                <w:sz w:val="20"/>
                <w:szCs w:val="20"/>
                <w:color w:val="auto"/>
              </w:rPr>
            </w:pPr>
            <w:r>
              <w:rPr>
                <w:rFonts w:ascii="Arial" w:cs="Arial" w:eastAsia="Arial" w:hAnsi="Arial"/>
                <w:sz w:val="18"/>
                <w:szCs w:val="18"/>
                <w:color w:val="auto"/>
              </w:rPr>
              <w:t>3.04%</w:t>
            </w:r>
          </w:p>
        </w:tc>
        <w:tc>
          <w:tcPr>
            <w:tcW w:w="1420" w:type="dxa"/>
            <w:vAlign w:val="bottom"/>
            <w:gridSpan w:val="2"/>
          </w:tcPr>
          <w:p>
            <w:pPr>
              <w:jc w:val="right"/>
              <w:ind w:right="480"/>
              <w:spacing w:after="0"/>
              <w:rPr>
                <w:sz w:val="20"/>
                <w:szCs w:val="20"/>
                <w:color w:val="auto"/>
              </w:rPr>
            </w:pPr>
            <w:r>
              <w:rPr>
                <w:rFonts w:ascii="Arial" w:cs="Arial" w:eastAsia="Arial" w:hAnsi="Arial"/>
                <w:sz w:val="18"/>
                <w:szCs w:val="18"/>
                <w:color w:val="auto"/>
              </w:rPr>
              <w:t>10.76%</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10.06%</w:t>
            </w: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8000" w:type="dxa"/>
            <w:vAlign w:val="bottom"/>
          </w:tcPr>
          <w:p>
            <w:pPr>
              <w:spacing w:after="0"/>
              <w:rPr>
                <w:sz w:val="8"/>
                <w:szCs w:val="8"/>
                <w:color w:val="auto"/>
              </w:rPr>
            </w:pPr>
          </w:p>
        </w:tc>
        <w:tc>
          <w:tcPr>
            <w:tcW w:w="58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A minus and sub-prime loans in-force</w:t>
            </w:r>
          </w:p>
        </w:tc>
        <w:tc>
          <w:tcPr>
            <w:tcW w:w="120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83,859</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89,678</w:t>
            </w:r>
          </w:p>
        </w:tc>
        <w:tc>
          <w:tcPr>
            <w:tcW w:w="6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97,271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00" w:type="dxa"/>
            <w:vAlign w:val="bottom"/>
          </w:tcPr>
          <w:p>
            <w:pPr>
              <w:spacing w:after="0"/>
              <w:rPr>
                <w:sz w:val="20"/>
                <w:szCs w:val="20"/>
                <w:color w:val="auto"/>
              </w:rPr>
            </w:pPr>
            <w:r>
              <w:rPr>
                <w:rFonts w:ascii="Arial" w:cs="Arial" w:eastAsia="Arial" w:hAnsi="Arial"/>
                <w:sz w:val="18"/>
                <w:szCs w:val="18"/>
                <w:color w:val="auto"/>
              </w:rPr>
              <w:t>A minus and sub-prime delinquent loans</w:t>
            </w:r>
          </w:p>
        </w:tc>
        <w:tc>
          <w:tcPr>
            <w:tcW w:w="1200" w:type="dxa"/>
            <w:vAlign w:val="bottom"/>
            <w:gridSpan w:val="2"/>
          </w:tcPr>
          <w:p>
            <w:pPr>
              <w:jc w:val="right"/>
              <w:ind w:right="620"/>
              <w:spacing w:after="0"/>
              <w:rPr>
                <w:sz w:val="20"/>
                <w:szCs w:val="20"/>
                <w:color w:val="auto"/>
              </w:rPr>
            </w:pPr>
            <w:r>
              <w:rPr>
                <w:rFonts w:ascii="Arial" w:cs="Arial" w:eastAsia="Arial" w:hAnsi="Arial"/>
                <w:sz w:val="18"/>
                <w:szCs w:val="18"/>
                <w:color w:val="auto"/>
              </w:rPr>
              <w:t>24,867</w:t>
            </w:r>
          </w:p>
        </w:tc>
        <w:tc>
          <w:tcPr>
            <w:tcW w:w="800" w:type="dxa"/>
            <w:vAlign w:val="bottom"/>
          </w:tcPr>
          <w:p>
            <w:pPr>
              <w:jc w:val="right"/>
              <w:spacing w:after="0"/>
              <w:rPr>
                <w:sz w:val="20"/>
                <w:szCs w:val="20"/>
                <w:color w:val="auto"/>
              </w:rPr>
            </w:pPr>
            <w:r>
              <w:rPr>
                <w:rFonts w:ascii="Arial" w:cs="Arial" w:eastAsia="Arial" w:hAnsi="Arial"/>
                <w:sz w:val="18"/>
                <w:szCs w:val="18"/>
                <w:color w:val="auto"/>
              </w:rPr>
              <w:t>29,238</w:t>
            </w:r>
          </w:p>
        </w:tc>
        <w:tc>
          <w:tcPr>
            <w:tcW w:w="62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25,271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Percentage of A minus and sub-prime delinquent loans (delinquency rate)</w:t>
            </w:r>
          </w:p>
        </w:tc>
        <w:tc>
          <w:tcPr>
            <w:tcW w:w="12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29.65%</w:t>
            </w:r>
          </w:p>
        </w:tc>
        <w:tc>
          <w:tcPr>
            <w:tcW w:w="14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32.60%</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25.98%</w:t>
            </w:r>
          </w:p>
        </w:tc>
        <w:tc>
          <w:tcPr>
            <w:tcW w:w="0" w:type="dxa"/>
            <w:vAlign w:val="bottom"/>
          </w:tcPr>
          <w:p>
            <w:pPr>
              <w:spacing w:after="0"/>
              <w:rPr>
                <w:sz w:val="1"/>
                <w:szCs w:val="1"/>
                <w:color w:val="auto"/>
              </w:rPr>
            </w:pPr>
          </w:p>
        </w:tc>
      </w:tr>
      <w:tr>
        <w:trPr>
          <w:trHeight w:val="322"/>
        </w:trPr>
        <w:tc>
          <w:tcPr>
            <w:tcW w:w="8020" w:type="dxa"/>
            <w:vAlign w:val="bottom"/>
            <w:gridSpan w:val="2"/>
          </w:tcPr>
          <w:p>
            <w:pPr>
              <w:spacing w:after="0"/>
              <w:rPr>
                <w:sz w:val="20"/>
                <w:szCs w:val="20"/>
                <w:color w:val="auto"/>
              </w:rPr>
            </w:pPr>
            <w:r>
              <w:rPr>
                <w:rFonts w:ascii="Arial" w:cs="Arial" w:eastAsia="Arial" w:hAnsi="Arial"/>
                <w:sz w:val="18"/>
                <w:szCs w:val="18"/>
                <w:color w:val="auto"/>
              </w:rPr>
              <w:t>Pool insurance:</w:t>
            </w:r>
          </w:p>
        </w:tc>
        <w:tc>
          <w:tcPr>
            <w:tcW w:w="5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Insured loans in-force</w:t>
            </w:r>
          </w:p>
        </w:tc>
        <w:tc>
          <w:tcPr>
            <w:tcW w:w="120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19,473</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20,370</w:t>
            </w:r>
          </w:p>
        </w:tc>
        <w:tc>
          <w:tcPr>
            <w:tcW w:w="6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21,166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00" w:type="dxa"/>
            <w:vAlign w:val="bottom"/>
          </w:tcPr>
          <w:p>
            <w:pPr>
              <w:spacing w:after="0"/>
              <w:rPr>
                <w:sz w:val="20"/>
                <w:szCs w:val="20"/>
                <w:color w:val="auto"/>
              </w:rPr>
            </w:pPr>
            <w:r>
              <w:rPr>
                <w:rFonts w:ascii="Arial" w:cs="Arial" w:eastAsia="Arial" w:hAnsi="Arial"/>
                <w:sz w:val="18"/>
                <w:szCs w:val="18"/>
                <w:color w:val="auto"/>
              </w:rPr>
              <w:t>Delinquent loans</w:t>
            </w:r>
          </w:p>
        </w:tc>
        <w:tc>
          <w:tcPr>
            <w:tcW w:w="1200" w:type="dxa"/>
            <w:vAlign w:val="bottom"/>
            <w:gridSpan w:val="2"/>
          </w:tcPr>
          <w:p>
            <w:pPr>
              <w:jc w:val="right"/>
              <w:ind w:right="620"/>
              <w:spacing w:after="0"/>
              <w:rPr>
                <w:sz w:val="20"/>
                <w:szCs w:val="20"/>
                <w:color w:val="auto"/>
              </w:rPr>
            </w:pPr>
            <w:r>
              <w:rPr>
                <w:rFonts w:ascii="Arial" w:cs="Arial" w:eastAsia="Arial" w:hAnsi="Arial"/>
                <w:sz w:val="18"/>
                <w:szCs w:val="18"/>
                <w:color w:val="auto"/>
              </w:rPr>
              <w:t>831</w:t>
            </w:r>
          </w:p>
        </w:tc>
        <w:tc>
          <w:tcPr>
            <w:tcW w:w="800" w:type="dxa"/>
            <w:vAlign w:val="bottom"/>
          </w:tcPr>
          <w:p>
            <w:pPr>
              <w:jc w:val="right"/>
              <w:spacing w:after="0"/>
              <w:rPr>
                <w:sz w:val="20"/>
                <w:szCs w:val="20"/>
                <w:color w:val="auto"/>
              </w:rPr>
            </w:pPr>
            <w:r>
              <w:rPr>
                <w:rFonts w:ascii="Arial" w:cs="Arial" w:eastAsia="Arial" w:hAnsi="Arial"/>
                <w:sz w:val="18"/>
                <w:szCs w:val="18"/>
                <w:color w:val="auto"/>
              </w:rPr>
              <w:t>781</w:t>
            </w:r>
          </w:p>
        </w:tc>
        <w:tc>
          <w:tcPr>
            <w:tcW w:w="62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632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Percentage of delinquent loans (delinquency rate)</w:t>
            </w:r>
          </w:p>
        </w:tc>
        <w:tc>
          <w:tcPr>
            <w:tcW w:w="12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4.27%</w:t>
            </w:r>
          </w:p>
        </w:tc>
        <w:tc>
          <w:tcPr>
            <w:tcW w:w="14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3.83%</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2.99%</w:t>
            </w:r>
          </w:p>
        </w:tc>
        <w:tc>
          <w:tcPr>
            <w:tcW w:w="0" w:type="dxa"/>
            <w:vAlign w:val="bottom"/>
          </w:tcPr>
          <w:p>
            <w:pPr>
              <w:spacing w:after="0"/>
              <w:rPr>
                <w:sz w:val="1"/>
                <w:szCs w:val="1"/>
                <w:color w:val="auto"/>
              </w:rPr>
            </w:pPr>
          </w:p>
        </w:tc>
      </w:tr>
    </w:tbl>
    <w:p>
      <w:pPr>
        <w:spacing w:after="0" w:line="140" w:lineRule="exact"/>
        <w:rPr>
          <w:sz w:val="20"/>
          <w:szCs w:val="20"/>
          <w:color w:val="auto"/>
        </w:rPr>
      </w:pPr>
    </w:p>
    <w:p>
      <w:pPr>
        <w:ind w:left="460" w:right="120" w:hanging="452"/>
        <w:spacing w:after="0" w:line="241" w:lineRule="auto"/>
        <w:tabs>
          <w:tab w:leader="none" w:pos="460" w:val="left"/>
        </w:tabs>
        <w:numPr>
          <w:ilvl w:val="0"/>
          <w:numId w:val="95"/>
        </w:numPr>
        <w:rPr>
          <w:rFonts w:ascii="Arial" w:cs="Arial" w:eastAsia="Arial" w:hAnsi="Arial"/>
          <w:sz w:val="21"/>
          <w:szCs w:val="21"/>
          <w:color w:val="auto"/>
          <w:vertAlign w:val="superscript"/>
        </w:rPr>
      </w:pPr>
      <w:r>
        <w:rPr>
          <w:rFonts w:ascii="Arial" w:cs="Arial" w:eastAsia="Arial" w:hAnsi="Arial"/>
          <w:sz w:val="17"/>
          <w:szCs w:val="17"/>
          <w:color w:val="auto"/>
        </w:rPr>
        <w:t>Included loans where we were in a secondary loss position for which no reserve was established due to an existing deductible. Excluding these loans, bulk delinquent loans were 1,478 as of June 30, 2010, 11,319 as of December 31, 2009 and 10,294 as of June 30,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-298450</wp:posOffset>
            </wp:positionV>
            <wp:extent cx="72898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5"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Delinquency and foreclosure levels have increased significantly since the second quarter of 2009 as the U.S. continues to experience an economic recession and weakness in its housing markets. There has also been a continued increase in delinquencies and foreclosures in our 2005, 2006 and 2007 book years. These trends continue to be especially evident in Florida, California, Arizona and Nevada, as well as in our A minus, Alt-A, ARMs and certain 100% loan-to-value products. However, we have seen delinquencies decrease in our primary insurance in-force since the fourth quarter of 2009 as a result of settlements reached with counterparties in 2010, as well as a decline in new flow delinquencies and increased cures from loan modification programs.</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108</w:t>
      </w:r>
    </w:p>
    <w:p>
      <w:pPr>
        <w:sectPr>
          <w:pgSz w:w="11900" w:h="16838" w:orient="portrait"/>
          <w:cols w:equalWidth="0" w:num="1">
            <w:col w:w="11420"/>
          </w:cols>
          <w:pgMar w:left="240" w:top="459" w:right="239" w:bottom="1440" w:gutter="0" w:footer="0" w:header="0"/>
        </w:sectPr>
      </w:pPr>
    </w:p>
    <w:bookmarkStart w:id="108" w:name="page109"/>
    <w:bookmarkEnd w:id="10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firstLine="456"/>
        <w:spacing w:after="0" w:line="335" w:lineRule="auto"/>
        <w:rPr>
          <w:sz w:val="20"/>
          <w:szCs w:val="20"/>
          <w:color w:val="auto"/>
        </w:rPr>
      </w:pPr>
      <w:r>
        <w:rPr>
          <w:rFonts w:ascii="Arial" w:cs="Arial" w:eastAsia="Arial" w:hAnsi="Arial"/>
          <w:sz w:val="15"/>
          <w:szCs w:val="15"/>
          <w:color w:val="auto"/>
        </w:rPr>
        <w:t>Primary insurance delinquency rates differ from region to region in the U.S. at any one time depending upon economic conditions and cyclical growth patterns. The tables below set forth our primary delinquency rates for the various regions of the U.S. and the ten largest states by our risk in-force and total reserves as of the dates indicated. Delinquency rates are shown by region based upon the location of the underlying property, rather than the location of the lender.</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40" w:type="dxa"/>
            <w:vAlign w:val="bottom"/>
          </w:tcPr>
          <w:p>
            <w:pPr>
              <w:spacing w:after="0"/>
              <w:rPr>
                <w:sz w:val="14"/>
                <w:szCs w:val="14"/>
                <w:color w:val="auto"/>
              </w:rPr>
            </w:pPr>
          </w:p>
        </w:tc>
        <w:tc>
          <w:tcPr>
            <w:tcW w:w="1940" w:type="dxa"/>
            <w:vAlign w:val="bottom"/>
            <w:gridSpan w:val="2"/>
          </w:tcPr>
          <w:p>
            <w:pPr>
              <w:jc w:val="center"/>
              <w:ind w:right="840"/>
              <w:spacing w:after="0"/>
              <w:rPr>
                <w:sz w:val="20"/>
                <w:szCs w:val="20"/>
                <w:color w:val="auto"/>
              </w:rPr>
            </w:pPr>
            <w:r>
              <w:rPr>
                <w:rFonts w:ascii="Arial" w:cs="Arial" w:eastAsia="Arial" w:hAnsi="Arial"/>
                <w:sz w:val="14"/>
                <w:szCs w:val="14"/>
                <w:b w:val="1"/>
                <w:bCs w:val="1"/>
                <w:color w:val="auto"/>
                <w:w w:val="88"/>
              </w:rPr>
              <w:t>Percent of primary</w:t>
            </w:r>
          </w:p>
        </w:tc>
        <w:tc>
          <w:tcPr>
            <w:tcW w:w="1800" w:type="dxa"/>
            <w:vAlign w:val="bottom"/>
            <w:gridSpan w:val="2"/>
          </w:tcPr>
          <w:p>
            <w:pPr>
              <w:jc w:val="center"/>
              <w:ind w:right="840"/>
              <w:spacing w:after="0"/>
              <w:rPr>
                <w:sz w:val="20"/>
                <w:szCs w:val="20"/>
                <w:color w:val="auto"/>
              </w:rPr>
            </w:pPr>
            <w:r>
              <w:rPr>
                <w:rFonts w:ascii="Arial" w:cs="Arial" w:eastAsia="Arial" w:hAnsi="Arial"/>
                <w:sz w:val="14"/>
                <w:szCs w:val="14"/>
                <w:b w:val="1"/>
                <w:bCs w:val="1"/>
                <w:color w:val="auto"/>
                <w:w w:val="86"/>
              </w:rPr>
              <w:t>Percent of total</w:t>
            </w:r>
          </w:p>
        </w:tc>
        <w:tc>
          <w:tcPr>
            <w:tcW w:w="4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3"/>
          </w:tcPr>
          <w:p>
            <w:pPr>
              <w:jc w:val="center"/>
              <w:ind w:right="460"/>
              <w:spacing w:after="0"/>
              <w:rPr>
                <w:sz w:val="20"/>
                <w:szCs w:val="20"/>
                <w:color w:val="auto"/>
              </w:rPr>
            </w:pPr>
            <w:r>
              <w:rPr>
                <w:rFonts w:ascii="Arial" w:cs="Arial" w:eastAsia="Arial" w:hAnsi="Arial"/>
                <w:sz w:val="14"/>
                <w:szCs w:val="14"/>
                <w:b w:val="1"/>
                <w:bCs w:val="1"/>
                <w:color w:val="auto"/>
                <w:w w:val="86"/>
              </w:rPr>
              <w:t>Delinquency rate</w:t>
            </w:r>
          </w:p>
        </w:tc>
        <w:tc>
          <w:tcPr>
            <w:tcW w:w="4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15"/>
        </w:trPr>
        <w:tc>
          <w:tcPr>
            <w:tcW w:w="4040" w:type="dxa"/>
            <w:vAlign w:val="bottom"/>
          </w:tcPr>
          <w:p>
            <w:pPr>
              <w:spacing w:after="0"/>
              <w:rPr>
                <w:sz w:val="10"/>
                <w:szCs w:val="10"/>
                <w:color w:val="auto"/>
              </w:rPr>
            </w:pPr>
          </w:p>
        </w:tc>
        <w:tc>
          <w:tcPr>
            <w:tcW w:w="1940" w:type="dxa"/>
            <w:vAlign w:val="bottom"/>
            <w:gridSpan w:val="2"/>
          </w:tcPr>
          <w:p>
            <w:pPr>
              <w:jc w:val="center"/>
              <w:ind w:right="860"/>
              <w:spacing w:after="0" w:line="115" w:lineRule="exact"/>
              <w:rPr>
                <w:sz w:val="20"/>
                <w:szCs w:val="20"/>
                <w:color w:val="auto"/>
              </w:rPr>
            </w:pPr>
            <w:r>
              <w:rPr>
                <w:rFonts w:ascii="Arial" w:cs="Arial" w:eastAsia="Arial" w:hAnsi="Arial"/>
                <w:sz w:val="12"/>
                <w:szCs w:val="12"/>
                <w:b w:val="1"/>
                <w:bCs w:val="1"/>
                <w:color w:val="auto"/>
                <w:w w:val="99"/>
              </w:rPr>
              <w:t>risk in-force as of</w:t>
            </w:r>
          </w:p>
        </w:tc>
        <w:tc>
          <w:tcPr>
            <w:tcW w:w="1800" w:type="dxa"/>
            <w:vAlign w:val="bottom"/>
            <w:gridSpan w:val="2"/>
          </w:tcPr>
          <w:p>
            <w:pPr>
              <w:jc w:val="center"/>
              <w:ind w:right="840"/>
              <w:spacing w:after="0" w:line="115" w:lineRule="exact"/>
              <w:rPr>
                <w:sz w:val="20"/>
                <w:szCs w:val="20"/>
                <w:color w:val="auto"/>
              </w:rPr>
            </w:pPr>
            <w:r>
              <w:rPr>
                <w:rFonts w:ascii="Arial" w:cs="Arial" w:eastAsia="Arial" w:hAnsi="Arial"/>
                <w:sz w:val="12"/>
                <w:szCs w:val="12"/>
                <w:b w:val="1"/>
                <w:bCs w:val="1"/>
                <w:color w:val="auto"/>
                <w:w w:val="94"/>
              </w:rPr>
              <w:t>reserves as of</w:t>
            </w:r>
          </w:p>
        </w:tc>
        <w:tc>
          <w:tcPr>
            <w:tcW w:w="920" w:type="dxa"/>
            <w:vAlign w:val="bottom"/>
            <w:gridSpan w:val="2"/>
          </w:tcPr>
          <w:p>
            <w:pPr>
              <w:jc w:val="center"/>
              <w:ind w:right="440"/>
              <w:spacing w:after="0" w:line="115" w:lineRule="exact"/>
              <w:rPr>
                <w:sz w:val="20"/>
                <w:szCs w:val="20"/>
                <w:color w:val="auto"/>
              </w:rPr>
            </w:pPr>
            <w:r>
              <w:rPr>
                <w:rFonts w:ascii="Arial" w:cs="Arial" w:eastAsia="Arial" w:hAnsi="Arial"/>
                <w:sz w:val="12"/>
                <w:szCs w:val="12"/>
                <w:b w:val="1"/>
                <w:bCs w:val="1"/>
                <w:color w:val="auto"/>
                <w:w w:val="99"/>
              </w:rPr>
              <w:t>June 30,</w:t>
            </w:r>
          </w:p>
        </w:tc>
        <w:tc>
          <w:tcPr>
            <w:tcW w:w="400" w:type="dxa"/>
            <w:vAlign w:val="bottom"/>
          </w:tcPr>
          <w:p>
            <w:pPr>
              <w:spacing w:after="0"/>
              <w:rPr>
                <w:sz w:val="10"/>
                <w:szCs w:val="10"/>
                <w:color w:val="auto"/>
              </w:rPr>
            </w:pPr>
          </w:p>
        </w:tc>
        <w:tc>
          <w:tcPr>
            <w:tcW w:w="1640" w:type="dxa"/>
            <w:vAlign w:val="bottom"/>
            <w:gridSpan w:val="2"/>
          </w:tcPr>
          <w:p>
            <w:pPr>
              <w:jc w:val="center"/>
              <w:ind w:right="860"/>
              <w:spacing w:after="0" w:line="115" w:lineRule="exact"/>
              <w:rPr>
                <w:sz w:val="20"/>
                <w:szCs w:val="20"/>
                <w:color w:val="auto"/>
              </w:rPr>
            </w:pPr>
            <w:r>
              <w:rPr>
                <w:rFonts w:ascii="Arial" w:cs="Arial" w:eastAsia="Arial" w:hAnsi="Arial"/>
                <w:sz w:val="12"/>
                <w:szCs w:val="12"/>
                <w:b w:val="1"/>
                <w:bCs w:val="1"/>
                <w:color w:val="auto"/>
                <w:w w:val="99"/>
              </w:rPr>
              <w:t>December 31,</w:t>
            </w:r>
          </w:p>
        </w:tc>
        <w:tc>
          <w:tcPr>
            <w:tcW w:w="480" w:type="dxa"/>
            <w:vAlign w:val="bottom"/>
          </w:tcPr>
          <w:p>
            <w:pPr>
              <w:jc w:val="center"/>
              <w:spacing w:after="0" w:line="115" w:lineRule="exact"/>
              <w:rPr>
                <w:sz w:val="20"/>
                <w:szCs w:val="20"/>
                <w:color w:val="auto"/>
              </w:rPr>
            </w:pPr>
            <w:r>
              <w:rPr>
                <w:rFonts w:ascii="Arial" w:cs="Arial" w:eastAsia="Arial" w:hAnsi="Arial"/>
                <w:sz w:val="12"/>
                <w:szCs w:val="12"/>
                <w:b w:val="1"/>
                <w:bCs w:val="1"/>
                <w:color w:val="auto"/>
                <w:w w:val="99"/>
              </w:rPr>
              <w:t>June 30,</w:t>
            </w:r>
          </w:p>
        </w:tc>
        <w:tc>
          <w:tcPr>
            <w:tcW w:w="200" w:type="dxa"/>
            <w:vAlign w:val="bottom"/>
          </w:tcPr>
          <w:p>
            <w:pPr>
              <w:spacing w:after="0"/>
              <w:rPr>
                <w:sz w:val="10"/>
                <w:szCs w:val="10"/>
                <w:color w:val="auto"/>
              </w:rPr>
            </w:pPr>
          </w:p>
        </w:tc>
      </w:tr>
      <w:tr>
        <w:trPr>
          <w:trHeight w:val="176"/>
        </w:trPr>
        <w:tc>
          <w:tcPr>
            <w:tcW w:w="4040" w:type="dxa"/>
            <w:vAlign w:val="bottom"/>
          </w:tcPr>
          <w:p>
            <w:pPr>
              <w:spacing w:after="0"/>
              <w:rPr>
                <w:sz w:val="15"/>
                <w:szCs w:val="15"/>
                <w:color w:val="auto"/>
              </w:rPr>
            </w:pPr>
          </w:p>
        </w:tc>
        <w:tc>
          <w:tcPr>
            <w:tcW w:w="1940" w:type="dxa"/>
            <w:vAlign w:val="bottom"/>
            <w:gridSpan w:val="2"/>
          </w:tcPr>
          <w:p>
            <w:pPr>
              <w:jc w:val="center"/>
              <w:ind w:right="840"/>
              <w:spacing w:after="0"/>
              <w:rPr>
                <w:sz w:val="20"/>
                <w:szCs w:val="20"/>
                <w:color w:val="auto"/>
              </w:rPr>
            </w:pPr>
            <w:r>
              <w:rPr>
                <w:rFonts w:ascii="Arial" w:cs="Arial" w:eastAsia="Arial" w:hAnsi="Arial"/>
                <w:sz w:val="14"/>
                <w:szCs w:val="14"/>
                <w:b w:val="1"/>
                <w:bCs w:val="1"/>
                <w:color w:val="auto"/>
                <w:w w:val="85"/>
              </w:rPr>
              <w:t>June 30, 2010</w:t>
            </w:r>
          </w:p>
        </w:tc>
        <w:tc>
          <w:tcPr>
            <w:tcW w:w="1800" w:type="dxa"/>
            <w:vAlign w:val="bottom"/>
            <w:gridSpan w:val="2"/>
          </w:tcPr>
          <w:p>
            <w:pPr>
              <w:jc w:val="center"/>
              <w:ind w:right="840"/>
              <w:spacing w:after="0" w:line="176" w:lineRule="exact"/>
              <w:rPr>
                <w:sz w:val="20"/>
                <w:szCs w:val="20"/>
                <w:color w:val="auto"/>
              </w:rPr>
            </w:pPr>
            <w:r>
              <w:rPr>
                <w:rFonts w:ascii="Arial" w:cs="Arial" w:eastAsia="Arial" w:hAnsi="Arial"/>
                <w:sz w:val="13"/>
                <w:szCs w:val="13"/>
                <w:b w:val="1"/>
                <w:bCs w:val="1"/>
                <w:color w:val="auto"/>
                <w:w w:val="91"/>
              </w:rPr>
              <w:t xml:space="preserve">June 30, 2010 </w:t>
            </w:r>
            <w:r>
              <w:rPr>
                <w:rFonts w:ascii="Arial" w:cs="Arial" w:eastAsia="Arial" w:hAnsi="Arial"/>
                <w:sz w:val="20"/>
                <w:szCs w:val="20"/>
                <w:color w:val="auto"/>
                <w:w w:val="91"/>
                <w:vertAlign w:val="superscript"/>
              </w:rPr>
              <w:t>(1)</w:t>
            </w:r>
          </w:p>
        </w:tc>
        <w:tc>
          <w:tcPr>
            <w:tcW w:w="480" w:type="dxa"/>
            <w:vAlign w:val="bottom"/>
          </w:tcPr>
          <w:p>
            <w:pPr>
              <w:jc w:val="right"/>
              <w:ind w:right="16"/>
              <w:spacing w:after="0"/>
              <w:rPr>
                <w:sz w:val="20"/>
                <w:szCs w:val="20"/>
                <w:color w:val="auto"/>
              </w:rPr>
            </w:pPr>
            <w:r>
              <w:rPr>
                <w:rFonts w:ascii="Arial" w:cs="Arial" w:eastAsia="Arial" w:hAnsi="Arial"/>
                <w:sz w:val="14"/>
                <w:szCs w:val="14"/>
                <w:b w:val="1"/>
                <w:bCs w:val="1"/>
                <w:color w:val="auto"/>
              </w:rPr>
              <w:t>2010</w:t>
            </w:r>
          </w:p>
        </w:tc>
        <w:tc>
          <w:tcPr>
            <w:tcW w:w="440" w:type="dxa"/>
            <w:vAlign w:val="bottom"/>
          </w:tcPr>
          <w:p>
            <w:pPr>
              <w:spacing w:after="0"/>
              <w:rPr>
                <w:sz w:val="15"/>
                <w:szCs w:val="15"/>
                <w:color w:val="auto"/>
              </w:rPr>
            </w:pPr>
          </w:p>
        </w:tc>
        <w:tc>
          <w:tcPr>
            <w:tcW w:w="1200" w:type="dxa"/>
            <w:vAlign w:val="bottom"/>
            <w:gridSpan w:val="2"/>
          </w:tcPr>
          <w:p>
            <w:pPr>
              <w:jc w:val="center"/>
              <w:ind w:left="316"/>
              <w:spacing w:after="0"/>
              <w:rPr>
                <w:sz w:val="20"/>
                <w:szCs w:val="20"/>
                <w:color w:val="auto"/>
              </w:rPr>
            </w:pPr>
            <w:r>
              <w:rPr>
                <w:rFonts w:ascii="Arial" w:cs="Arial" w:eastAsia="Arial" w:hAnsi="Arial"/>
                <w:sz w:val="14"/>
                <w:szCs w:val="14"/>
                <w:b w:val="1"/>
                <w:bCs w:val="1"/>
                <w:color w:val="auto"/>
                <w:w w:val="89"/>
              </w:rPr>
              <w:t>2009</w:t>
            </w:r>
          </w:p>
        </w:tc>
        <w:tc>
          <w:tcPr>
            <w:tcW w:w="840" w:type="dxa"/>
            <w:vAlign w:val="bottom"/>
          </w:tcPr>
          <w:p>
            <w:pPr>
              <w:spacing w:after="0"/>
              <w:rPr>
                <w:sz w:val="15"/>
                <w:szCs w:val="15"/>
                <w:color w:val="auto"/>
              </w:rPr>
            </w:pPr>
          </w:p>
        </w:tc>
        <w:tc>
          <w:tcPr>
            <w:tcW w:w="480" w:type="dxa"/>
            <w:vAlign w:val="bottom"/>
          </w:tcPr>
          <w:p>
            <w:pPr>
              <w:jc w:val="right"/>
              <w:ind w:right="36"/>
              <w:spacing w:after="0"/>
              <w:rPr>
                <w:sz w:val="20"/>
                <w:szCs w:val="20"/>
                <w:color w:val="auto"/>
              </w:rPr>
            </w:pPr>
            <w:r>
              <w:rPr>
                <w:rFonts w:ascii="Arial" w:cs="Arial" w:eastAsia="Arial" w:hAnsi="Arial"/>
                <w:sz w:val="14"/>
                <w:szCs w:val="14"/>
                <w:b w:val="1"/>
                <w:bCs w:val="1"/>
                <w:color w:val="auto"/>
              </w:rPr>
              <w:t>2009</w:t>
            </w:r>
          </w:p>
        </w:tc>
        <w:tc>
          <w:tcPr>
            <w:tcW w:w="200" w:type="dxa"/>
            <w:vAlign w:val="bottom"/>
          </w:tcPr>
          <w:p>
            <w:pPr>
              <w:spacing w:after="0"/>
              <w:rPr>
                <w:sz w:val="15"/>
                <w:szCs w:val="15"/>
                <w:color w:val="auto"/>
              </w:rPr>
            </w:pPr>
          </w:p>
        </w:tc>
      </w:tr>
      <w:tr>
        <w:trPr>
          <w:trHeight w:val="210"/>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By Region:</w:t>
            </w:r>
          </w:p>
        </w:tc>
        <w:tc>
          <w:tcPr>
            <w:tcW w:w="1100" w:type="dxa"/>
            <w:vAlign w:val="bottom"/>
            <w:tcBorders>
              <w:top w:val="single" w:sz="8" w:color="auto"/>
            </w:tcBorders>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 xml:space="preserve">Southeast </w:t>
            </w:r>
            <w:r>
              <w:rPr>
                <w:rFonts w:ascii="Arial" w:cs="Arial" w:eastAsia="Arial" w:hAnsi="Arial"/>
                <w:sz w:val="11"/>
                <w:szCs w:val="11"/>
                <w:color w:val="auto"/>
              </w:rPr>
              <w:t>(2)</w:t>
            </w:r>
          </w:p>
        </w:tc>
        <w:tc>
          <w:tcPr>
            <w:tcW w:w="1940" w:type="dxa"/>
            <w:vAlign w:val="bottom"/>
            <w:gridSpan w:val="2"/>
          </w:tcPr>
          <w:p>
            <w:pPr>
              <w:jc w:val="right"/>
              <w:ind w:right="700"/>
              <w:spacing w:after="0"/>
              <w:rPr>
                <w:sz w:val="20"/>
                <w:szCs w:val="20"/>
                <w:color w:val="auto"/>
              </w:rPr>
            </w:pPr>
            <w:r>
              <w:rPr>
                <w:rFonts w:ascii="Arial" w:cs="Arial" w:eastAsia="Arial" w:hAnsi="Arial"/>
                <w:sz w:val="18"/>
                <w:szCs w:val="18"/>
                <w:color w:val="auto"/>
              </w:rPr>
              <w:t>23%</w:t>
            </w:r>
          </w:p>
        </w:tc>
        <w:tc>
          <w:tcPr>
            <w:tcW w:w="1800" w:type="dxa"/>
            <w:vAlign w:val="bottom"/>
            <w:gridSpan w:val="2"/>
          </w:tcPr>
          <w:p>
            <w:pPr>
              <w:jc w:val="right"/>
              <w:ind w:right="700"/>
              <w:spacing w:after="0"/>
              <w:rPr>
                <w:sz w:val="20"/>
                <w:szCs w:val="20"/>
                <w:color w:val="auto"/>
              </w:rPr>
            </w:pPr>
            <w:r>
              <w:rPr>
                <w:rFonts w:ascii="Arial" w:cs="Arial" w:eastAsia="Arial" w:hAnsi="Arial"/>
                <w:sz w:val="18"/>
                <w:szCs w:val="18"/>
                <w:color w:val="auto"/>
              </w:rPr>
              <w:t>31%</w:t>
            </w: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98"/>
              </w:rPr>
              <w:t>17.06%</w:t>
            </w:r>
          </w:p>
        </w:tc>
        <w:tc>
          <w:tcPr>
            <w:tcW w:w="2040" w:type="dxa"/>
            <w:vAlign w:val="bottom"/>
            <w:gridSpan w:val="3"/>
          </w:tcPr>
          <w:p>
            <w:pPr>
              <w:jc w:val="right"/>
              <w:ind w:right="700"/>
              <w:spacing w:after="0"/>
              <w:rPr>
                <w:sz w:val="20"/>
                <w:szCs w:val="20"/>
                <w:color w:val="auto"/>
              </w:rPr>
            </w:pPr>
            <w:r>
              <w:rPr>
                <w:rFonts w:ascii="Arial" w:cs="Arial" w:eastAsia="Arial" w:hAnsi="Arial"/>
                <w:sz w:val="18"/>
                <w:szCs w:val="18"/>
                <w:color w:val="auto"/>
              </w:rPr>
              <w:t>18.36%</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14.98%</w:t>
            </w:r>
          </w:p>
        </w:tc>
      </w:t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South Central </w:t>
            </w:r>
            <w:r>
              <w:rPr>
                <w:rFonts w:ascii="Arial" w:cs="Arial" w:eastAsia="Arial" w:hAnsi="Arial"/>
                <w:sz w:val="11"/>
                <w:szCs w:val="11"/>
                <w:color w:val="auto"/>
              </w:rPr>
              <w:t>(3)</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8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8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8"/>
              </w:rPr>
              <w:t>11.41%</w:t>
            </w:r>
          </w:p>
        </w:tc>
        <w:tc>
          <w:tcPr>
            <w:tcW w:w="2040" w:type="dxa"/>
            <w:vAlign w:val="bottom"/>
            <w:gridSpan w:val="3"/>
            <w:shd w:val="clear" w:color="auto" w:fill="CCEEFF"/>
          </w:tcPr>
          <w:p>
            <w:pPr>
              <w:jc w:val="right"/>
              <w:ind w:right="700"/>
              <w:spacing w:after="0"/>
              <w:rPr>
                <w:sz w:val="20"/>
                <w:szCs w:val="20"/>
                <w:color w:val="auto"/>
              </w:rPr>
            </w:pPr>
            <w:r>
              <w:rPr>
                <w:rFonts w:ascii="Arial" w:cs="Arial" w:eastAsia="Arial" w:hAnsi="Arial"/>
                <w:sz w:val="18"/>
                <w:szCs w:val="18"/>
                <w:color w:val="auto"/>
              </w:rPr>
              <w:t>12.42%</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9.27%</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 xml:space="preserve">Northeast </w:t>
            </w:r>
            <w:r>
              <w:rPr>
                <w:rFonts w:ascii="Arial" w:cs="Arial" w:eastAsia="Arial" w:hAnsi="Arial"/>
                <w:sz w:val="11"/>
                <w:szCs w:val="11"/>
                <w:color w:val="auto"/>
              </w:rPr>
              <w:t>(4)</w:t>
            </w:r>
          </w:p>
        </w:tc>
        <w:tc>
          <w:tcPr>
            <w:tcW w:w="1100" w:type="dxa"/>
            <w:vAlign w:val="bottom"/>
          </w:tcPr>
          <w:p>
            <w:pPr>
              <w:jc w:val="right"/>
              <w:spacing w:after="0"/>
              <w:rPr>
                <w:sz w:val="20"/>
                <w:szCs w:val="20"/>
                <w:color w:val="auto"/>
              </w:rPr>
            </w:pPr>
            <w:r>
              <w:rPr>
                <w:rFonts w:ascii="Arial" w:cs="Arial" w:eastAsia="Arial" w:hAnsi="Arial"/>
                <w:sz w:val="18"/>
                <w:szCs w:val="18"/>
                <w:color w:val="auto"/>
              </w:rPr>
              <w:t>14</w:t>
            </w:r>
          </w:p>
        </w:tc>
        <w:tc>
          <w:tcPr>
            <w:tcW w:w="8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w:t>
            </w:r>
          </w:p>
        </w:tc>
        <w:tc>
          <w:tcPr>
            <w:tcW w:w="84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98"/>
              </w:rPr>
              <w:t>10.85%</w:t>
            </w:r>
          </w:p>
        </w:tc>
        <w:tc>
          <w:tcPr>
            <w:tcW w:w="2040" w:type="dxa"/>
            <w:vAlign w:val="bottom"/>
            <w:gridSpan w:val="3"/>
          </w:tcPr>
          <w:p>
            <w:pPr>
              <w:jc w:val="right"/>
              <w:ind w:right="700"/>
              <w:spacing w:after="0"/>
              <w:rPr>
                <w:sz w:val="20"/>
                <w:szCs w:val="20"/>
                <w:color w:val="auto"/>
              </w:rPr>
            </w:pPr>
            <w:r>
              <w:rPr>
                <w:rFonts w:ascii="Arial" w:cs="Arial" w:eastAsia="Arial" w:hAnsi="Arial"/>
                <w:sz w:val="18"/>
                <w:szCs w:val="18"/>
                <w:color w:val="auto"/>
              </w:rPr>
              <w:t>11.60%</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8.78%</w:t>
            </w:r>
          </w:p>
        </w:tc>
      </w:t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North Central </w:t>
            </w:r>
            <w:r>
              <w:rPr>
                <w:rFonts w:ascii="Arial" w:cs="Arial" w:eastAsia="Arial" w:hAnsi="Arial"/>
                <w:sz w:val="11"/>
                <w:szCs w:val="11"/>
                <w:color w:val="auto"/>
              </w:rPr>
              <w:t>(5)</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8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8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8"/>
              </w:rPr>
              <w:t>11.50%</w:t>
            </w:r>
          </w:p>
        </w:tc>
        <w:tc>
          <w:tcPr>
            <w:tcW w:w="2040" w:type="dxa"/>
            <w:vAlign w:val="bottom"/>
            <w:gridSpan w:val="3"/>
            <w:shd w:val="clear" w:color="auto" w:fill="CCEEFF"/>
          </w:tcPr>
          <w:p>
            <w:pPr>
              <w:jc w:val="right"/>
              <w:ind w:right="700"/>
              <w:spacing w:after="0"/>
              <w:rPr>
                <w:sz w:val="20"/>
                <w:szCs w:val="20"/>
                <w:color w:val="auto"/>
              </w:rPr>
            </w:pPr>
            <w:r>
              <w:rPr>
                <w:rFonts w:ascii="Arial" w:cs="Arial" w:eastAsia="Arial" w:hAnsi="Arial"/>
                <w:sz w:val="18"/>
                <w:szCs w:val="18"/>
                <w:color w:val="auto"/>
              </w:rPr>
              <w:t>12.20%</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9.08%</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 xml:space="preserve">Pacific </w:t>
            </w:r>
            <w:r>
              <w:rPr>
                <w:rFonts w:ascii="Arial" w:cs="Arial" w:eastAsia="Arial" w:hAnsi="Arial"/>
                <w:sz w:val="11"/>
                <w:szCs w:val="11"/>
                <w:color w:val="auto"/>
              </w:rPr>
              <w:t>(6)</w:t>
            </w:r>
          </w:p>
        </w:tc>
        <w:tc>
          <w:tcPr>
            <w:tcW w:w="1100" w:type="dxa"/>
            <w:vAlign w:val="bottom"/>
          </w:tcPr>
          <w:p>
            <w:pPr>
              <w:jc w:val="right"/>
              <w:spacing w:after="0"/>
              <w:rPr>
                <w:sz w:val="20"/>
                <w:szCs w:val="20"/>
                <w:color w:val="auto"/>
              </w:rPr>
            </w:pPr>
            <w:r>
              <w:rPr>
                <w:rFonts w:ascii="Arial" w:cs="Arial" w:eastAsia="Arial" w:hAnsi="Arial"/>
                <w:sz w:val="18"/>
                <w:szCs w:val="18"/>
                <w:color w:val="auto"/>
              </w:rPr>
              <w:t>11</w:t>
            </w:r>
          </w:p>
        </w:tc>
        <w:tc>
          <w:tcPr>
            <w:tcW w:w="8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15</w:t>
            </w:r>
          </w:p>
        </w:tc>
        <w:tc>
          <w:tcPr>
            <w:tcW w:w="84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98"/>
              </w:rPr>
              <w:t>15.83%</w:t>
            </w:r>
          </w:p>
        </w:tc>
        <w:tc>
          <w:tcPr>
            <w:tcW w:w="2040" w:type="dxa"/>
            <w:vAlign w:val="bottom"/>
            <w:gridSpan w:val="3"/>
          </w:tcPr>
          <w:p>
            <w:pPr>
              <w:jc w:val="right"/>
              <w:ind w:right="700"/>
              <w:spacing w:after="0"/>
              <w:rPr>
                <w:sz w:val="20"/>
                <w:szCs w:val="20"/>
                <w:color w:val="auto"/>
              </w:rPr>
            </w:pPr>
            <w:r>
              <w:rPr>
                <w:rFonts w:ascii="Arial" w:cs="Arial" w:eastAsia="Arial" w:hAnsi="Arial"/>
                <w:sz w:val="18"/>
                <w:szCs w:val="18"/>
                <w:color w:val="auto"/>
              </w:rPr>
              <w:t>19.43%</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16.14%</w:t>
            </w:r>
          </w:p>
        </w:tc>
      </w:t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Great Lakes </w:t>
            </w:r>
            <w:r>
              <w:rPr>
                <w:rFonts w:ascii="Arial" w:cs="Arial" w:eastAsia="Arial" w:hAnsi="Arial"/>
                <w:sz w:val="11"/>
                <w:szCs w:val="11"/>
                <w:color w:val="auto"/>
              </w:rPr>
              <w:t>(7)</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8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8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9.08%</w:t>
            </w:r>
          </w:p>
        </w:tc>
        <w:tc>
          <w:tcPr>
            <w:tcW w:w="2040" w:type="dxa"/>
            <w:vAlign w:val="bottom"/>
            <w:gridSpan w:val="3"/>
            <w:shd w:val="clear" w:color="auto" w:fill="CCEEFF"/>
          </w:tcPr>
          <w:p>
            <w:pPr>
              <w:jc w:val="right"/>
              <w:ind w:right="700"/>
              <w:spacing w:after="0"/>
              <w:rPr>
                <w:sz w:val="20"/>
                <w:szCs w:val="20"/>
                <w:color w:val="auto"/>
              </w:rPr>
            </w:pPr>
            <w:r>
              <w:rPr>
                <w:rFonts w:ascii="Arial" w:cs="Arial" w:eastAsia="Arial" w:hAnsi="Arial"/>
                <w:sz w:val="18"/>
                <w:szCs w:val="18"/>
                <w:color w:val="auto"/>
              </w:rPr>
              <w:t>10.20%</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8.58%</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 xml:space="preserve">Plains </w:t>
            </w:r>
            <w:r>
              <w:rPr>
                <w:rFonts w:ascii="Arial" w:cs="Arial" w:eastAsia="Arial" w:hAnsi="Arial"/>
                <w:sz w:val="11"/>
                <w:szCs w:val="11"/>
                <w:color w:val="auto"/>
              </w:rPr>
              <w:t>(8)</w:t>
            </w:r>
          </w:p>
        </w:tc>
        <w:tc>
          <w:tcPr>
            <w:tcW w:w="1100" w:type="dxa"/>
            <w:vAlign w:val="bottom"/>
          </w:tcPr>
          <w:p>
            <w:pPr>
              <w:jc w:val="right"/>
              <w:spacing w:after="0"/>
              <w:rPr>
                <w:sz w:val="20"/>
                <w:szCs w:val="20"/>
                <w:color w:val="auto"/>
              </w:rPr>
            </w:pPr>
            <w:r>
              <w:rPr>
                <w:rFonts w:ascii="Arial" w:cs="Arial" w:eastAsia="Arial" w:hAnsi="Arial"/>
                <w:sz w:val="18"/>
                <w:szCs w:val="18"/>
                <w:color w:val="auto"/>
              </w:rPr>
              <w:t>6</w:t>
            </w:r>
          </w:p>
        </w:tc>
        <w:tc>
          <w:tcPr>
            <w:tcW w:w="8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w:t>
            </w:r>
          </w:p>
        </w:tc>
        <w:tc>
          <w:tcPr>
            <w:tcW w:w="84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7.59%</w:t>
            </w:r>
          </w:p>
        </w:tc>
        <w:tc>
          <w:tcPr>
            <w:tcW w:w="2040" w:type="dxa"/>
            <w:vAlign w:val="bottom"/>
            <w:gridSpan w:val="3"/>
          </w:tcPr>
          <w:p>
            <w:pPr>
              <w:jc w:val="right"/>
              <w:ind w:right="700"/>
              <w:spacing w:after="0"/>
              <w:rPr>
                <w:sz w:val="20"/>
                <w:szCs w:val="20"/>
                <w:color w:val="auto"/>
              </w:rPr>
            </w:pPr>
            <w:r>
              <w:rPr>
                <w:rFonts w:ascii="Arial" w:cs="Arial" w:eastAsia="Arial" w:hAnsi="Arial"/>
                <w:sz w:val="18"/>
                <w:szCs w:val="18"/>
                <w:color w:val="auto"/>
              </w:rPr>
              <w:t>8.29%</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6.16%</w:t>
            </w:r>
          </w:p>
        </w:tc>
      </w:t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Mid-Atlantic </w:t>
            </w:r>
            <w:r>
              <w:rPr>
                <w:rFonts w:ascii="Arial" w:cs="Arial" w:eastAsia="Arial" w:hAnsi="Arial"/>
                <w:sz w:val="11"/>
                <w:szCs w:val="11"/>
                <w:color w:val="auto"/>
              </w:rPr>
              <w:t>(9)</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8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8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8"/>
              </w:rPr>
              <w:t>11.23%</w:t>
            </w:r>
          </w:p>
        </w:tc>
        <w:tc>
          <w:tcPr>
            <w:tcW w:w="2040" w:type="dxa"/>
            <w:vAlign w:val="bottom"/>
            <w:gridSpan w:val="3"/>
            <w:shd w:val="clear" w:color="auto" w:fill="CCEEFF"/>
          </w:tcPr>
          <w:p>
            <w:pPr>
              <w:jc w:val="right"/>
              <w:ind w:right="700"/>
              <w:spacing w:after="0"/>
              <w:rPr>
                <w:sz w:val="20"/>
                <w:szCs w:val="20"/>
                <w:color w:val="auto"/>
              </w:rPr>
            </w:pPr>
            <w:r>
              <w:rPr>
                <w:rFonts w:ascii="Arial" w:cs="Arial" w:eastAsia="Arial" w:hAnsi="Arial"/>
                <w:sz w:val="18"/>
                <w:szCs w:val="18"/>
                <w:color w:val="auto"/>
              </w:rPr>
              <w:t>13.08%</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9.63%</w:t>
            </w:r>
          </w:p>
        </w:tc>
      </w:tr>
      <w:tr>
        <w:trPr>
          <w:trHeight w:val="223"/>
        </w:trPr>
        <w:tc>
          <w:tcPr>
            <w:tcW w:w="4040" w:type="dxa"/>
            <w:vAlign w:val="bottom"/>
          </w:tcPr>
          <w:p>
            <w:pPr>
              <w:spacing w:after="0"/>
              <w:rPr>
                <w:sz w:val="20"/>
                <w:szCs w:val="20"/>
                <w:color w:val="auto"/>
              </w:rPr>
            </w:pPr>
            <w:r>
              <w:rPr>
                <w:rFonts w:ascii="Arial" w:cs="Arial" w:eastAsia="Arial" w:hAnsi="Arial"/>
                <w:sz w:val="18"/>
                <w:szCs w:val="18"/>
                <w:color w:val="auto"/>
              </w:rPr>
              <w:t xml:space="preserve">New England </w:t>
            </w:r>
            <w:r>
              <w:rPr>
                <w:rFonts w:ascii="Arial" w:cs="Arial" w:eastAsia="Arial" w:hAnsi="Arial"/>
                <w:sz w:val="11"/>
                <w:szCs w:val="11"/>
                <w:color w:val="auto"/>
              </w:rPr>
              <w:t>(10)</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840" w:type="dxa"/>
            <w:vAlign w:val="bottom"/>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840" w:type="dxa"/>
            <w:vAlign w:val="bottom"/>
          </w:tcPr>
          <w:p>
            <w:pPr>
              <w:spacing w:after="0"/>
              <w:rPr>
                <w:sz w:val="19"/>
                <w:szCs w:val="19"/>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98"/>
              </w:rPr>
              <w:t>11.11%</w:t>
            </w:r>
          </w:p>
        </w:tc>
        <w:tc>
          <w:tcPr>
            <w:tcW w:w="2040" w:type="dxa"/>
            <w:vAlign w:val="bottom"/>
            <w:gridSpan w:val="3"/>
          </w:tcPr>
          <w:p>
            <w:pPr>
              <w:jc w:val="right"/>
              <w:ind w:right="700"/>
              <w:spacing w:after="0"/>
              <w:rPr>
                <w:sz w:val="20"/>
                <w:szCs w:val="20"/>
                <w:color w:val="auto"/>
              </w:rPr>
            </w:pPr>
            <w:r>
              <w:rPr>
                <w:rFonts w:ascii="Arial" w:cs="Arial" w:eastAsia="Arial" w:hAnsi="Arial"/>
                <w:sz w:val="18"/>
                <w:szCs w:val="18"/>
                <w:color w:val="auto"/>
              </w:rPr>
              <w:t>12.48%</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9.38%</w:t>
            </w:r>
          </w:p>
        </w:tc>
      </w:tr>
      <w:tr>
        <w:trPr>
          <w:trHeight w:val="216"/>
        </w:trPr>
        <w:tc>
          <w:tcPr>
            <w:tcW w:w="40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194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100%</w:t>
            </w:r>
          </w:p>
        </w:tc>
        <w:tc>
          <w:tcPr>
            <w:tcW w:w="18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100%</w:t>
            </w: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8"/>
              </w:rPr>
              <w:t>12.39%</w:t>
            </w:r>
          </w:p>
        </w:tc>
        <w:tc>
          <w:tcPr>
            <w:tcW w:w="2040" w:type="dxa"/>
            <w:vAlign w:val="bottom"/>
            <w:gridSpan w:val="3"/>
            <w:shd w:val="clear" w:color="auto" w:fill="CCEEFF"/>
          </w:tcPr>
          <w:p>
            <w:pPr>
              <w:jc w:val="right"/>
              <w:ind w:right="700"/>
              <w:spacing w:after="0"/>
              <w:rPr>
                <w:sz w:val="20"/>
                <w:szCs w:val="20"/>
                <w:color w:val="auto"/>
              </w:rPr>
            </w:pPr>
            <w:r>
              <w:rPr>
                <w:rFonts w:ascii="Arial" w:cs="Arial" w:eastAsia="Arial" w:hAnsi="Arial"/>
                <w:sz w:val="18"/>
                <w:szCs w:val="18"/>
                <w:color w:val="auto"/>
              </w:rPr>
              <w:t>13.73%</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10.85%</w:t>
            </w:r>
          </w:p>
        </w:tc>
      </w:tr>
      <w:tr>
        <w:trPr>
          <w:trHeight w:val="20"/>
        </w:trPr>
        <w:tc>
          <w:tcPr>
            <w:tcW w:w="404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96"/>
        </w:numPr>
        <w:rPr>
          <w:rFonts w:ascii="Arial" w:cs="Arial" w:eastAsia="Arial" w:hAnsi="Arial"/>
          <w:sz w:val="22"/>
          <w:szCs w:val="22"/>
          <w:color w:val="auto"/>
          <w:vertAlign w:val="superscript"/>
        </w:rPr>
      </w:pPr>
      <w:r>
        <w:rPr>
          <w:rFonts w:ascii="Arial" w:cs="Arial" w:eastAsia="Arial" w:hAnsi="Arial"/>
          <w:sz w:val="18"/>
          <w:szCs w:val="18"/>
          <w:color w:val="auto"/>
        </w:rPr>
        <w:t>Total reserves were $1,952 million as of June 30, 2010.</w:t>
      </w:r>
    </w:p>
    <w:p>
      <w:pPr>
        <w:spacing w:after="0" w:line="7"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96"/>
        </w:numPr>
        <w:rPr>
          <w:rFonts w:ascii="Arial" w:cs="Arial" w:eastAsia="Arial" w:hAnsi="Arial"/>
          <w:sz w:val="22"/>
          <w:szCs w:val="22"/>
          <w:color w:val="auto"/>
          <w:vertAlign w:val="superscript"/>
        </w:rPr>
      </w:pPr>
      <w:r>
        <w:rPr>
          <w:rFonts w:ascii="Arial" w:cs="Arial" w:eastAsia="Arial" w:hAnsi="Arial"/>
          <w:sz w:val="18"/>
          <w:szCs w:val="18"/>
          <w:color w:val="auto"/>
        </w:rPr>
        <w:t>Alabama, Arkansas, Florida, Georgia, Mississippi, North Carolina, South Carolina and Tennessee.</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96"/>
        </w:numPr>
        <w:rPr>
          <w:rFonts w:ascii="Arial" w:cs="Arial" w:eastAsia="Arial" w:hAnsi="Arial"/>
          <w:sz w:val="22"/>
          <w:szCs w:val="22"/>
          <w:color w:val="auto"/>
          <w:vertAlign w:val="superscript"/>
        </w:rPr>
      </w:pPr>
      <w:r>
        <w:rPr>
          <w:rFonts w:ascii="Arial" w:cs="Arial" w:eastAsia="Arial" w:hAnsi="Arial"/>
          <w:sz w:val="18"/>
          <w:szCs w:val="18"/>
          <w:color w:val="auto"/>
        </w:rPr>
        <w:t>Arizona, Colorado, Louisiana, New Mexico, Oklahoma, Texas and Utah.</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96"/>
        </w:numPr>
        <w:rPr>
          <w:rFonts w:ascii="Arial" w:cs="Arial" w:eastAsia="Arial" w:hAnsi="Arial"/>
          <w:sz w:val="22"/>
          <w:szCs w:val="22"/>
          <w:color w:val="auto"/>
          <w:vertAlign w:val="superscript"/>
        </w:rPr>
      </w:pPr>
      <w:r>
        <w:rPr>
          <w:rFonts w:ascii="Arial" w:cs="Arial" w:eastAsia="Arial" w:hAnsi="Arial"/>
          <w:sz w:val="18"/>
          <w:szCs w:val="18"/>
          <w:color w:val="auto"/>
        </w:rPr>
        <w:t>New Jersey, New York and Pennsylvania.</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96"/>
        </w:numPr>
        <w:rPr>
          <w:rFonts w:ascii="Arial" w:cs="Arial" w:eastAsia="Arial" w:hAnsi="Arial"/>
          <w:sz w:val="22"/>
          <w:szCs w:val="22"/>
          <w:color w:val="auto"/>
          <w:vertAlign w:val="superscript"/>
        </w:rPr>
      </w:pPr>
      <w:r>
        <w:rPr>
          <w:rFonts w:ascii="Arial" w:cs="Arial" w:eastAsia="Arial" w:hAnsi="Arial"/>
          <w:sz w:val="18"/>
          <w:szCs w:val="18"/>
          <w:color w:val="auto"/>
        </w:rPr>
        <w:t>Illinois, Minnesota, Missouri and Wisconsin.</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96"/>
        </w:numPr>
        <w:rPr>
          <w:rFonts w:ascii="Arial" w:cs="Arial" w:eastAsia="Arial" w:hAnsi="Arial"/>
          <w:sz w:val="22"/>
          <w:szCs w:val="22"/>
          <w:color w:val="auto"/>
          <w:vertAlign w:val="superscript"/>
        </w:rPr>
      </w:pPr>
      <w:r>
        <w:rPr>
          <w:rFonts w:ascii="Arial" w:cs="Arial" w:eastAsia="Arial" w:hAnsi="Arial"/>
          <w:sz w:val="18"/>
          <w:szCs w:val="18"/>
          <w:color w:val="auto"/>
        </w:rPr>
        <w:t>Alaska, California, Hawaii, Nevada, Oregon and Washington.</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96"/>
        </w:numPr>
        <w:rPr>
          <w:rFonts w:ascii="Arial" w:cs="Arial" w:eastAsia="Arial" w:hAnsi="Arial"/>
          <w:sz w:val="22"/>
          <w:szCs w:val="22"/>
          <w:color w:val="auto"/>
          <w:vertAlign w:val="superscript"/>
        </w:rPr>
      </w:pPr>
      <w:r>
        <w:rPr>
          <w:rFonts w:ascii="Arial" w:cs="Arial" w:eastAsia="Arial" w:hAnsi="Arial"/>
          <w:sz w:val="18"/>
          <w:szCs w:val="18"/>
          <w:color w:val="auto"/>
        </w:rPr>
        <w:t>Indiana, Kentucky, Michigan and Ohio.</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96"/>
        </w:numPr>
        <w:rPr>
          <w:rFonts w:ascii="Arial" w:cs="Arial" w:eastAsia="Arial" w:hAnsi="Arial"/>
          <w:sz w:val="22"/>
          <w:szCs w:val="22"/>
          <w:color w:val="auto"/>
          <w:vertAlign w:val="superscript"/>
        </w:rPr>
      </w:pPr>
      <w:r>
        <w:rPr>
          <w:rFonts w:ascii="Arial" w:cs="Arial" w:eastAsia="Arial" w:hAnsi="Arial"/>
          <w:sz w:val="18"/>
          <w:szCs w:val="18"/>
          <w:color w:val="auto"/>
        </w:rPr>
        <w:t>Idaho, Iowa, Kansas, Montana, Nebraska, North Dakota, South Dakota and Wyoming.</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96"/>
        </w:numPr>
        <w:rPr>
          <w:rFonts w:ascii="Arial" w:cs="Arial" w:eastAsia="Arial" w:hAnsi="Arial"/>
          <w:sz w:val="22"/>
          <w:szCs w:val="22"/>
          <w:color w:val="auto"/>
          <w:vertAlign w:val="superscript"/>
        </w:rPr>
      </w:pPr>
      <w:r>
        <w:rPr>
          <w:rFonts w:ascii="Arial" w:cs="Arial" w:eastAsia="Arial" w:hAnsi="Arial"/>
          <w:sz w:val="18"/>
          <w:szCs w:val="18"/>
          <w:color w:val="auto"/>
        </w:rPr>
        <w:t>Delaware, Maryland, Virginia, Washington D.C. and West Virginia.</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96"/>
        </w:numPr>
        <w:rPr>
          <w:rFonts w:ascii="Arial" w:cs="Arial" w:eastAsia="Arial" w:hAnsi="Arial"/>
          <w:sz w:val="22"/>
          <w:szCs w:val="22"/>
          <w:color w:val="auto"/>
          <w:vertAlign w:val="superscript"/>
        </w:rPr>
      </w:pPr>
      <w:r>
        <w:rPr>
          <w:rFonts w:ascii="Arial" w:cs="Arial" w:eastAsia="Arial" w:hAnsi="Arial"/>
          <w:sz w:val="18"/>
          <w:szCs w:val="18"/>
          <w:color w:val="auto"/>
        </w:rPr>
        <w:t>Connecticut, Maine, Massachusetts, New Hampshire, Rhode Island and Vermont.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-1395730</wp:posOffset>
            </wp:positionV>
            <wp:extent cx="728980"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40" w:type="dxa"/>
            <w:vAlign w:val="bottom"/>
          </w:tcPr>
          <w:p>
            <w:pPr>
              <w:spacing w:after="0"/>
              <w:rPr>
                <w:sz w:val="14"/>
                <w:szCs w:val="14"/>
                <w:color w:val="auto"/>
              </w:rPr>
            </w:pPr>
          </w:p>
        </w:tc>
        <w:tc>
          <w:tcPr>
            <w:tcW w:w="1940" w:type="dxa"/>
            <w:vAlign w:val="bottom"/>
            <w:gridSpan w:val="2"/>
          </w:tcPr>
          <w:p>
            <w:pPr>
              <w:jc w:val="center"/>
              <w:ind w:right="840"/>
              <w:spacing w:after="0"/>
              <w:rPr>
                <w:sz w:val="20"/>
                <w:szCs w:val="20"/>
                <w:color w:val="auto"/>
              </w:rPr>
            </w:pPr>
            <w:r>
              <w:rPr>
                <w:rFonts w:ascii="Arial" w:cs="Arial" w:eastAsia="Arial" w:hAnsi="Arial"/>
                <w:sz w:val="14"/>
                <w:szCs w:val="14"/>
                <w:b w:val="1"/>
                <w:bCs w:val="1"/>
                <w:color w:val="auto"/>
                <w:w w:val="88"/>
              </w:rPr>
              <w:t>Percent of primary</w:t>
            </w:r>
          </w:p>
        </w:tc>
        <w:tc>
          <w:tcPr>
            <w:tcW w:w="1800" w:type="dxa"/>
            <w:vAlign w:val="bottom"/>
            <w:gridSpan w:val="2"/>
          </w:tcPr>
          <w:p>
            <w:pPr>
              <w:jc w:val="center"/>
              <w:ind w:right="840"/>
              <w:spacing w:after="0"/>
              <w:rPr>
                <w:sz w:val="20"/>
                <w:szCs w:val="20"/>
                <w:color w:val="auto"/>
              </w:rPr>
            </w:pPr>
            <w:r>
              <w:rPr>
                <w:rFonts w:ascii="Arial" w:cs="Arial" w:eastAsia="Arial" w:hAnsi="Arial"/>
                <w:sz w:val="14"/>
                <w:szCs w:val="14"/>
                <w:b w:val="1"/>
                <w:bCs w:val="1"/>
                <w:color w:val="auto"/>
                <w:w w:val="86"/>
              </w:rPr>
              <w:t>Percent of total</w:t>
            </w:r>
          </w:p>
        </w:tc>
        <w:tc>
          <w:tcPr>
            <w:tcW w:w="4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3"/>
          </w:tcPr>
          <w:p>
            <w:pPr>
              <w:jc w:val="center"/>
              <w:ind w:right="460"/>
              <w:spacing w:after="0"/>
              <w:rPr>
                <w:sz w:val="20"/>
                <w:szCs w:val="20"/>
                <w:color w:val="auto"/>
              </w:rPr>
            </w:pPr>
            <w:r>
              <w:rPr>
                <w:rFonts w:ascii="Arial" w:cs="Arial" w:eastAsia="Arial" w:hAnsi="Arial"/>
                <w:sz w:val="14"/>
                <w:szCs w:val="14"/>
                <w:b w:val="1"/>
                <w:bCs w:val="1"/>
                <w:color w:val="auto"/>
                <w:w w:val="86"/>
              </w:rPr>
              <w:t>Delinquency rate</w:t>
            </w:r>
          </w:p>
        </w:tc>
        <w:tc>
          <w:tcPr>
            <w:tcW w:w="4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15"/>
        </w:trPr>
        <w:tc>
          <w:tcPr>
            <w:tcW w:w="4040" w:type="dxa"/>
            <w:vAlign w:val="bottom"/>
          </w:tcPr>
          <w:p>
            <w:pPr>
              <w:spacing w:after="0"/>
              <w:rPr>
                <w:sz w:val="10"/>
                <w:szCs w:val="10"/>
                <w:color w:val="auto"/>
              </w:rPr>
            </w:pPr>
          </w:p>
        </w:tc>
        <w:tc>
          <w:tcPr>
            <w:tcW w:w="1940" w:type="dxa"/>
            <w:vAlign w:val="bottom"/>
            <w:gridSpan w:val="2"/>
          </w:tcPr>
          <w:p>
            <w:pPr>
              <w:jc w:val="center"/>
              <w:ind w:right="860"/>
              <w:spacing w:after="0" w:line="115" w:lineRule="exact"/>
              <w:rPr>
                <w:sz w:val="20"/>
                <w:szCs w:val="20"/>
                <w:color w:val="auto"/>
              </w:rPr>
            </w:pPr>
            <w:r>
              <w:rPr>
                <w:rFonts w:ascii="Arial" w:cs="Arial" w:eastAsia="Arial" w:hAnsi="Arial"/>
                <w:sz w:val="12"/>
                <w:szCs w:val="12"/>
                <w:b w:val="1"/>
                <w:bCs w:val="1"/>
                <w:color w:val="auto"/>
                <w:w w:val="99"/>
              </w:rPr>
              <w:t>risk in-force as of</w:t>
            </w:r>
          </w:p>
        </w:tc>
        <w:tc>
          <w:tcPr>
            <w:tcW w:w="1800" w:type="dxa"/>
            <w:vAlign w:val="bottom"/>
            <w:gridSpan w:val="2"/>
          </w:tcPr>
          <w:p>
            <w:pPr>
              <w:jc w:val="center"/>
              <w:ind w:right="840"/>
              <w:spacing w:after="0" w:line="115" w:lineRule="exact"/>
              <w:rPr>
                <w:sz w:val="20"/>
                <w:szCs w:val="20"/>
                <w:color w:val="auto"/>
              </w:rPr>
            </w:pPr>
            <w:r>
              <w:rPr>
                <w:rFonts w:ascii="Arial" w:cs="Arial" w:eastAsia="Arial" w:hAnsi="Arial"/>
                <w:sz w:val="12"/>
                <w:szCs w:val="12"/>
                <w:b w:val="1"/>
                <w:bCs w:val="1"/>
                <w:color w:val="auto"/>
                <w:w w:val="94"/>
              </w:rPr>
              <w:t>reserves as of</w:t>
            </w:r>
          </w:p>
        </w:tc>
        <w:tc>
          <w:tcPr>
            <w:tcW w:w="920" w:type="dxa"/>
            <w:vAlign w:val="bottom"/>
            <w:gridSpan w:val="2"/>
          </w:tcPr>
          <w:p>
            <w:pPr>
              <w:jc w:val="center"/>
              <w:ind w:right="440"/>
              <w:spacing w:after="0" w:line="115" w:lineRule="exact"/>
              <w:rPr>
                <w:sz w:val="20"/>
                <w:szCs w:val="20"/>
                <w:color w:val="auto"/>
              </w:rPr>
            </w:pPr>
            <w:r>
              <w:rPr>
                <w:rFonts w:ascii="Arial" w:cs="Arial" w:eastAsia="Arial" w:hAnsi="Arial"/>
                <w:sz w:val="12"/>
                <w:szCs w:val="12"/>
                <w:b w:val="1"/>
                <w:bCs w:val="1"/>
                <w:color w:val="auto"/>
                <w:w w:val="99"/>
              </w:rPr>
              <w:t>June 30,</w:t>
            </w:r>
          </w:p>
        </w:tc>
        <w:tc>
          <w:tcPr>
            <w:tcW w:w="400" w:type="dxa"/>
            <w:vAlign w:val="bottom"/>
          </w:tcPr>
          <w:p>
            <w:pPr>
              <w:spacing w:after="0"/>
              <w:rPr>
                <w:sz w:val="10"/>
                <w:szCs w:val="10"/>
                <w:color w:val="auto"/>
              </w:rPr>
            </w:pPr>
          </w:p>
        </w:tc>
        <w:tc>
          <w:tcPr>
            <w:tcW w:w="1640" w:type="dxa"/>
            <w:vAlign w:val="bottom"/>
            <w:gridSpan w:val="2"/>
          </w:tcPr>
          <w:p>
            <w:pPr>
              <w:jc w:val="center"/>
              <w:ind w:right="860"/>
              <w:spacing w:after="0" w:line="115" w:lineRule="exact"/>
              <w:rPr>
                <w:sz w:val="20"/>
                <w:szCs w:val="20"/>
                <w:color w:val="auto"/>
              </w:rPr>
            </w:pPr>
            <w:r>
              <w:rPr>
                <w:rFonts w:ascii="Arial" w:cs="Arial" w:eastAsia="Arial" w:hAnsi="Arial"/>
                <w:sz w:val="12"/>
                <w:szCs w:val="12"/>
                <w:b w:val="1"/>
                <w:bCs w:val="1"/>
                <w:color w:val="auto"/>
                <w:w w:val="99"/>
              </w:rPr>
              <w:t>December 31,</w:t>
            </w:r>
          </w:p>
        </w:tc>
        <w:tc>
          <w:tcPr>
            <w:tcW w:w="480" w:type="dxa"/>
            <w:vAlign w:val="bottom"/>
          </w:tcPr>
          <w:p>
            <w:pPr>
              <w:jc w:val="center"/>
              <w:spacing w:after="0" w:line="115" w:lineRule="exact"/>
              <w:rPr>
                <w:sz w:val="20"/>
                <w:szCs w:val="20"/>
                <w:color w:val="auto"/>
              </w:rPr>
            </w:pPr>
            <w:r>
              <w:rPr>
                <w:rFonts w:ascii="Arial" w:cs="Arial" w:eastAsia="Arial" w:hAnsi="Arial"/>
                <w:sz w:val="12"/>
                <w:szCs w:val="12"/>
                <w:b w:val="1"/>
                <w:bCs w:val="1"/>
                <w:color w:val="auto"/>
                <w:w w:val="99"/>
              </w:rPr>
              <w:t>June 30,</w:t>
            </w:r>
          </w:p>
        </w:tc>
        <w:tc>
          <w:tcPr>
            <w:tcW w:w="200" w:type="dxa"/>
            <w:vAlign w:val="bottom"/>
          </w:tcPr>
          <w:p>
            <w:pPr>
              <w:spacing w:after="0"/>
              <w:rPr>
                <w:sz w:val="10"/>
                <w:szCs w:val="10"/>
                <w:color w:val="auto"/>
              </w:rPr>
            </w:pPr>
          </w:p>
        </w:tc>
      </w:tr>
      <w:tr>
        <w:trPr>
          <w:trHeight w:val="176"/>
        </w:trPr>
        <w:tc>
          <w:tcPr>
            <w:tcW w:w="4040" w:type="dxa"/>
            <w:vAlign w:val="bottom"/>
          </w:tcPr>
          <w:p>
            <w:pPr>
              <w:spacing w:after="0"/>
              <w:rPr>
                <w:sz w:val="15"/>
                <w:szCs w:val="15"/>
                <w:color w:val="auto"/>
              </w:rPr>
            </w:pPr>
          </w:p>
        </w:tc>
        <w:tc>
          <w:tcPr>
            <w:tcW w:w="1940" w:type="dxa"/>
            <w:vAlign w:val="bottom"/>
            <w:gridSpan w:val="2"/>
          </w:tcPr>
          <w:p>
            <w:pPr>
              <w:jc w:val="center"/>
              <w:ind w:right="840"/>
              <w:spacing w:after="0"/>
              <w:rPr>
                <w:sz w:val="20"/>
                <w:szCs w:val="20"/>
                <w:color w:val="auto"/>
              </w:rPr>
            </w:pPr>
            <w:r>
              <w:rPr>
                <w:rFonts w:ascii="Arial" w:cs="Arial" w:eastAsia="Arial" w:hAnsi="Arial"/>
                <w:sz w:val="14"/>
                <w:szCs w:val="14"/>
                <w:b w:val="1"/>
                <w:bCs w:val="1"/>
                <w:color w:val="auto"/>
                <w:w w:val="85"/>
              </w:rPr>
              <w:t>June 30, 2010</w:t>
            </w:r>
          </w:p>
        </w:tc>
        <w:tc>
          <w:tcPr>
            <w:tcW w:w="1800" w:type="dxa"/>
            <w:vAlign w:val="bottom"/>
            <w:gridSpan w:val="2"/>
          </w:tcPr>
          <w:p>
            <w:pPr>
              <w:jc w:val="center"/>
              <w:ind w:right="840"/>
              <w:spacing w:after="0" w:line="176" w:lineRule="exact"/>
              <w:rPr>
                <w:sz w:val="20"/>
                <w:szCs w:val="20"/>
                <w:color w:val="auto"/>
              </w:rPr>
            </w:pPr>
            <w:r>
              <w:rPr>
                <w:rFonts w:ascii="Arial" w:cs="Arial" w:eastAsia="Arial" w:hAnsi="Arial"/>
                <w:sz w:val="13"/>
                <w:szCs w:val="13"/>
                <w:b w:val="1"/>
                <w:bCs w:val="1"/>
                <w:color w:val="auto"/>
                <w:w w:val="91"/>
              </w:rPr>
              <w:t xml:space="preserve">June 30, 2010 </w:t>
            </w:r>
            <w:r>
              <w:rPr>
                <w:rFonts w:ascii="Arial" w:cs="Arial" w:eastAsia="Arial" w:hAnsi="Arial"/>
                <w:sz w:val="20"/>
                <w:szCs w:val="20"/>
                <w:color w:val="auto"/>
                <w:w w:val="91"/>
                <w:vertAlign w:val="superscript"/>
              </w:rPr>
              <w:t>(1)</w:t>
            </w:r>
          </w:p>
        </w:tc>
        <w:tc>
          <w:tcPr>
            <w:tcW w:w="480" w:type="dxa"/>
            <w:vAlign w:val="bottom"/>
          </w:tcPr>
          <w:p>
            <w:pPr>
              <w:jc w:val="right"/>
              <w:ind w:right="16"/>
              <w:spacing w:after="0"/>
              <w:rPr>
                <w:sz w:val="20"/>
                <w:szCs w:val="20"/>
                <w:color w:val="auto"/>
              </w:rPr>
            </w:pPr>
            <w:r>
              <w:rPr>
                <w:rFonts w:ascii="Arial" w:cs="Arial" w:eastAsia="Arial" w:hAnsi="Arial"/>
                <w:sz w:val="14"/>
                <w:szCs w:val="14"/>
                <w:b w:val="1"/>
                <w:bCs w:val="1"/>
                <w:color w:val="auto"/>
              </w:rPr>
              <w:t>2010</w:t>
            </w:r>
          </w:p>
        </w:tc>
        <w:tc>
          <w:tcPr>
            <w:tcW w:w="440" w:type="dxa"/>
            <w:vAlign w:val="bottom"/>
          </w:tcPr>
          <w:p>
            <w:pPr>
              <w:spacing w:after="0"/>
              <w:rPr>
                <w:sz w:val="15"/>
                <w:szCs w:val="15"/>
                <w:color w:val="auto"/>
              </w:rPr>
            </w:pPr>
          </w:p>
        </w:tc>
        <w:tc>
          <w:tcPr>
            <w:tcW w:w="1200" w:type="dxa"/>
            <w:vAlign w:val="bottom"/>
            <w:gridSpan w:val="2"/>
          </w:tcPr>
          <w:p>
            <w:pPr>
              <w:jc w:val="center"/>
              <w:ind w:left="316"/>
              <w:spacing w:after="0"/>
              <w:rPr>
                <w:sz w:val="20"/>
                <w:szCs w:val="20"/>
                <w:color w:val="auto"/>
              </w:rPr>
            </w:pPr>
            <w:r>
              <w:rPr>
                <w:rFonts w:ascii="Arial" w:cs="Arial" w:eastAsia="Arial" w:hAnsi="Arial"/>
                <w:sz w:val="14"/>
                <w:szCs w:val="14"/>
                <w:b w:val="1"/>
                <w:bCs w:val="1"/>
                <w:color w:val="auto"/>
                <w:w w:val="89"/>
              </w:rPr>
              <w:t>2009</w:t>
            </w:r>
          </w:p>
        </w:tc>
        <w:tc>
          <w:tcPr>
            <w:tcW w:w="840" w:type="dxa"/>
            <w:vAlign w:val="bottom"/>
          </w:tcPr>
          <w:p>
            <w:pPr>
              <w:spacing w:after="0"/>
              <w:rPr>
                <w:sz w:val="15"/>
                <w:szCs w:val="15"/>
                <w:color w:val="auto"/>
              </w:rPr>
            </w:pPr>
          </w:p>
        </w:tc>
        <w:tc>
          <w:tcPr>
            <w:tcW w:w="480" w:type="dxa"/>
            <w:vAlign w:val="bottom"/>
          </w:tcPr>
          <w:p>
            <w:pPr>
              <w:jc w:val="right"/>
              <w:ind w:right="36"/>
              <w:spacing w:after="0"/>
              <w:rPr>
                <w:sz w:val="20"/>
                <w:szCs w:val="20"/>
                <w:color w:val="auto"/>
              </w:rPr>
            </w:pPr>
            <w:r>
              <w:rPr>
                <w:rFonts w:ascii="Arial" w:cs="Arial" w:eastAsia="Arial" w:hAnsi="Arial"/>
                <w:sz w:val="14"/>
                <w:szCs w:val="14"/>
                <w:b w:val="1"/>
                <w:bCs w:val="1"/>
                <w:color w:val="auto"/>
              </w:rPr>
              <w:t>2009</w:t>
            </w:r>
          </w:p>
        </w:tc>
        <w:tc>
          <w:tcPr>
            <w:tcW w:w="200" w:type="dxa"/>
            <w:vAlign w:val="bottom"/>
          </w:tcPr>
          <w:p>
            <w:pPr>
              <w:spacing w:after="0"/>
              <w:rPr>
                <w:sz w:val="15"/>
                <w:szCs w:val="15"/>
                <w:color w:val="auto"/>
              </w:rPr>
            </w:pPr>
          </w:p>
        </w:tc>
      </w:tr>
      <w:tr>
        <w:trPr>
          <w:trHeight w:val="210"/>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By State:</w:t>
            </w:r>
          </w:p>
        </w:tc>
        <w:tc>
          <w:tcPr>
            <w:tcW w:w="1100" w:type="dxa"/>
            <w:vAlign w:val="bottom"/>
            <w:tcBorders>
              <w:top w:val="single" w:sz="8" w:color="auto"/>
            </w:tcBorders>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Florida</w:t>
            </w:r>
          </w:p>
        </w:tc>
        <w:tc>
          <w:tcPr>
            <w:tcW w:w="1940" w:type="dxa"/>
            <w:vAlign w:val="bottom"/>
            <w:gridSpan w:val="2"/>
          </w:tcPr>
          <w:p>
            <w:pPr>
              <w:jc w:val="right"/>
              <w:ind w:right="700"/>
              <w:spacing w:after="0"/>
              <w:rPr>
                <w:sz w:val="20"/>
                <w:szCs w:val="20"/>
                <w:color w:val="auto"/>
              </w:rPr>
            </w:pPr>
            <w:r>
              <w:rPr>
                <w:rFonts w:ascii="Arial" w:cs="Arial" w:eastAsia="Arial" w:hAnsi="Arial"/>
                <w:sz w:val="18"/>
                <w:szCs w:val="18"/>
                <w:color w:val="auto"/>
              </w:rPr>
              <w:t>8%</w:t>
            </w:r>
          </w:p>
        </w:tc>
        <w:tc>
          <w:tcPr>
            <w:tcW w:w="1800" w:type="dxa"/>
            <w:vAlign w:val="bottom"/>
            <w:gridSpan w:val="2"/>
          </w:tcPr>
          <w:p>
            <w:pPr>
              <w:jc w:val="right"/>
              <w:ind w:right="700"/>
              <w:spacing w:after="0"/>
              <w:rPr>
                <w:sz w:val="20"/>
                <w:szCs w:val="20"/>
                <w:color w:val="auto"/>
              </w:rPr>
            </w:pPr>
            <w:r>
              <w:rPr>
                <w:rFonts w:ascii="Arial" w:cs="Arial" w:eastAsia="Arial" w:hAnsi="Arial"/>
                <w:sz w:val="18"/>
                <w:szCs w:val="18"/>
                <w:color w:val="auto"/>
              </w:rPr>
              <w:t>20%</w:t>
            </w: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98"/>
              </w:rPr>
              <w:t>28.86%</w:t>
            </w:r>
          </w:p>
        </w:tc>
        <w:tc>
          <w:tcPr>
            <w:tcW w:w="2040" w:type="dxa"/>
            <w:vAlign w:val="bottom"/>
            <w:gridSpan w:val="3"/>
          </w:tcPr>
          <w:p>
            <w:pPr>
              <w:jc w:val="right"/>
              <w:ind w:right="700"/>
              <w:spacing w:after="0"/>
              <w:rPr>
                <w:sz w:val="20"/>
                <w:szCs w:val="20"/>
                <w:color w:val="auto"/>
              </w:rPr>
            </w:pPr>
            <w:r>
              <w:rPr>
                <w:rFonts w:ascii="Arial" w:cs="Arial" w:eastAsia="Arial" w:hAnsi="Arial"/>
                <w:sz w:val="18"/>
                <w:szCs w:val="18"/>
                <w:color w:val="auto"/>
              </w:rPr>
              <w:t>30.77%</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26.81%</w:t>
            </w:r>
          </w:p>
        </w:tc>
      </w:t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Texas</w:t>
            </w:r>
          </w:p>
        </w:tc>
        <w:tc>
          <w:tcPr>
            <w:tcW w:w="194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7%</w:t>
            </w:r>
          </w:p>
        </w:tc>
        <w:tc>
          <w:tcPr>
            <w:tcW w:w="18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3%</w:t>
            </w: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8.80%</w:t>
            </w:r>
          </w:p>
        </w:tc>
        <w:tc>
          <w:tcPr>
            <w:tcW w:w="2040" w:type="dxa"/>
            <w:vAlign w:val="bottom"/>
            <w:gridSpan w:val="3"/>
            <w:shd w:val="clear" w:color="auto" w:fill="CCEEFF"/>
          </w:tcPr>
          <w:p>
            <w:pPr>
              <w:jc w:val="right"/>
              <w:ind w:right="700"/>
              <w:spacing w:after="0"/>
              <w:rPr>
                <w:sz w:val="20"/>
                <w:szCs w:val="20"/>
                <w:color w:val="auto"/>
              </w:rPr>
            </w:pPr>
            <w:r>
              <w:rPr>
                <w:rFonts w:ascii="Arial" w:cs="Arial" w:eastAsia="Arial" w:hAnsi="Arial"/>
                <w:sz w:val="18"/>
                <w:szCs w:val="18"/>
                <w:color w:val="auto"/>
              </w:rPr>
              <w:t>9.49%</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6.76%</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New York</w:t>
            </w:r>
          </w:p>
        </w:tc>
        <w:tc>
          <w:tcPr>
            <w:tcW w:w="1940" w:type="dxa"/>
            <w:vAlign w:val="bottom"/>
            <w:gridSpan w:val="2"/>
          </w:tcPr>
          <w:p>
            <w:pPr>
              <w:jc w:val="right"/>
              <w:ind w:right="700"/>
              <w:spacing w:after="0"/>
              <w:rPr>
                <w:sz w:val="20"/>
                <w:szCs w:val="20"/>
                <w:color w:val="auto"/>
              </w:rPr>
            </w:pPr>
            <w:r>
              <w:rPr>
                <w:rFonts w:ascii="Arial" w:cs="Arial" w:eastAsia="Arial" w:hAnsi="Arial"/>
                <w:sz w:val="18"/>
                <w:szCs w:val="18"/>
                <w:color w:val="auto"/>
              </w:rPr>
              <w:t>6%</w:t>
            </w:r>
          </w:p>
        </w:tc>
        <w:tc>
          <w:tcPr>
            <w:tcW w:w="1800" w:type="dxa"/>
            <w:vAlign w:val="bottom"/>
            <w:gridSpan w:val="2"/>
          </w:tcPr>
          <w:p>
            <w:pPr>
              <w:jc w:val="right"/>
              <w:ind w:right="700"/>
              <w:spacing w:after="0"/>
              <w:rPr>
                <w:sz w:val="20"/>
                <w:szCs w:val="20"/>
                <w:color w:val="auto"/>
              </w:rPr>
            </w:pPr>
            <w:r>
              <w:rPr>
                <w:rFonts w:ascii="Arial" w:cs="Arial" w:eastAsia="Arial" w:hAnsi="Arial"/>
                <w:sz w:val="18"/>
                <w:szCs w:val="18"/>
                <w:color w:val="auto"/>
              </w:rPr>
              <w:t>4%</w:t>
            </w: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8.88%</w:t>
            </w:r>
          </w:p>
        </w:tc>
        <w:tc>
          <w:tcPr>
            <w:tcW w:w="2040" w:type="dxa"/>
            <w:vAlign w:val="bottom"/>
            <w:gridSpan w:val="3"/>
          </w:tcPr>
          <w:p>
            <w:pPr>
              <w:jc w:val="right"/>
              <w:ind w:right="700"/>
              <w:spacing w:after="0"/>
              <w:rPr>
                <w:sz w:val="20"/>
                <w:szCs w:val="20"/>
                <w:color w:val="auto"/>
              </w:rPr>
            </w:pPr>
            <w:r>
              <w:rPr>
                <w:rFonts w:ascii="Arial" w:cs="Arial" w:eastAsia="Arial" w:hAnsi="Arial"/>
                <w:sz w:val="18"/>
                <w:szCs w:val="18"/>
                <w:color w:val="auto"/>
              </w:rPr>
              <w:t>9.42%</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7.03%</w:t>
            </w:r>
          </w:p>
        </w:tc>
      </w:t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California</w:t>
            </w:r>
          </w:p>
        </w:tc>
        <w:tc>
          <w:tcPr>
            <w:tcW w:w="194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5%</w:t>
            </w:r>
          </w:p>
        </w:tc>
        <w:tc>
          <w:tcPr>
            <w:tcW w:w="18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8%</w:t>
            </w: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8"/>
              </w:rPr>
              <w:t>16.40%</w:t>
            </w:r>
          </w:p>
        </w:tc>
        <w:tc>
          <w:tcPr>
            <w:tcW w:w="2040" w:type="dxa"/>
            <w:vAlign w:val="bottom"/>
            <w:gridSpan w:val="3"/>
            <w:shd w:val="clear" w:color="auto" w:fill="CCEEFF"/>
          </w:tcPr>
          <w:p>
            <w:pPr>
              <w:jc w:val="right"/>
              <w:ind w:right="700"/>
              <w:spacing w:after="0"/>
              <w:rPr>
                <w:sz w:val="20"/>
                <w:szCs w:val="20"/>
                <w:color w:val="auto"/>
              </w:rPr>
            </w:pPr>
            <w:r>
              <w:rPr>
                <w:rFonts w:ascii="Arial" w:cs="Arial" w:eastAsia="Arial" w:hAnsi="Arial"/>
                <w:sz w:val="18"/>
                <w:szCs w:val="18"/>
                <w:color w:val="auto"/>
              </w:rPr>
              <w:t>21.87%</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19.08%</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Illinois</w:t>
            </w:r>
          </w:p>
        </w:tc>
        <w:tc>
          <w:tcPr>
            <w:tcW w:w="1940" w:type="dxa"/>
            <w:vAlign w:val="bottom"/>
            <w:gridSpan w:val="2"/>
          </w:tcPr>
          <w:p>
            <w:pPr>
              <w:jc w:val="right"/>
              <w:ind w:right="700"/>
              <w:spacing w:after="0"/>
              <w:rPr>
                <w:sz w:val="20"/>
                <w:szCs w:val="20"/>
                <w:color w:val="auto"/>
              </w:rPr>
            </w:pPr>
            <w:r>
              <w:rPr>
                <w:rFonts w:ascii="Arial" w:cs="Arial" w:eastAsia="Arial" w:hAnsi="Arial"/>
                <w:sz w:val="18"/>
                <w:szCs w:val="18"/>
                <w:color w:val="auto"/>
              </w:rPr>
              <w:t>5%</w:t>
            </w:r>
          </w:p>
        </w:tc>
        <w:tc>
          <w:tcPr>
            <w:tcW w:w="1800" w:type="dxa"/>
            <w:vAlign w:val="bottom"/>
            <w:gridSpan w:val="2"/>
          </w:tcPr>
          <w:p>
            <w:pPr>
              <w:jc w:val="right"/>
              <w:ind w:right="700"/>
              <w:spacing w:after="0"/>
              <w:rPr>
                <w:sz w:val="20"/>
                <w:szCs w:val="20"/>
                <w:color w:val="auto"/>
              </w:rPr>
            </w:pPr>
            <w:r>
              <w:rPr>
                <w:rFonts w:ascii="Arial" w:cs="Arial" w:eastAsia="Arial" w:hAnsi="Arial"/>
                <w:sz w:val="18"/>
                <w:szCs w:val="18"/>
                <w:color w:val="auto"/>
              </w:rPr>
              <w:t>7%</w:t>
            </w: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98"/>
              </w:rPr>
              <w:t>15.79%</w:t>
            </w:r>
          </w:p>
        </w:tc>
        <w:tc>
          <w:tcPr>
            <w:tcW w:w="2040" w:type="dxa"/>
            <w:vAlign w:val="bottom"/>
            <w:gridSpan w:val="3"/>
          </w:tcPr>
          <w:p>
            <w:pPr>
              <w:jc w:val="right"/>
              <w:ind w:right="700"/>
              <w:spacing w:after="0"/>
              <w:rPr>
                <w:sz w:val="20"/>
                <w:szCs w:val="20"/>
                <w:color w:val="auto"/>
              </w:rPr>
            </w:pPr>
            <w:r>
              <w:rPr>
                <w:rFonts w:ascii="Arial" w:cs="Arial" w:eastAsia="Arial" w:hAnsi="Arial"/>
                <w:sz w:val="18"/>
                <w:szCs w:val="18"/>
                <w:color w:val="auto"/>
              </w:rPr>
              <w:t>16.40%</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12.11%</w:t>
            </w:r>
          </w:p>
        </w:tc>
      </w:t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Georgia</w:t>
            </w:r>
          </w:p>
        </w:tc>
        <w:tc>
          <w:tcPr>
            <w:tcW w:w="194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4%</w:t>
            </w:r>
          </w:p>
        </w:tc>
        <w:tc>
          <w:tcPr>
            <w:tcW w:w="18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4%</w:t>
            </w: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8"/>
              </w:rPr>
              <w:t>17.13%</w:t>
            </w:r>
          </w:p>
        </w:tc>
        <w:tc>
          <w:tcPr>
            <w:tcW w:w="2040" w:type="dxa"/>
            <w:vAlign w:val="bottom"/>
            <w:gridSpan w:val="3"/>
            <w:shd w:val="clear" w:color="auto" w:fill="CCEEFF"/>
          </w:tcPr>
          <w:p>
            <w:pPr>
              <w:jc w:val="right"/>
              <w:ind w:right="700"/>
              <w:spacing w:after="0"/>
              <w:rPr>
                <w:sz w:val="20"/>
                <w:szCs w:val="20"/>
                <w:color w:val="auto"/>
              </w:rPr>
            </w:pPr>
            <w:r>
              <w:rPr>
                <w:rFonts w:ascii="Arial" w:cs="Arial" w:eastAsia="Arial" w:hAnsi="Arial"/>
                <w:sz w:val="18"/>
                <w:szCs w:val="18"/>
                <w:color w:val="auto"/>
              </w:rPr>
              <w:t>17.62%</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13.06%</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North Carolina</w:t>
            </w:r>
          </w:p>
        </w:tc>
        <w:tc>
          <w:tcPr>
            <w:tcW w:w="1940" w:type="dxa"/>
            <w:vAlign w:val="bottom"/>
            <w:gridSpan w:val="2"/>
          </w:tcPr>
          <w:p>
            <w:pPr>
              <w:jc w:val="right"/>
              <w:ind w:right="700"/>
              <w:spacing w:after="0"/>
              <w:rPr>
                <w:sz w:val="20"/>
                <w:szCs w:val="20"/>
                <w:color w:val="auto"/>
              </w:rPr>
            </w:pPr>
            <w:r>
              <w:rPr>
                <w:rFonts w:ascii="Arial" w:cs="Arial" w:eastAsia="Arial" w:hAnsi="Arial"/>
                <w:sz w:val="18"/>
                <w:szCs w:val="18"/>
                <w:color w:val="auto"/>
              </w:rPr>
              <w:t>4%</w:t>
            </w:r>
          </w:p>
        </w:tc>
        <w:tc>
          <w:tcPr>
            <w:tcW w:w="1800" w:type="dxa"/>
            <w:vAlign w:val="bottom"/>
            <w:gridSpan w:val="2"/>
          </w:tcPr>
          <w:p>
            <w:pPr>
              <w:jc w:val="right"/>
              <w:ind w:right="700"/>
              <w:spacing w:after="0"/>
              <w:rPr>
                <w:sz w:val="20"/>
                <w:szCs w:val="20"/>
                <w:color w:val="auto"/>
              </w:rPr>
            </w:pPr>
            <w:r>
              <w:rPr>
                <w:rFonts w:ascii="Arial" w:cs="Arial" w:eastAsia="Arial" w:hAnsi="Arial"/>
                <w:sz w:val="18"/>
                <w:szCs w:val="18"/>
                <w:color w:val="auto"/>
              </w:rPr>
              <w:t>2%</w:t>
            </w: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98"/>
              </w:rPr>
              <w:t>11.12%</w:t>
            </w:r>
          </w:p>
        </w:tc>
        <w:tc>
          <w:tcPr>
            <w:tcW w:w="2040" w:type="dxa"/>
            <w:vAlign w:val="bottom"/>
            <w:gridSpan w:val="3"/>
          </w:tcPr>
          <w:p>
            <w:pPr>
              <w:jc w:val="right"/>
              <w:ind w:right="700"/>
              <w:spacing w:after="0"/>
              <w:rPr>
                <w:sz w:val="20"/>
                <w:szCs w:val="20"/>
                <w:color w:val="auto"/>
              </w:rPr>
            </w:pPr>
            <w:r>
              <w:rPr>
                <w:rFonts w:ascii="Arial" w:cs="Arial" w:eastAsia="Arial" w:hAnsi="Arial"/>
                <w:sz w:val="18"/>
                <w:szCs w:val="18"/>
                <w:color w:val="auto"/>
              </w:rPr>
              <w:t>11.73%</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8.44%</w:t>
            </w:r>
          </w:p>
        </w:tc>
      </w:t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Pennsylvania</w:t>
            </w:r>
          </w:p>
        </w:tc>
        <w:tc>
          <w:tcPr>
            <w:tcW w:w="194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4%</w:t>
            </w:r>
          </w:p>
        </w:tc>
        <w:tc>
          <w:tcPr>
            <w:tcW w:w="18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2%</w:t>
            </w: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8"/>
              </w:rPr>
              <w:t>10.34%</w:t>
            </w:r>
          </w:p>
        </w:tc>
        <w:tc>
          <w:tcPr>
            <w:tcW w:w="2040" w:type="dxa"/>
            <w:vAlign w:val="bottom"/>
            <w:gridSpan w:val="3"/>
            <w:shd w:val="clear" w:color="auto" w:fill="CCEEFF"/>
          </w:tcPr>
          <w:p>
            <w:pPr>
              <w:jc w:val="right"/>
              <w:ind w:right="700"/>
              <w:spacing w:after="0"/>
              <w:rPr>
                <w:sz w:val="20"/>
                <w:szCs w:val="20"/>
                <w:color w:val="auto"/>
              </w:rPr>
            </w:pPr>
            <w:r>
              <w:rPr>
                <w:rFonts w:ascii="Arial" w:cs="Arial" w:eastAsia="Arial" w:hAnsi="Arial"/>
                <w:sz w:val="18"/>
                <w:szCs w:val="18"/>
                <w:color w:val="auto"/>
              </w:rPr>
              <w:t>11.13%</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8.41%</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New Jersey</w:t>
            </w:r>
          </w:p>
        </w:tc>
        <w:tc>
          <w:tcPr>
            <w:tcW w:w="1940" w:type="dxa"/>
            <w:vAlign w:val="bottom"/>
            <w:gridSpan w:val="2"/>
          </w:tcPr>
          <w:p>
            <w:pPr>
              <w:jc w:val="right"/>
              <w:ind w:right="700"/>
              <w:spacing w:after="0"/>
              <w:rPr>
                <w:sz w:val="20"/>
                <w:szCs w:val="20"/>
                <w:color w:val="auto"/>
              </w:rPr>
            </w:pPr>
            <w:r>
              <w:rPr>
                <w:rFonts w:ascii="Arial" w:cs="Arial" w:eastAsia="Arial" w:hAnsi="Arial"/>
                <w:sz w:val="18"/>
                <w:szCs w:val="18"/>
                <w:color w:val="auto"/>
              </w:rPr>
              <w:t>4%</w:t>
            </w:r>
          </w:p>
        </w:tc>
        <w:tc>
          <w:tcPr>
            <w:tcW w:w="1800" w:type="dxa"/>
            <w:vAlign w:val="bottom"/>
            <w:gridSpan w:val="2"/>
          </w:tcPr>
          <w:p>
            <w:pPr>
              <w:jc w:val="right"/>
              <w:ind w:right="700"/>
              <w:spacing w:after="0"/>
              <w:rPr>
                <w:sz w:val="20"/>
                <w:szCs w:val="20"/>
                <w:color w:val="auto"/>
              </w:rPr>
            </w:pPr>
            <w:r>
              <w:rPr>
                <w:rFonts w:ascii="Arial" w:cs="Arial" w:eastAsia="Arial" w:hAnsi="Arial"/>
                <w:sz w:val="18"/>
                <w:szCs w:val="18"/>
                <w:color w:val="auto"/>
              </w:rPr>
              <w:t>4%</w:t>
            </w: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98"/>
              </w:rPr>
              <w:t>16.36%</w:t>
            </w:r>
          </w:p>
        </w:tc>
        <w:tc>
          <w:tcPr>
            <w:tcW w:w="2040" w:type="dxa"/>
            <w:vAlign w:val="bottom"/>
            <w:gridSpan w:val="3"/>
          </w:tcPr>
          <w:p>
            <w:pPr>
              <w:jc w:val="right"/>
              <w:ind w:right="700"/>
              <w:spacing w:after="0"/>
              <w:rPr>
                <w:sz w:val="20"/>
                <w:szCs w:val="20"/>
                <w:color w:val="auto"/>
              </w:rPr>
            </w:pPr>
            <w:r>
              <w:rPr>
                <w:rFonts w:ascii="Arial" w:cs="Arial" w:eastAsia="Arial" w:hAnsi="Arial"/>
                <w:sz w:val="18"/>
                <w:szCs w:val="18"/>
                <w:color w:val="auto"/>
              </w:rPr>
              <w:t>17.35%</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13.31%</w:t>
            </w:r>
          </w:p>
        </w:tc>
      </w:t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Ohio</w:t>
            </w:r>
          </w:p>
        </w:tc>
        <w:tc>
          <w:tcPr>
            <w:tcW w:w="194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3%</w:t>
            </w:r>
          </w:p>
        </w:tc>
        <w:tc>
          <w:tcPr>
            <w:tcW w:w="18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2%</w:t>
            </w: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7.85%</w:t>
            </w:r>
          </w:p>
        </w:tc>
        <w:tc>
          <w:tcPr>
            <w:tcW w:w="2040" w:type="dxa"/>
            <w:vAlign w:val="bottom"/>
            <w:gridSpan w:val="3"/>
            <w:shd w:val="clear" w:color="auto" w:fill="CCEEFF"/>
          </w:tcPr>
          <w:p>
            <w:pPr>
              <w:jc w:val="right"/>
              <w:ind w:right="700"/>
              <w:spacing w:after="0"/>
              <w:rPr>
                <w:sz w:val="20"/>
                <w:szCs w:val="20"/>
                <w:color w:val="auto"/>
              </w:rPr>
            </w:pPr>
            <w:r>
              <w:rPr>
                <w:rFonts w:ascii="Arial" w:cs="Arial" w:eastAsia="Arial" w:hAnsi="Arial"/>
                <w:sz w:val="18"/>
                <w:szCs w:val="18"/>
                <w:color w:val="auto"/>
              </w:rPr>
              <w:t>8.47%</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6.94%</w:t>
            </w:r>
          </w:p>
        </w:tc>
      </w:tr>
    </w:tbl>
    <w:p>
      <w:pPr>
        <w:spacing w:after="0" w:line="110" w:lineRule="exact"/>
        <w:rPr>
          <w:sz w:val="20"/>
          <w:szCs w:val="20"/>
          <w:color w:val="auto"/>
        </w:rPr>
      </w:pPr>
    </w:p>
    <w:p>
      <w:pPr>
        <w:ind w:left="460" w:hanging="452"/>
        <w:spacing w:after="0"/>
        <w:tabs>
          <w:tab w:leader="none" w:pos="460" w:val="left"/>
        </w:tabs>
        <w:numPr>
          <w:ilvl w:val="0"/>
          <w:numId w:val="97"/>
        </w:numPr>
        <w:rPr>
          <w:rFonts w:ascii="Arial" w:cs="Arial" w:eastAsia="Arial" w:hAnsi="Arial"/>
          <w:sz w:val="22"/>
          <w:szCs w:val="22"/>
          <w:color w:val="auto"/>
          <w:vertAlign w:val="superscript"/>
        </w:rPr>
      </w:pPr>
      <w:r>
        <w:rPr>
          <w:rFonts w:ascii="Arial" w:cs="Arial" w:eastAsia="Arial" w:hAnsi="Arial"/>
          <w:sz w:val="18"/>
          <w:szCs w:val="18"/>
          <w:color w:val="auto"/>
        </w:rPr>
        <w:t>Total reserves were $1,952 million as of June 30,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109</w:t>
      </w:r>
    </w:p>
    <w:p>
      <w:pPr>
        <w:sectPr>
          <w:pgSz w:w="11900" w:h="16838" w:orient="portrait"/>
          <w:cols w:equalWidth="0" w:num="1">
            <w:col w:w="11420"/>
          </w:cols>
          <w:pgMar w:left="240" w:top="459" w:right="239" w:bottom="1440" w:gutter="0" w:footer="0" w:header="0"/>
        </w:sectPr>
      </w:pPr>
    </w:p>
    <w:bookmarkStart w:id="109" w:name="page110"/>
    <w:bookmarkEnd w:id="10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The following table sets forth the dispersion of our total reserves and primary insurance in-force and risk in-force by year of policy origination and average annual mortgage interest rate as of June 30, 2010:</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1"/>
              </w:rPr>
              <w:t>Primary</w:t>
            </w:r>
          </w:p>
        </w:tc>
        <w:tc>
          <w:tcPr>
            <w:tcW w:w="4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5"/>
              </w:rPr>
              <w:t>Primary</w:t>
            </w: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1040" w:type="dxa"/>
            <w:vAlign w:val="bottom"/>
            <w:gridSpan w:val="2"/>
          </w:tcPr>
          <w:p>
            <w:pPr>
              <w:jc w:val="right"/>
              <w:ind w:right="580"/>
              <w:spacing w:after="0" w:line="135" w:lineRule="exact"/>
              <w:rPr>
                <w:sz w:val="20"/>
                <w:szCs w:val="20"/>
                <w:color w:val="auto"/>
              </w:rPr>
            </w:pPr>
            <w:r>
              <w:rPr>
                <w:rFonts w:ascii="Arial" w:cs="Arial" w:eastAsia="Arial" w:hAnsi="Arial"/>
                <w:sz w:val="14"/>
                <w:szCs w:val="14"/>
                <w:b w:val="1"/>
                <w:bCs w:val="1"/>
                <w:color w:val="auto"/>
                <w:w w:val="79"/>
              </w:rPr>
              <w:t>Average</w:t>
            </w:r>
          </w:p>
        </w:tc>
        <w:tc>
          <w:tcPr>
            <w:tcW w:w="1480" w:type="dxa"/>
            <w:vAlign w:val="bottom"/>
            <w:gridSpan w:val="2"/>
          </w:tcPr>
          <w:p>
            <w:pPr>
              <w:jc w:val="right"/>
              <w:ind w:right="580"/>
              <w:spacing w:after="0" w:line="135" w:lineRule="exact"/>
              <w:rPr>
                <w:sz w:val="20"/>
                <w:szCs w:val="20"/>
                <w:color w:val="auto"/>
              </w:rPr>
            </w:pPr>
            <w:r>
              <w:rPr>
                <w:rFonts w:ascii="Arial" w:cs="Arial" w:eastAsia="Arial" w:hAnsi="Arial"/>
                <w:sz w:val="14"/>
                <w:szCs w:val="14"/>
                <w:b w:val="1"/>
                <w:bCs w:val="1"/>
                <w:color w:val="auto"/>
                <w:w w:val="86"/>
              </w:rPr>
              <w:t>Percent of total</w:t>
            </w:r>
          </w:p>
        </w:tc>
        <w:tc>
          <w:tcPr>
            <w:tcW w:w="1060" w:type="dxa"/>
            <w:vAlign w:val="bottom"/>
            <w:gridSpan w:val="3"/>
          </w:tcPr>
          <w:p>
            <w:pPr>
              <w:jc w:val="center"/>
              <w:ind w:right="380"/>
              <w:spacing w:after="0" w:line="135" w:lineRule="exact"/>
              <w:rPr>
                <w:sz w:val="20"/>
                <w:szCs w:val="20"/>
                <w:color w:val="auto"/>
              </w:rPr>
            </w:pPr>
            <w:r>
              <w:rPr>
                <w:rFonts w:ascii="Arial" w:cs="Arial" w:eastAsia="Arial" w:hAnsi="Arial"/>
                <w:sz w:val="14"/>
                <w:szCs w:val="14"/>
                <w:b w:val="1"/>
                <w:bCs w:val="1"/>
                <w:color w:val="auto"/>
                <w:w w:val="84"/>
              </w:rPr>
              <w:t>insurance</w:t>
            </w:r>
          </w:p>
        </w:tc>
        <w:tc>
          <w:tcPr>
            <w:tcW w:w="1020" w:type="dxa"/>
            <w:vAlign w:val="bottom"/>
            <w:gridSpan w:val="2"/>
          </w:tcPr>
          <w:p>
            <w:pPr>
              <w:jc w:val="right"/>
              <w:ind w:right="580"/>
              <w:spacing w:after="0" w:line="135" w:lineRule="exact"/>
              <w:rPr>
                <w:sz w:val="20"/>
                <w:szCs w:val="20"/>
                <w:color w:val="auto"/>
              </w:rPr>
            </w:pPr>
            <w:r>
              <w:rPr>
                <w:rFonts w:ascii="Arial" w:cs="Arial" w:eastAsia="Arial" w:hAnsi="Arial"/>
                <w:sz w:val="14"/>
                <w:szCs w:val="14"/>
                <w:b w:val="1"/>
                <w:bCs w:val="1"/>
                <w:color w:val="auto"/>
                <w:w w:val="81"/>
              </w:rPr>
              <w:t>Percent</w:t>
            </w:r>
          </w:p>
        </w:tc>
        <w:tc>
          <w:tcPr>
            <w:tcW w:w="580" w:type="dxa"/>
            <w:vAlign w:val="bottom"/>
            <w:gridSpan w:val="2"/>
          </w:tcPr>
          <w:p>
            <w:pPr>
              <w:jc w:val="center"/>
              <w:spacing w:after="0" w:line="135" w:lineRule="exact"/>
              <w:rPr>
                <w:sz w:val="20"/>
                <w:szCs w:val="20"/>
                <w:color w:val="auto"/>
              </w:rPr>
            </w:pPr>
            <w:r>
              <w:rPr>
                <w:rFonts w:ascii="Arial" w:cs="Arial" w:eastAsia="Arial" w:hAnsi="Arial"/>
                <w:sz w:val="14"/>
                <w:szCs w:val="14"/>
                <w:b w:val="1"/>
                <w:bCs w:val="1"/>
                <w:color w:val="auto"/>
                <w:w w:val="91"/>
              </w:rPr>
              <w:t>risk in-</w:t>
            </w:r>
          </w:p>
        </w:tc>
        <w:tc>
          <w:tcPr>
            <w:tcW w:w="400" w:type="dxa"/>
            <w:vAlign w:val="bottom"/>
          </w:tcPr>
          <w:p>
            <w:pPr>
              <w:spacing w:after="0"/>
              <w:rPr>
                <w:sz w:val="11"/>
                <w:szCs w:val="11"/>
                <w:color w:val="auto"/>
              </w:rPr>
            </w:pPr>
          </w:p>
        </w:tc>
        <w:tc>
          <w:tcPr>
            <w:tcW w:w="640" w:type="dxa"/>
            <w:vAlign w:val="bottom"/>
            <w:gridSpan w:val="2"/>
          </w:tcPr>
          <w:p>
            <w:pPr>
              <w:jc w:val="right"/>
              <w:ind w:right="200"/>
              <w:spacing w:after="0" w:line="135" w:lineRule="exact"/>
              <w:rPr>
                <w:sz w:val="20"/>
                <w:szCs w:val="20"/>
                <w:color w:val="auto"/>
              </w:rPr>
            </w:pPr>
            <w:r>
              <w:rPr>
                <w:rFonts w:ascii="Arial" w:cs="Arial" w:eastAsia="Arial" w:hAnsi="Arial"/>
                <w:sz w:val="14"/>
                <w:szCs w:val="14"/>
                <w:b w:val="1"/>
                <w:bCs w:val="1"/>
                <w:color w:val="auto"/>
                <w:w w:val="81"/>
              </w:rPr>
              <w:t>Percent</w:t>
            </w:r>
          </w:p>
        </w:tc>
        <w:tc>
          <w:tcPr>
            <w:tcW w:w="0" w:type="dxa"/>
            <w:vAlign w:val="bottom"/>
          </w:tcPr>
          <w:p>
            <w:pPr>
              <w:spacing w:after="0"/>
              <w:rPr>
                <w:sz w:val="1"/>
                <w:szCs w:val="1"/>
                <w:color w:val="auto"/>
              </w:rPr>
            </w:pPr>
          </w:p>
        </w:tc>
      </w:tr>
      <w:tr>
        <w:trPr>
          <w:trHeight w:val="176"/>
        </w:trPr>
        <w:tc>
          <w:tcPr>
            <w:tcW w:w="5200" w:type="dxa"/>
            <w:vAlign w:val="bottom"/>
            <w:gridSpan w:val="4"/>
          </w:tcPr>
          <w:p>
            <w:pPr>
              <w:spacing w:after="0"/>
              <w:rPr>
                <w:sz w:val="20"/>
                <w:szCs w:val="20"/>
                <w:color w:val="auto"/>
              </w:rPr>
            </w:pPr>
            <w:r>
              <w:rPr>
                <w:rFonts w:ascii="Arial" w:cs="Arial" w:eastAsia="Arial" w:hAnsi="Arial"/>
                <w:sz w:val="14"/>
                <w:szCs w:val="14"/>
                <w:b w:val="1"/>
                <w:bCs w:val="1"/>
                <w:color w:val="auto"/>
              </w:rPr>
              <w:t>(Amounts in millions)</w:t>
            </w:r>
          </w:p>
        </w:tc>
        <w:tc>
          <w:tcPr>
            <w:tcW w:w="1040" w:type="dxa"/>
            <w:vAlign w:val="bottom"/>
            <w:gridSpan w:val="2"/>
          </w:tcPr>
          <w:p>
            <w:pPr>
              <w:jc w:val="right"/>
              <w:ind w:right="700"/>
              <w:spacing w:after="0"/>
              <w:rPr>
                <w:sz w:val="20"/>
                <w:szCs w:val="20"/>
                <w:color w:val="auto"/>
              </w:rPr>
            </w:pPr>
            <w:r>
              <w:rPr>
                <w:rFonts w:ascii="Arial" w:cs="Arial" w:eastAsia="Arial" w:hAnsi="Arial"/>
                <w:sz w:val="14"/>
                <w:szCs w:val="14"/>
                <w:b w:val="1"/>
                <w:bCs w:val="1"/>
                <w:color w:val="auto"/>
              </w:rPr>
              <w:t>rate</w:t>
            </w:r>
          </w:p>
        </w:tc>
        <w:tc>
          <w:tcPr>
            <w:tcW w:w="1480" w:type="dxa"/>
            <w:vAlign w:val="bottom"/>
            <w:gridSpan w:val="2"/>
          </w:tcPr>
          <w:p>
            <w:pPr>
              <w:jc w:val="right"/>
              <w:ind w:right="700"/>
              <w:spacing w:after="0" w:line="176" w:lineRule="exact"/>
              <w:rPr>
                <w:sz w:val="20"/>
                <w:szCs w:val="20"/>
                <w:color w:val="auto"/>
              </w:rPr>
            </w:pPr>
            <w:r>
              <w:rPr>
                <w:rFonts w:ascii="Arial" w:cs="Arial" w:eastAsia="Arial" w:hAnsi="Arial"/>
                <w:sz w:val="13"/>
                <w:szCs w:val="13"/>
                <w:b w:val="1"/>
                <w:bCs w:val="1"/>
                <w:color w:val="auto"/>
              </w:rPr>
              <w:t xml:space="preserve">reserves </w:t>
            </w:r>
            <w:r>
              <w:rPr>
                <w:rFonts w:ascii="Arial" w:cs="Arial" w:eastAsia="Arial" w:hAnsi="Arial"/>
                <w:sz w:val="20"/>
                <w:szCs w:val="20"/>
                <w:color w:val="auto"/>
                <w:vertAlign w:val="superscript"/>
              </w:rPr>
              <w:t>(1)</w:t>
            </w:r>
          </w:p>
        </w:tc>
        <w:tc>
          <w:tcPr>
            <w:tcW w:w="100" w:type="dxa"/>
            <w:vAlign w:val="bottom"/>
          </w:tcPr>
          <w:p>
            <w:pPr>
              <w:spacing w:after="0"/>
              <w:rPr>
                <w:sz w:val="15"/>
                <w:szCs w:val="15"/>
                <w:color w:val="auto"/>
              </w:rPr>
            </w:pPr>
          </w:p>
        </w:tc>
        <w:tc>
          <w:tcPr>
            <w:tcW w:w="96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85"/>
              </w:rPr>
              <w:t>in-force</w:t>
            </w:r>
          </w:p>
        </w:tc>
        <w:tc>
          <w:tcPr>
            <w:tcW w:w="102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w w:val="85"/>
              </w:rPr>
              <w:t>of total</w:t>
            </w:r>
          </w:p>
        </w:tc>
        <w:tc>
          <w:tcPr>
            <w:tcW w:w="100" w:type="dxa"/>
            <w:vAlign w:val="bottom"/>
          </w:tcPr>
          <w:p>
            <w:pPr>
              <w:spacing w:after="0"/>
              <w:rPr>
                <w:sz w:val="15"/>
                <w:szCs w:val="15"/>
                <w:color w:val="auto"/>
              </w:rPr>
            </w:pPr>
          </w:p>
        </w:tc>
        <w:tc>
          <w:tcPr>
            <w:tcW w:w="480" w:type="dxa"/>
            <w:vAlign w:val="bottom"/>
          </w:tcPr>
          <w:p>
            <w:pPr>
              <w:jc w:val="center"/>
              <w:ind w:right="14"/>
              <w:spacing w:after="0"/>
              <w:rPr>
                <w:sz w:val="20"/>
                <w:szCs w:val="20"/>
                <w:color w:val="auto"/>
              </w:rPr>
            </w:pPr>
            <w:r>
              <w:rPr>
                <w:rFonts w:ascii="Arial" w:cs="Arial" w:eastAsia="Arial" w:hAnsi="Arial"/>
                <w:sz w:val="14"/>
                <w:szCs w:val="14"/>
                <w:b w:val="1"/>
                <w:bCs w:val="1"/>
                <w:color w:val="auto"/>
                <w:w w:val="87"/>
              </w:rPr>
              <w:t>force</w:t>
            </w:r>
          </w:p>
        </w:tc>
        <w:tc>
          <w:tcPr>
            <w:tcW w:w="400" w:type="dxa"/>
            <w:vAlign w:val="bottom"/>
          </w:tcPr>
          <w:p>
            <w:pPr>
              <w:spacing w:after="0"/>
              <w:rPr>
                <w:sz w:val="15"/>
                <w:szCs w:val="15"/>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85"/>
              </w:rPr>
              <w:t>of total</w:t>
            </w:r>
          </w:p>
        </w:tc>
        <w:tc>
          <w:tcPr>
            <w:tcW w:w="0" w:type="dxa"/>
            <w:vAlign w:val="bottom"/>
          </w:tcPr>
          <w:p>
            <w:pPr>
              <w:spacing w:after="0"/>
              <w:rPr>
                <w:sz w:val="1"/>
                <w:szCs w:val="1"/>
                <w:color w:val="auto"/>
              </w:rPr>
            </w:pPr>
          </w:p>
        </w:tc>
      </w:tr>
      <w:tr>
        <w:trPr>
          <w:trHeight w:val="142"/>
        </w:trPr>
        <w:tc>
          <w:tcPr>
            <w:tcW w:w="1340" w:type="dxa"/>
            <w:vAlign w:val="bottom"/>
            <w:tcBorders>
              <w:top w:val="single" w:sz="8" w:color="auto"/>
            </w:tcBorders>
            <w:gridSpan w:val="3"/>
          </w:tcPr>
          <w:p>
            <w:pPr>
              <w:spacing w:after="0" w:line="142" w:lineRule="exact"/>
              <w:rPr>
                <w:sz w:val="20"/>
                <w:szCs w:val="20"/>
                <w:color w:val="auto"/>
              </w:rPr>
            </w:pPr>
            <w:r>
              <w:rPr>
                <w:rFonts w:ascii="Arial" w:cs="Arial" w:eastAsia="Arial" w:hAnsi="Arial"/>
                <w:sz w:val="14"/>
                <w:szCs w:val="14"/>
                <w:b w:val="1"/>
                <w:bCs w:val="1"/>
                <w:color w:val="auto"/>
              </w:rPr>
              <w:t>Policy Year</w:t>
            </w:r>
          </w:p>
        </w:tc>
        <w:tc>
          <w:tcPr>
            <w:tcW w:w="3860" w:type="dxa"/>
            <w:vAlign w:val="bottom"/>
          </w:tcPr>
          <w:p>
            <w:pPr>
              <w:spacing w:after="0"/>
              <w:rPr>
                <w:sz w:val="12"/>
                <w:szCs w:val="12"/>
                <w:color w:val="auto"/>
              </w:rPr>
            </w:pPr>
          </w:p>
        </w:tc>
        <w:tc>
          <w:tcPr>
            <w:tcW w:w="460" w:type="dxa"/>
            <w:vAlign w:val="bottom"/>
            <w:tcBorders>
              <w:top w:val="single" w:sz="8" w:color="auto"/>
            </w:tcBorders>
          </w:tcPr>
          <w:p>
            <w:pPr>
              <w:spacing w:after="0"/>
              <w:rPr>
                <w:sz w:val="12"/>
                <w:szCs w:val="12"/>
                <w:color w:val="auto"/>
              </w:rPr>
            </w:pPr>
          </w:p>
        </w:tc>
        <w:tc>
          <w:tcPr>
            <w:tcW w:w="580" w:type="dxa"/>
            <w:vAlign w:val="bottom"/>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8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1999 and prior</w:t>
            </w: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7.80%</w:t>
            </w:r>
          </w:p>
        </w:tc>
        <w:tc>
          <w:tcPr>
            <w:tcW w:w="14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2,004</w:t>
            </w:r>
          </w:p>
        </w:tc>
        <w:tc>
          <w:tcPr>
            <w:tcW w:w="10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520</w:t>
            </w:r>
          </w:p>
        </w:tc>
        <w:tc>
          <w:tcPr>
            <w:tcW w:w="10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20"/>
                <w:szCs w:val="20"/>
                <w:color w:val="auto"/>
              </w:rPr>
            </w:pPr>
            <w:r>
              <w:rPr>
                <w:rFonts w:ascii="Arial" w:cs="Arial" w:eastAsia="Arial" w:hAnsi="Arial"/>
                <w:sz w:val="18"/>
                <w:szCs w:val="18"/>
                <w:color w:val="auto"/>
              </w:rPr>
              <w:t>2000</w:t>
            </w:r>
          </w:p>
        </w:tc>
        <w:tc>
          <w:tcPr>
            <w:tcW w:w="62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8.26%</w:t>
            </w: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60" w:type="dxa"/>
            <w:vAlign w:val="bottom"/>
            <w:gridSpan w:val="2"/>
          </w:tcPr>
          <w:p>
            <w:pPr>
              <w:jc w:val="right"/>
              <w:ind w:right="380"/>
              <w:spacing w:after="0"/>
              <w:rPr>
                <w:sz w:val="20"/>
                <w:szCs w:val="20"/>
                <w:color w:val="auto"/>
              </w:rPr>
            </w:pPr>
            <w:r>
              <w:rPr>
                <w:rFonts w:ascii="Arial" w:cs="Arial" w:eastAsia="Arial" w:hAnsi="Arial"/>
                <w:sz w:val="18"/>
                <w:szCs w:val="18"/>
                <w:color w:val="auto"/>
              </w:rPr>
              <w:t>353</w:t>
            </w:r>
          </w:p>
        </w:tc>
        <w:tc>
          <w:tcPr>
            <w:tcW w:w="440" w:type="dxa"/>
            <w:vAlign w:val="bottom"/>
          </w:tcPr>
          <w:p>
            <w:pPr>
              <w:jc w:val="right"/>
              <w:spacing w:after="0"/>
              <w:rPr>
                <w:sz w:val="20"/>
                <w:szCs w:val="20"/>
                <w:color w:val="auto"/>
              </w:rPr>
            </w:pPr>
            <w:r>
              <w:rPr>
                <w:rFonts w:ascii="Arial" w:cs="Arial" w:eastAsia="Arial" w:hAnsi="Arial"/>
                <w:sz w:val="18"/>
                <w:szCs w:val="18"/>
                <w:color w:val="auto"/>
              </w:rPr>
              <w:t>0.3</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89</w:t>
            </w:r>
          </w:p>
        </w:tc>
        <w:tc>
          <w:tcPr>
            <w:tcW w:w="1040" w:type="dxa"/>
            <w:vAlign w:val="bottom"/>
            <w:gridSpan w:val="3"/>
          </w:tcPr>
          <w:p>
            <w:pPr>
              <w:jc w:val="right"/>
              <w:ind w:right="20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shd w:val="clear" w:color="auto" w:fill="CCEEFF"/>
          </w:tcPr>
          <w:p>
            <w:pPr>
              <w:spacing w:after="0"/>
              <w:rPr>
                <w:sz w:val="20"/>
                <w:szCs w:val="20"/>
                <w:color w:val="auto"/>
              </w:rPr>
            </w:pPr>
            <w:r>
              <w:rPr>
                <w:rFonts w:ascii="Arial" w:cs="Arial" w:eastAsia="Arial" w:hAnsi="Arial"/>
                <w:sz w:val="18"/>
                <w:szCs w:val="18"/>
                <w:color w:val="auto"/>
              </w:rPr>
              <w:t>2001</w:t>
            </w:r>
          </w:p>
        </w:tc>
        <w:tc>
          <w:tcPr>
            <w:tcW w:w="620" w:type="dxa"/>
            <w:vAlign w:val="bottom"/>
            <w:shd w:val="clear" w:color="auto" w:fill="CCEEFF"/>
          </w:tcPr>
          <w:p>
            <w:pPr>
              <w:spacing w:after="0"/>
              <w:rPr>
                <w:sz w:val="18"/>
                <w:szCs w:val="18"/>
                <w:color w:val="auto"/>
              </w:rPr>
            </w:pPr>
          </w:p>
        </w:tc>
        <w:tc>
          <w:tcPr>
            <w:tcW w:w="38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7.49%</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1,292</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325</w:t>
            </w:r>
          </w:p>
        </w:tc>
        <w:tc>
          <w:tcPr>
            <w:tcW w:w="10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20"/>
                <w:szCs w:val="20"/>
                <w:color w:val="auto"/>
              </w:rPr>
            </w:pPr>
            <w:r>
              <w:rPr>
                <w:rFonts w:ascii="Arial" w:cs="Arial" w:eastAsia="Arial" w:hAnsi="Arial"/>
                <w:sz w:val="18"/>
                <w:szCs w:val="18"/>
                <w:color w:val="auto"/>
              </w:rPr>
              <w:t>2002</w:t>
            </w:r>
          </w:p>
        </w:tc>
        <w:tc>
          <w:tcPr>
            <w:tcW w:w="62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6.62%</w:t>
            </w:r>
          </w:p>
        </w:tc>
        <w:tc>
          <w:tcPr>
            <w:tcW w:w="900" w:type="dxa"/>
            <w:vAlign w:val="bottom"/>
          </w:tcPr>
          <w:p>
            <w:pPr>
              <w:jc w:val="right"/>
              <w:spacing w:after="0"/>
              <w:rPr>
                <w:sz w:val="20"/>
                <w:szCs w:val="20"/>
                <w:color w:val="auto"/>
              </w:rPr>
            </w:pPr>
            <w:r>
              <w:rPr>
                <w:rFonts w:ascii="Arial" w:cs="Arial" w:eastAsia="Arial" w:hAnsi="Arial"/>
                <w:sz w:val="18"/>
                <w:szCs w:val="18"/>
                <w:color w:val="auto"/>
              </w:rPr>
              <w:t>1</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80"/>
              <w:spacing w:after="0"/>
              <w:rPr>
                <w:sz w:val="20"/>
                <w:szCs w:val="20"/>
                <w:color w:val="auto"/>
              </w:rPr>
            </w:pPr>
            <w:r>
              <w:rPr>
                <w:rFonts w:ascii="Arial" w:cs="Arial" w:eastAsia="Arial" w:hAnsi="Arial"/>
                <w:sz w:val="18"/>
                <w:szCs w:val="18"/>
                <w:color w:val="auto"/>
              </w:rPr>
              <w:t>3,098</w:t>
            </w:r>
          </w:p>
        </w:tc>
        <w:tc>
          <w:tcPr>
            <w:tcW w:w="440" w:type="dxa"/>
            <w:vAlign w:val="bottom"/>
          </w:tcPr>
          <w:p>
            <w:pPr>
              <w:jc w:val="right"/>
              <w:spacing w:after="0"/>
              <w:rPr>
                <w:sz w:val="20"/>
                <w:szCs w:val="20"/>
                <w:color w:val="auto"/>
              </w:rPr>
            </w:pPr>
            <w:r>
              <w:rPr>
                <w:rFonts w:ascii="Arial" w:cs="Arial" w:eastAsia="Arial" w:hAnsi="Arial"/>
                <w:sz w:val="18"/>
                <w:szCs w:val="18"/>
                <w:color w:val="auto"/>
              </w:rPr>
              <w:t>2.3</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753</w:t>
            </w:r>
          </w:p>
        </w:tc>
        <w:tc>
          <w:tcPr>
            <w:tcW w:w="1040" w:type="dxa"/>
            <w:vAlign w:val="bottom"/>
            <w:gridSpan w:val="3"/>
          </w:tcPr>
          <w:p>
            <w:pPr>
              <w:jc w:val="right"/>
              <w:ind w:right="20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shd w:val="clear" w:color="auto" w:fill="CCEEFF"/>
          </w:tcPr>
          <w:p>
            <w:pPr>
              <w:spacing w:after="0"/>
              <w:rPr>
                <w:sz w:val="20"/>
                <w:szCs w:val="20"/>
                <w:color w:val="auto"/>
              </w:rPr>
            </w:pPr>
            <w:r>
              <w:rPr>
                <w:rFonts w:ascii="Arial" w:cs="Arial" w:eastAsia="Arial" w:hAnsi="Arial"/>
                <w:sz w:val="18"/>
                <w:szCs w:val="18"/>
                <w:color w:val="auto"/>
              </w:rPr>
              <w:t>2003</w:t>
            </w:r>
          </w:p>
        </w:tc>
        <w:tc>
          <w:tcPr>
            <w:tcW w:w="620" w:type="dxa"/>
            <w:vAlign w:val="bottom"/>
            <w:shd w:val="clear" w:color="auto" w:fill="CCEEFF"/>
          </w:tcPr>
          <w:p>
            <w:pPr>
              <w:spacing w:after="0"/>
              <w:rPr>
                <w:sz w:val="18"/>
                <w:szCs w:val="18"/>
                <w:color w:val="auto"/>
              </w:rPr>
            </w:pPr>
          </w:p>
        </w:tc>
        <w:tc>
          <w:tcPr>
            <w:tcW w:w="38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5.65%</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12,480</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2,105</w:t>
            </w:r>
          </w:p>
        </w:tc>
        <w:tc>
          <w:tcPr>
            <w:tcW w:w="10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20"/>
                <w:szCs w:val="20"/>
                <w:color w:val="auto"/>
              </w:rPr>
            </w:pPr>
            <w:r>
              <w:rPr>
                <w:rFonts w:ascii="Arial" w:cs="Arial" w:eastAsia="Arial" w:hAnsi="Arial"/>
                <w:sz w:val="18"/>
                <w:szCs w:val="18"/>
                <w:color w:val="auto"/>
              </w:rPr>
              <w:t>2004</w:t>
            </w:r>
          </w:p>
        </w:tc>
        <w:tc>
          <w:tcPr>
            <w:tcW w:w="62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5.88%</w:t>
            </w:r>
          </w:p>
        </w:tc>
        <w:tc>
          <w:tcPr>
            <w:tcW w:w="900" w:type="dxa"/>
            <w:vAlign w:val="bottom"/>
          </w:tcPr>
          <w:p>
            <w:pPr>
              <w:jc w:val="right"/>
              <w:spacing w:after="0"/>
              <w:rPr>
                <w:sz w:val="20"/>
                <w:szCs w:val="20"/>
                <w:color w:val="auto"/>
              </w:rPr>
            </w:pPr>
            <w:r>
              <w:rPr>
                <w:rFonts w:ascii="Arial" w:cs="Arial" w:eastAsia="Arial" w:hAnsi="Arial"/>
                <w:sz w:val="18"/>
                <w:szCs w:val="18"/>
                <w:color w:val="auto"/>
              </w:rPr>
              <w:t>2</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80"/>
              <w:spacing w:after="0"/>
              <w:rPr>
                <w:sz w:val="20"/>
                <w:szCs w:val="20"/>
                <w:color w:val="auto"/>
              </w:rPr>
            </w:pPr>
            <w:r>
              <w:rPr>
                <w:rFonts w:ascii="Arial" w:cs="Arial" w:eastAsia="Arial" w:hAnsi="Arial"/>
                <w:sz w:val="18"/>
                <w:szCs w:val="18"/>
                <w:color w:val="auto"/>
              </w:rPr>
              <w:t>7,317</w:t>
            </w:r>
          </w:p>
        </w:tc>
        <w:tc>
          <w:tcPr>
            <w:tcW w:w="440" w:type="dxa"/>
            <w:vAlign w:val="bottom"/>
          </w:tcPr>
          <w:p>
            <w:pPr>
              <w:jc w:val="right"/>
              <w:spacing w:after="0"/>
              <w:rPr>
                <w:sz w:val="20"/>
                <w:szCs w:val="20"/>
                <w:color w:val="auto"/>
              </w:rPr>
            </w:pPr>
            <w:r>
              <w:rPr>
                <w:rFonts w:ascii="Arial" w:cs="Arial" w:eastAsia="Arial" w:hAnsi="Arial"/>
                <w:sz w:val="18"/>
                <w:szCs w:val="18"/>
                <w:color w:val="auto"/>
              </w:rPr>
              <w:t>5.5</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1,640</w:t>
            </w:r>
          </w:p>
        </w:tc>
        <w:tc>
          <w:tcPr>
            <w:tcW w:w="1040" w:type="dxa"/>
            <w:vAlign w:val="bottom"/>
            <w:gridSpan w:val="3"/>
          </w:tcPr>
          <w:p>
            <w:pPr>
              <w:jc w:val="right"/>
              <w:ind w:right="200"/>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shd w:val="clear" w:color="auto" w:fill="CCEEFF"/>
          </w:tcPr>
          <w:p>
            <w:pPr>
              <w:spacing w:after="0"/>
              <w:rPr>
                <w:sz w:val="20"/>
                <w:szCs w:val="20"/>
                <w:color w:val="auto"/>
              </w:rPr>
            </w:pPr>
            <w:r>
              <w:rPr>
                <w:rFonts w:ascii="Arial" w:cs="Arial" w:eastAsia="Arial" w:hAnsi="Arial"/>
                <w:sz w:val="18"/>
                <w:szCs w:val="18"/>
                <w:color w:val="auto"/>
              </w:rPr>
              <w:t>2005</w:t>
            </w:r>
          </w:p>
        </w:tc>
        <w:tc>
          <w:tcPr>
            <w:tcW w:w="620" w:type="dxa"/>
            <w:vAlign w:val="bottom"/>
            <w:shd w:val="clear" w:color="auto" w:fill="CCEEFF"/>
          </w:tcPr>
          <w:p>
            <w:pPr>
              <w:spacing w:after="0"/>
              <w:rPr>
                <w:sz w:val="18"/>
                <w:szCs w:val="18"/>
                <w:color w:val="auto"/>
              </w:rPr>
            </w:pPr>
          </w:p>
        </w:tc>
        <w:tc>
          <w:tcPr>
            <w:tcW w:w="38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5.98%</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11,559</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2,931</w:t>
            </w:r>
          </w:p>
        </w:tc>
        <w:tc>
          <w:tcPr>
            <w:tcW w:w="10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20"/>
                <w:szCs w:val="20"/>
                <w:color w:val="auto"/>
              </w:rPr>
            </w:pPr>
            <w:r>
              <w:rPr>
                <w:rFonts w:ascii="Arial" w:cs="Arial" w:eastAsia="Arial" w:hAnsi="Arial"/>
                <w:sz w:val="18"/>
                <w:szCs w:val="18"/>
                <w:color w:val="auto"/>
              </w:rPr>
              <w:t>2006</w:t>
            </w:r>
          </w:p>
        </w:tc>
        <w:tc>
          <w:tcPr>
            <w:tcW w:w="62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6.52%</w:t>
            </w:r>
          </w:p>
        </w:tc>
        <w:tc>
          <w:tcPr>
            <w:tcW w:w="900" w:type="dxa"/>
            <w:vAlign w:val="bottom"/>
          </w:tcPr>
          <w:p>
            <w:pPr>
              <w:jc w:val="right"/>
              <w:spacing w:after="0"/>
              <w:rPr>
                <w:sz w:val="20"/>
                <w:szCs w:val="20"/>
                <w:color w:val="auto"/>
              </w:rPr>
            </w:pPr>
            <w:r>
              <w:rPr>
                <w:rFonts w:ascii="Arial" w:cs="Arial" w:eastAsia="Arial" w:hAnsi="Arial"/>
                <w:sz w:val="18"/>
                <w:szCs w:val="18"/>
                <w:color w:val="auto"/>
              </w:rPr>
              <w:t>23</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80"/>
              <w:spacing w:after="0"/>
              <w:rPr>
                <w:sz w:val="20"/>
                <w:szCs w:val="20"/>
                <w:color w:val="auto"/>
              </w:rPr>
            </w:pPr>
            <w:r>
              <w:rPr>
                <w:rFonts w:ascii="Arial" w:cs="Arial" w:eastAsia="Arial" w:hAnsi="Arial"/>
                <w:sz w:val="18"/>
                <w:szCs w:val="18"/>
                <w:color w:val="auto"/>
              </w:rPr>
              <w:t>15,453</w:t>
            </w:r>
          </w:p>
        </w:tc>
        <w:tc>
          <w:tcPr>
            <w:tcW w:w="440" w:type="dxa"/>
            <w:vAlign w:val="bottom"/>
          </w:tcPr>
          <w:p>
            <w:pPr>
              <w:jc w:val="right"/>
              <w:spacing w:after="0"/>
              <w:rPr>
                <w:sz w:val="20"/>
                <w:szCs w:val="20"/>
                <w:color w:val="auto"/>
              </w:rPr>
            </w:pPr>
            <w:r>
              <w:rPr>
                <w:rFonts w:ascii="Arial" w:cs="Arial" w:eastAsia="Arial" w:hAnsi="Arial"/>
                <w:sz w:val="18"/>
                <w:szCs w:val="18"/>
                <w:color w:val="auto"/>
              </w:rPr>
              <w:t>11.7</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3,737</w:t>
            </w:r>
          </w:p>
        </w:tc>
        <w:tc>
          <w:tcPr>
            <w:tcW w:w="1040" w:type="dxa"/>
            <w:vAlign w:val="bottom"/>
            <w:gridSpan w:val="3"/>
          </w:tcPr>
          <w:p>
            <w:pPr>
              <w:jc w:val="right"/>
              <w:ind w:right="200"/>
              <w:spacing w:after="0"/>
              <w:rPr>
                <w:sz w:val="20"/>
                <w:szCs w:val="20"/>
                <w:color w:val="auto"/>
              </w:rPr>
            </w:pPr>
            <w:r>
              <w:rPr>
                <w:rFonts w:ascii="Arial" w:cs="Arial" w:eastAsia="Arial" w:hAnsi="Arial"/>
                <w:sz w:val="18"/>
                <w:szCs w:val="18"/>
                <w:color w:val="auto"/>
              </w:rPr>
              <w:t>12.3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shd w:val="clear" w:color="auto" w:fill="CCEEFF"/>
          </w:tcPr>
          <w:p>
            <w:pPr>
              <w:spacing w:after="0"/>
              <w:rPr>
                <w:sz w:val="20"/>
                <w:szCs w:val="20"/>
                <w:color w:val="auto"/>
              </w:rPr>
            </w:pPr>
            <w:r>
              <w:rPr>
                <w:rFonts w:ascii="Arial" w:cs="Arial" w:eastAsia="Arial" w:hAnsi="Arial"/>
                <w:sz w:val="18"/>
                <w:szCs w:val="18"/>
                <w:color w:val="auto"/>
              </w:rPr>
              <w:t>2007</w:t>
            </w:r>
          </w:p>
        </w:tc>
        <w:tc>
          <w:tcPr>
            <w:tcW w:w="620" w:type="dxa"/>
            <w:vAlign w:val="bottom"/>
            <w:shd w:val="clear" w:color="auto" w:fill="CCEEFF"/>
          </w:tcPr>
          <w:p>
            <w:pPr>
              <w:spacing w:after="0"/>
              <w:rPr>
                <w:sz w:val="18"/>
                <w:szCs w:val="18"/>
                <w:color w:val="auto"/>
              </w:rPr>
            </w:pPr>
          </w:p>
        </w:tc>
        <w:tc>
          <w:tcPr>
            <w:tcW w:w="38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6.61%</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33,467</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8,229</w:t>
            </w:r>
          </w:p>
        </w:tc>
        <w:tc>
          <w:tcPr>
            <w:tcW w:w="10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27.1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20"/>
                <w:szCs w:val="20"/>
                <w:color w:val="auto"/>
              </w:rPr>
            </w:pPr>
            <w:r>
              <w:rPr>
                <w:rFonts w:ascii="Arial" w:cs="Arial" w:eastAsia="Arial" w:hAnsi="Arial"/>
                <w:sz w:val="18"/>
                <w:szCs w:val="18"/>
                <w:color w:val="auto"/>
              </w:rPr>
              <w:t>2008</w:t>
            </w:r>
          </w:p>
        </w:tc>
        <w:tc>
          <w:tcPr>
            <w:tcW w:w="62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6.19%</w:t>
            </w:r>
          </w:p>
        </w:tc>
        <w:tc>
          <w:tcPr>
            <w:tcW w:w="900" w:type="dxa"/>
            <w:vAlign w:val="bottom"/>
          </w:tcPr>
          <w:p>
            <w:pPr>
              <w:jc w:val="right"/>
              <w:spacing w:after="0"/>
              <w:rPr>
                <w:sz w:val="20"/>
                <w:szCs w:val="20"/>
                <w:color w:val="auto"/>
              </w:rPr>
            </w:pPr>
            <w:r>
              <w:rPr>
                <w:rFonts w:ascii="Arial" w:cs="Arial" w:eastAsia="Arial" w:hAnsi="Arial"/>
                <w:sz w:val="18"/>
                <w:szCs w:val="18"/>
                <w:color w:val="auto"/>
              </w:rPr>
              <w:t>7</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80"/>
              <w:spacing w:after="0"/>
              <w:rPr>
                <w:sz w:val="20"/>
                <w:szCs w:val="20"/>
                <w:color w:val="auto"/>
              </w:rPr>
            </w:pPr>
            <w:r>
              <w:rPr>
                <w:rFonts w:ascii="Arial" w:cs="Arial" w:eastAsia="Arial" w:hAnsi="Arial"/>
                <w:sz w:val="18"/>
                <w:szCs w:val="18"/>
                <w:color w:val="auto"/>
              </w:rPr>
              <w:t>30,998</w:t>
            </w:r>
          </w:p>
        </w:tc>
        <w:tc>
          <w:tcPr>
            <w:tcW w:w="440" w:type="dxa"/>
            <w:vAlign w:val="bottom"/>
          </w:tcPr>
          <w:p>
            <w:pPr>
              <w:jc w:val="right"/>
              <w:spacing w:after="0"/>
              <w:rPr>
                <w:sz w:val="20"/>
                <w:szCs w:val="20"/>
                <w:color w:val="auto"/>
              </w:rPr>
            </w:pPr>
            <w:r>
              <w:rPr>
                <w:rFonts w:ascii="Arial" w:cs="Arial" w:eastAsia="Arial" w:hAnsi="Arial"/>
                <w:sz w:val="18"/>
                <w:szCs w:val="18"/>
                <w:color w:val="auto"/>
              </w:rPr>
              <w:t>23.5</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7,633</w:t>
            </w:r>
          </w:p>
        </w:tc>
        <w:tc>
          <w:tcPr>
            <w:tcW w:w="1040" w:type="dxa"/>
            <w:vAlign w:val="bottom"/>
            <w:gridSpan w:val="3"/>
          </w:tcPr>
          <w:p>
            <w:pPr>
              <w:jc w:val="right"/>
              <w:ind w:right="200"/>
              <w:spacing w:after="0"/>
              <w:rPr>
                <w:sz w:val="20"/>
                <w:szCs w:val="20"/>
                <w:color w:val="auto"/>
              </w:rPr>
            </w:pPr>
            <w:r>
              <w:rPr>
                <w:rFonts w:ascii="Arial" w:cs="Arial" w:eastAsia="Arial" w:hAnsi="Arial"/>
                <w:sz w:val="18"/>
                <w:szCs w:val="18"/>
                <w:color w:val="auto"/>
              </w:rPr>
              <w:t>25.2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shd w:val="clear" w:color="auto" w:fill="CCEEFF"/>
          </w:tcPr>
          <w:p>
            <w:pPr>
              <w:spacing w:after="0"/>
              <w:rPr>
                <w:sz w:val="20"/>
                <w:szCs w:val="20"/>
                <w:color w:val="auto"/>
              </w:rPr>
            </w:pPr>
            <w:r>
              <w:rPr>
                <w:rFonts w:ascii="Arial" w:cs="Arial" w:eastAsia="Arial" w:hAnsi="Arial"/>
                <w:sz w:val="18"/>
                <w:szCs w:val="18"/>
                <w:color w:val="auto"/>
              </w:rPr>
              <w:t>2009</w:t>
            </w:r>
          </w:p>
        </w:tc>
        <w:tc>
          <w:tcPr>
            <w:tcW w:w="620" w:type="dxa"/>
            <w:vAlign w:val="bottom"/>
            <w:shd w:val="clear" w:color="auto" w:fill="CCEEFF"/>
          </w:tcPr>
          <w:p>
            <w:pPr>
              <w:spacing w:after="0"/>
              <w:rPr>
                <w:sz w:val="18"/>
                <w:szCs w:val="18"/>
                <w:color w:val="auto"/>
              </w:rPr>
            </w:pPr>
          </w:p>
        </w:tc>
        <w:tc>
          <w:tcPr>
            <w:tcW w:w="38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5.08%</w:t>
            </w: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10,061</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1,563</w:t>
            </w:r>
          </w:p>
        </w:tc>
        <w:tc>
          <w:tcPr>
            <w:tcW w:w="10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 w:type="dxa"/>
            <w:vAlign w:val="bottom"/>
          </w:tcPr>
          <w:p>
            <w:pPr>
              <w:spacing w:after="0"/>
              <w:rPr>
                <w:sz w:val="20"/>
                <w:szCs w:val="20"/>
                <w:color w:val="auto"/>
              </w:rPr>
            </w:pPr>
            <w:r>
              <w:rPr>
                <w:rFonts w:ascii="Arial" w:cs="Arial" w:eastAsia="Arial" w:hAnsi="Arial"/>
                <w:sz w:val="18"/>
                <w:szCs w:val="18"/>
                <w:color w:val="auto"/>
              </w:rPr>
              <w:t>2010</w:t>
            </w:r>
          </w:p>
        </w:tc>
        <w:tc>
          <w:tcPr>
            <w:tcW w:w="620" w:type="dxa"/>
            <w:vAlign w:val="bottom"/>
          </w:tcPr>
          <w:p>
            <w:pPr>
              <w:spacing w:after="0"/>
              <w:rPr>
                <w:sz w:val="19"/>
                <w:szCs w:val="19"/>
                <w:color w:val="auto"/>
              </w:rPr>
            </w:pPr>
          </w:p>
        </w:tc>
        <w:tc>
          <w:tcPr>
            <w:tcW w:w="3860" w:type="dxa"/>
            <w:vAlign w:val="bottom"/>
          </w:tcPr>
          <w:p>
            <w:pPr>
              <w:spacing w:after="0"/>
              <w:rPr>
                <w:sz w:val="19"/>
                <w:szCs w:val="19"/>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4.97%</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3,854</w:t>
            </w:r>
          </w:p>
        </w:tc>
        <w:tc>
          <w:tcPr>
            <w:tcW w:w="380" w:type="dxa"/>
            <w:vAlign w:val="bottom"/>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w:t>
            </w:r>
          </w:p>
        </w:tc>
        <w:tc>
          <w:tcPr>
            <w:tcW w:w="5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820</w:t>
            </w:r>
          </w:p>
        </w:tc>
        <w:tc>
          <w:tcPr>
            <w:tcW w:w="400" w:type="dxa"/>
            <w:vAlign w:val="bottom"/>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8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Total portfolio</w:t>
            </w: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6.22%</w:t>
            </w:r>
          </w:p>
        </w:tc>
        <w:tc>
          <w:tcPr>
            <w:tcW w:w="14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9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6"/>
              </w:rPr>
              <w:t>131,936</w:t>
            </w:r>
          </w:p>
        </w:tc>
        <w:tc>
          <w:tcPr>
            <w:tcW w:w="10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91"/>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30,345</w:t>
            </w:r>
          </w:p>
        </w:tc>
        <w:tc>
          <w:tcPr>
            <w:tcW w:w="10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8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98"/>
        </w:numPr>
        <w:rPr>
          <w:rFonts w:ascii="Arial" w:cs="Arial" w:eastAsia="Arial" w:hAnsi="Arial"/>
          <w:sz w:val="22"/>
          <w:szCs w:val="22"/>
          <w:color w:val="auto"/>
          <w:vertAlign w:val="superscript"/>
        </w:rPr>
      </w:pPr>
      <w:r>
        <w:rPr>
          <w:rFonts w:ascii="Arial" w:cs="Arial" w:eastAsia="Arial" w:hAnsi="Arial"/>
          <w:sz w:val="18"/>
          <w:szCs w:val="18"/>
          <w:color w:val="auto"/>
        </w:rPr>
        <w:t>Total reserves were $1,952 million as of June 30,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110</w:t>
      </w:r>
    </w:p>
    <w:p>
      <w:pPr>
        <w:sectPr>
          <w:pgSz w:w="11900" w:h="16838" w:orient="portrait"/>
          <w:cols w:equalWidth="0" w:num="1">
            <w:col w:w="11420"/>
          </w:cols>
          <w:pgMar w:left="240" w:top="459" w:right="239" w:bottom="1440" w:gutter="0" w:footer="0" w:header="0"/>
        </w:sectPr>
      </w:pPr>
    </w:p>
    <w:bookmarkStart w:id="110" w:name="page111"/>
    <w:bookmarkEnd w:id="1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and Other</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Results of Operations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2010 Compared to Three Months Ended June 30, 2009</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results of operations relating to Corporate and Other activities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84"/>
              </w:rPr>
              <w:t>Increase</w:t>
            </w: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80" w:type="dxa"/>
            <w:vAlign w:val="bottom"/>
            <w:gridSpan w:val="4"/>
          </w:tcPr>
          <w:p>
            <w:pPr>
              <w:jc w:val="center"/>
              <w:ind w:right="380"/>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120" w:type="dxa"/>
            <w:vAlign w:val="bottom"/>
            <w:gridSpan w:val="6"/>
          </w:tcPr>
          <w:p>
            <w:pPr>
              <w:jc w:val="right"/>
              <w:ind w:right="820"/>
              <w:spacing w:after="0" w:line="149" w:lineRule="exact"/>
              <w:rPr>
                <w:sz w:val="20"/>
                <w:szCs w:val="20"/>
                <w:color w:val="auto"/>
              </w:rPr>
            </w:pPr>
            <w:r>
              <w:rPr>
                <w:rFonts w:ascii="Arial" w:cs="Arial" w:eastAsia="Arial" w:hAnsi="Arial"/>
                <w:sz w:val="14"/>
                <w:szCs w:val="14"/>
                <w:b w:val="1"/>
                <w:bCs w:val="1"/>
                <w:color w:val="auto"/>
                <w:w w:val="92"/>
              </w:rPr>
              <w:t>Three months ended</w:t>
            </w:r>
          </w:p>
        </w:tc>
        <w:tc>
          <w:tcPr>
            <w:tcW w:w="140" w:type="dxa"/>
            <w:vAlign w:val="bottom"/>
          </w:tcPr>
          <w:p>
            <w:pPr>
              <w:spacing w:after="0"/>
              <w:rPr>
                <w:sz w:val="12"/>
                <w:szCs w:val="12"/>
                <w:color w:val="auto"/>
              </w:rPr>
            </w:pPr>
          </w:p>
        </w:tc>
        <w:tc>
          <w:tcPr>
            <w:tcW w:w="980" w:type="dxa"/>
            <w:vAlign w:val="bottom"/>
            <w:gridSpan w:val="2"/>
          </w:tcPr>
          <w:p>
            <w:pPr>
              <w:jc w:val="center"/>
              <w:ind w:left="116"/>
              <w:spacing w:after="0" w:line="149" w:lineRule="exact"/>
              <w:rPr>
                <w:sz w:val="20"/>
                <w:szCs w:val="20"/>
                <w:color w:val="auto"/>
              </w:rPr>
            </w:pPr>
            <w:r>
              <w:rPr>
                <w:rFonts w:ascii="Arial" w:cs="Arial" w:eastAsia="Arial" w:hAnsi="Arial"/>
                <w:sz w:val="14"/>
                <w:szCs w:val="14"/>
                <w:b w:val="1"/>
                <w:bCs w:val="1"/>
                <w:color w:val="auto"/>
                <w:w w:val="82"/>
              </w:rPr>
              <w:t>percentage</w:t>
            </w: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74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June 30,</w:t>
            </w: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5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change</w:t>
            </w:r>
          </w:p>
        </w:tc>
        <w:tc>
          <w:tcPr>
            <w:tcW w:w="3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46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55"/>
              <w:spacing w:after="0" w:line="142" w:lineRule="exact"/>
              <w:rPr>
                <w:sz w:val="20"/>
                <w:szCs w:val="20"/>
                <w:color w:val="auto"/>
              </w:rPr>
            </w:pPr>
            <w:r>
              <w:rPr>
                <w:rFonts w:ascii="Arial" w:cs="Arial" w:eastAsia="Arial" w:hAnsi="Arial"/>
                <w:sz w:val="14"/>
                <w:szCs w:val="14"/>
                <w:b w:val="1"/>
                <w:bCs w:val="1"/>
                <w:color w:val="auto"/>
                <w:w w:val="83"/>
              </w:rPr>
              <w:t>2010</w:t>
            </w:r>
          </w:p>
        </w:tc>
        <w:tc>
          <w:tcPr>
            <w:tcW w:w="5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53"/>
              <w:spacing w:after="0" w:line="142" w:lineRule="exact"/>
              <w:rPr>
                <w:sz w:val="20"/>
                <w:szCs w:val="20"/>
                <w:color w:val="auto"/>
              </w:rPr>
            </w:pPr>
            <w:r>
              <w:rPr>
                <w:rFonts w:ascii="Arial" w:cs="Arial" w:eastAsia="Arial" w:hAnsi="Arial"/>
                <w:sz w:val="14"/>
                <w:szCs w:val="14"/>
                <w:b w:val="1"/>
                <w:bCs w:val="1"/>
                <w:color w:val="auto"/>
                <w:w w:val="83"/>
              </w:rPr>
              <w:t>2009</w:t>
            </w: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left="136"/>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61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tcPr>
          <w:p>
            <w:pPr>
              <w:spacing w:after="0"/>
              <w:rPr>
                <w:sz w:val="20"/>
                <w:szCs w:val="20"/>
                <w:color w:val="auto"/>
              </w:rPr>
            </w:pPr>
            <w:r>
              <w:rPr>
                <w:rFonts w:ascii="Arial" w:cs="Arial" w:eastAsia="Arial" w:hAnsi="Arial"/>
                <w:sz w:val="18"/>
                <w:szCs w:val="18"/>
                <w:color w:val="auto"/>
              </w:rPr>
              <w:t>Premiums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572"/>
              <w:spacing w:after="0"/>
              <w:rPr>
                <w:sz w:val="20"/>
                <w:szCs w:val="20"/>
                <w:color w:val="auto"/>
              </w:rPr>
            </w:pPr>
            <w:r>
              <w:rPr>
                <w:rFonts w:ascii="Arial" w:cs="Arial" w:eastAsia="Arial" w:hAnsi="Arial"/>
                <w:sz w:val="18"/>
                <w:szCs w:val="18"/>
                <w:color w:val="auto"/>
              </w:rPr>
              <w:t>—</w:t>
            </w:r>
          </w:p>
        </w:tc>
        <w:tc>
          <w:tcPr>
            <w:tcW w:w="140" w:type="dxa"/>
            <w:vAlign w:val="bottom"/>
            <w:gridSpan w:val="2"/>
          </w:tcPr>
          <w:p>
            <w:pPr>
              <w:jc w:val="right"/>
              <w:ind w:right="20"/>
              <w:spacing w:after="0"/>
              <w:rPr>
                <w:sz w:val="20"/>
                <w:szCs w:val="20"/>
                <w:color w:val="auto"/>
              </w:rPr>
            </w:pPr>
            <w:r>
              <w:rPr>
                <w:rFonts w:ascii="Arial" w:cs="Arial" w:eastAsia="Arial" w:hAnsi="Arial"/>
                <w:sz w:val="18"/>
                <w:szCs w:val="18"/>
                <w:color w:val="auto"/>
                <w:w w:val="99"/>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1</w:t>
            </w:r>
          </w:p>
        </w:tc>
        <w:tc>
          <w:tcPr>
            <w:tcW w:w="5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572"/>
              <w:spacing w:after="0"/>
              <w:rPr>
                <w:sz w:val="20"/>
                <w:szCs w:val="20"/>
                <w:color w:val="auto"/>
              </w:rPr>
            </w:pPr>
            <w:r>
              <w:rPr>
                <w:rFonts w:ascii="Arial" w:cs="Arial" w:eastAsia="Arial" w:hAnsi="Arial"/>
                <w:sz w:val="18"/>
                <w:szCs w:val="18"/>
                <w:color w:val="auto"/>
              </w:rPr>
              <w:t>(1)</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89"/>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92"/>
              <w:spacing w:after="0"/>
              <w:rPr>
                <w:sz w:val="20"/>
                <w:szCs w:val="20"/>
                <w:color w:val="auto"/>
              </w:rPr>
            </w:pPr>
            <w:r>
              <w:rPr>
                <w:rFonts w:ascii="Arial" w:cs="Arial" w:eastAsia="Arial" w:hAnsi="Arial"/>
                <w:sz w:val="18"/>
                <w:szCs w:val="18"/>
                <w:color w:val="auto"/>
              </w:rPr>
              <w:t>35</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72"/>
              <w:spacing w:after="0"/>
              <w:rPr>
                <w:sz w:val="20"/>
                <w:szCs w:val="20"/>
                <w:color w:val="auto"/>
              </w:rPr>
            </w:pPr>
            <w:r>
              <w:rPr>
                <w:rFonts w:ascii="Arial" w:cs="Arial" w:eastAsia="Arial" w:hAnsi="Arial"/>
                <w:sz w:val="18"/>
                <w:szCs w:val="18"/>
                <w:color w:val="auto"/>
                <w:w w:val="99"/>
              </w:rPr>
              <w:t>(25)</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tcPr>
          <w:p>
            <w:pPr>
              <w:spacing w:after="0"/>
              <w:rPr>
                <w:sz w:val="20"/>
                <w:szCs w:val="20"/>
                <w:color w:val="auto"/>
              </w:rPr>
            </w:pPr>
            <w:r>
              <w:rPr>
                <w:rFonts w:ascii="Arial" w:cs="Arial" w:eastAsia="Arial" w:hAnsi="Arial"/>
                <w:sz w:val="18"/>
                <w:szCs w:val="18"/>
                <w:color w:val="auto"/>
              </w:rPr>
              <w:t>Net investment gains (losses)</w:t>
            </w:r>
          </w:p>
        </w:tc>
        <w:tc>
          <w:tcPr>
            <w:tcW w:w="120" w:type="dxa"/>
            <w:vAlign w:val="bottom"/>
          </w:tcPr>
          <w:p>
            <w:pPr>
              <w:spacing w:after="0"/>
              <w:rPr>
                <w:sz w:val="18"/>
                <w:szCs w:val="18"/>
                <w:color w:val="auto"/>
              </w:rPr>
            </w:pPr>
          </w:p>
        </w:tc>
        <w:tc>
          <w:tcPr>
            <w:tcW w:w="980" w:type="dxa"/>
            <w:vAlign w:val="bottom"/>
            <w:gridSpan w:val="2"/>
          </w:tcPr>
          <w:p>
            <w:pPr>
              <w:jc w:val="right"/>
              <w:ind w:right="432"/>
              <w:spacing w:after="0"/>
              <w:rPr>
                <w:sz w:val="20"/>
                <w:szCs w:val="20"/>
                <w:color w:val="auto"/>
              </w:rPr>
            </w:pPr>
            <w:r>
              <w:rPr>
                <w:rFonts w:ascii="Arial" w:cs="Arial" w:eastAsia="Arial" w:hAnsi="Arial"/>
                <w:sz w:val="18"/>
                <w:szCs w:val="18"/>
                <w:color w:val="auto"/>
              </w:rPr>
              <w:t>(68)</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(61)</w:t>
            </w:r>
          </w:p>
        </w:tc>
        <w:tc>
          <w:tcPr>
            <w:tcW w:w="140" w:type="dxa"/>
            <w:vAlign w:val="bottom"/>
          </w:tcPr>
          <w:p>
            <w:pPr>
              <w:spacing w:after="0"/>
              <w:rPr>
                <w:sz w:val="18"/>
                <w:szCs w:val="18"/>
                <w:color w:val="auto"/>
              </w:rPr>
            </w:pPr>
          </w:p>
        </w:tc>
        <w:tc>
          <w:tcPr>
            <w:tcW w:w="980" w:type="dxa"/>
            <w:vAlign w:val="bottom"/>
            <w:gridSpan w:val="2"/>
          </w:tcPr>
          <w:p>
            <w:pPr>
              <w:jc w:val="right"/>
              <w:ind w:right="572"/>
              <w:spacing w:after="0"/>
              <w:rPr>
                <w:sz w:val="20"/>
                <w:szCs w:val="20"/>
                <w:color w:val="auto"/>
              </w:rPr>
            </w:pPr>
            <w:r>
              <w:rPr>
                <w:rFonts w:ascii="Arial" w:cs="Arial" w:eastAsia="Arial" w:hAnsi="Arial"/>
                <w:sz w:val="18"/>
                <w:szCs w:val="18"/>
                <w:color w:val="auto"/>
              </w:rPr>
              <w:t>(7)</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32"/>
              <w:spacing w:after="0"/>
              <w:rPr>
                <w:sz w:val="20"/>
                <w:szCs w:val="20"/>
                <w:color w:val="auto"/>
              </w:rPr>
            </w:pPr>
            <w:r>
              <w:rPr>
                <w:rFonts w:ascii="Arial" w:cs="Arial" w:eastAsia="Arial" w:hAnsi="Arial"/>
                <w:sz w:val="18"/>
                <w:szCs w:val="18"/>
                <w:color w:val="auto"/>
              </w:rPr>
              <w:t>(3)</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72"/>
              <w:spacing w:after="0"/>
              <w:rPr>
                <w:sz w:val="20"/>
                <w:szCs w:val="20"/>
                <w:color w:val="auto"/>
              </w:rPr>
            </w:pPr>
            <w:r>
              <w:rPr>
                <w:rFonts w:ascii="Arial" w:cs="Arial" w:eastAsia="Arial" w:hAnsi="Arial"/>
                <w:sz w:val="18"/>
                <w:szCs w:val="18"/>
                <w:color w:val="auto"/>
                <w:w w:val="99"/>
              </w:rPr>
              <w:t>(44)</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9"/>
              </w:rPr>
              <w:t>(107)%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4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revenues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0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w w:val="89"/>
              </w:rPr>
              <w:t>(188)%</w:t>
            </w: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44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gridSpan w:val="2"/>
          </w:tcPr>
          <w:p>
            <w:pPr>
              <w:jc w:val="right"/>
              <w:ind w:right="432"/>
              <w:spacing w:after="0"/>
              <w:rPr>
                <w:sz w:val="20"/>
                <w:szCs w:val="20"/>
                <w:color w:val="auto"/>
              </w:rPr>
            </w:pPr>
            <w:r>
              <w:rPr>
                <w:rFonts w:ascii="Arial" w:cs="Arial" w:eastAsia="Arial" w:hAnsi="Arial"/>
                <w:sz w:val="18"/>
                <w:szCs w:val="18"/>
                <w:color w:val="auto"/>
              </w:rPr>
              <w:t>(36)</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41</w:t>
            </w:r>
          </w:p>
        </w:tc>
        <w:tc>
          <w:tcPr>
            <w:tcW w:w="5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gridSpan w:val="2"/>
          </w:tcPr>
          <w:p>
            <w:pPr>
              <w:jc w:val="right"/>
              <w:ind w:right="572"/>
              <w:spacing w:after="0"/>
              <w:rPr>
                <w:sz w:val="20"/>
                <w:szCs w:val="20"/>
                <w:color w:val="auto"/>
              </w:rPr>
            </w:pPr>
            <w:r>
              <w:rPr>
                <w:rFonts w:ascii="Arial" w:cs="Arial" w:eastAsia="Arial" w:hAnsi="Arial"/>
                <w:sz w:val="18"/>
                <w:szCs w:val="18"/>
                <w:color w:val="auto"/>
                <w:w w:val="99"/>
              </w:rPr>
              <w:t>(77)</w:t>
            </w:r>
          </w:p>
        </w:tc>
        <w:tc>
          <w:tcPr>
            <w:tcW w:w="60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tcPr>
          <w:p>
            <w:pPr>
              <w:spacing w:after="0"/>
              <w:rPr>
                <w:sz w:val="20"/>
                <w:szCs w:val="20"/>
                <w:color w:val="auto"/>
              </w:rPr>
            </w:pPr>
            <w:r>
              <w:rPr>
                <w:rFonts w:ascii="Arial" w:cs="Arial" w:eastAsia="Arial" w:hAnsi="Arial"/>
                <w:sz w:val="18"/>
                <w:szCs w:val="18"/>
                <w:color w:val="auto"/>
              </w:rPr>
              <w:t>Interest credited</w:t>
            </w:r>
          </w:p>
        </w:tc>
        <w:tc>
          <w:tcPr>
            <w:tcW w:w="120" w:type="dxa"/>
            <w:vAlign w:val="bottom"/>
          </w:tcPr>
          <w:p>
            <w:pPr>
              <w:spacing w:after="0"/>
              <w:rPr>
                <w:sz w:val="18"/>
                <w:szCs w:val="18"/>
                <w:color w:val="auto"/>
              </w:rPr>
            </w:pPr>
          </w:p>
        </w:tc>
        <w:tc>
          <w:tcPr>
            <w:tcW w:w="980" w:type="dxa"/>
            <w:vAlign w:val="bottom"/>
            <w:gridSpan w:val="2"/>
          </w:tcPr>
          <w:p>
            <w:pPr>
              <w:jc w:val="right"/>
              <w:ind w:right="492"/>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79</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572"/>
              <w:spacing w:after="0"/>
              <w:rPr>
                <w:sz w:val="20"/>
                <w:szCs w:val="20"/>
                <w:color w:val="auto"/>
              </w:rPr>
            </w:pPr>
            <w:r>
              <w:rPr>
                <w:rFonts w:ascii="Arial" w:cs="Arial" w:eastAsia="Arial" w:hAnsi="Arial"/>
                <w:sz w:val="18"/>
                <w:szCs w:val="18"/>
                <w:color w:val="auto"/>
                <w:w w:val="99"/>
              </w:rPr>
              <w:t>(44)</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Acquisition and operating expenses, net of deferrals</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92"/>
              <w:spacing w:after="0"/>
              <w:rPr>
                <w:sz w:val="20"/>
                <w:szCs w:val="20"/>
                <w:color w:val="auto"/>
              </w:rPr>
            </w:pPr>
            <w:r>
              <w:rPr>
                <w:rFonts w:ascii="Arial" w:cs="Arial" w:eastAsia="Arial" w:hAnsi="Arial"/>
                <w:sz w:val="18"/>
                <w:szCs w:val="18"/>
                <w:color w:val="auto"/>
              </w:rPr>
              <w:t>9</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72"/>
              <w:spacing w:after="0"/>
              <w:rPr>
                <w:sz w:val="20"/>
                <w:szCs w:val="20"/>
                <w:color w:val="auto"/>
              </w:rPr>
            </w:pPr>
            <w:r>
              <w:rPr>
                <w:rFonts w:ascii="Arial" w:cs="Arial" w:eastAsia="Arial" w:hAnsi="Arial"/>
                <w:sz w:val="18"/>
                <w:szCs w:val="18"/>
                <w:color w:val="auto"/>
              </w:rPr>
              <w:t>(6)</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120" w:type="dxa"/>
            <w:vAlign w:val="bottom"/>
          </w:tcPr>
          <w:p>
            <w:pPr>
              <w:spacing w:after="0"/>
              <w:rPr>
                <w:sz w:val="18"/>
                <w:szCs w:val="18"/>
                <w:color w:val="auto"/>
              </w:rPr>
            </w:pPr>
          </w:p>
        </w:tc>
        <w:tc>
          <w:tcPr>
            <w:tcW w:w="980" w:type="dxa"/>
            <w:vAlign w:val="bottom"/>
            <w:gridSpan w:val="2"/>
          </w:tcPr>
          <w:p>
            <w:pPr>
              <w:jc w:val="right"/>
              <w:ind w:right="492"/>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1</w:t>
            </w:r>
          </w:p>
        </w:tc>
        <w:tc>
          <w:tcPr>
            <w:tcW w:w="70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92"/>
              <w:spacing w:after="0"/>
              <w:rPr>
                <w:sz w:val="20"/>
                <w:szCs w:val="20"/>
                <w:color w:val="auto"/>
              </w:rPr>
            </w:pPr>
            <w:r>
              <w:rPr>
                <w:rFonts w:ascii="Arial" w:cs="Arial" w:eastAsia="Arial" w:hAnsi="Arial"/>
                <w:sz w:val="18"/>
                <w:szCs w:val="18"/>
                <w:color w:val="auto"/>
              </w:rPr>
              <w:t>70</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7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4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benefits and expenses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0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rPr>
              <w:t>(28)%</w:t>
            </w: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44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492"/>
              <w:spacing w:after="0"/>
              <w:rPr>
                <w:sz w:val="20"/>
                <w:szCs w:val="20"/>
                <w:color w:val="auto"/>
              </w:rPr>
            </w:pPr>
            <w:r>
              <w:rPr>
                <w:rFonts w:ascii="Arial" w:cs="Arial" w:eastAsia="Arial" w:hAnsi="Arial"/>
                <w:sz w:val="18"/>
                <w:szCs w:val="18"/>
                <w:color w:val="auto"/>
              </w:rPr>
              <w:t>118</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163</w:t>
            </w:r>
          </w:p>
        </w:tc>
        <w:tc>
          <w:tcPr>
            <w:tcW w:w="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572"/>
              <w:spacing w:after="0"/>
              <w:rPr>
                <w:sz w:val="20"/>
                <w:szCs w:val="20"/>
                <w:color w:val="auto"/>
              </w:rPr>
            </w:pPr>
            <w:r>
              <w:rPr>
                <w:rFonts w:ascii="Arial" w:cs="Arial" w:eastAsia="Arial" w:hAnsi="Arial"/>
                <w:sz w:val="18"/>
                <w:szCs w:val="18"/>
                <w:color w:val="auto"/>
                <w:w w:val="99"/>
              </w:rPr>
              <w:t>(45)</w:t>
            </w:r>
          </w:p>
        </w:tc>
        <w:tc>
          <w:tcPr>
            <w:tcW w:w="6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61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Loss before income taxes</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32"/>
              <w:spacing w:after="0"/>
              <w:rPr>
                <w:sz w:val="20"/>
                <w:szCs w:val="20"/>
                <w:color w:val="auto"/>
              </w:rPr>
            </w:pPr>
            <w:r>
              <w:rPr>
                <w:rFonts w:ascii="Arial" w:cs="Arial" w:eastAsia="Arial" w:hAnsi="Arial"/>
                <w:sz w:val="18"/>
                <w:szCs w:val="18"/>
                <w:color w:val="auto"/>
              </w:rPr>
              <w:t>(154)</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(122)</w:t>
            </w: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72"/>
              <w:spacing w:after="0"/>
              <w:rPr>
                <w:sz w:val="20"/>
                <w:szCs w:val="20"/>
                <w:color w:val="auto"/>
              </w:rPr>
            </w:pPr>
            <w:r>
              <w:rPr>
                <w:rFonts w:ascii="Arial" w:cs="Arial" w:eastAsia="Arial" w:hAnsi="Arial"/>
                <w:sz w:val="18"/>
                <w:szCs w:val="18"/>
                <w:color w:val="auto"/>
                <w:w w:val="99"/>
              </w:rPr>
              <w:t>(32)</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tcPr>
          <w:p>
            <w:pPr>
              <w:spacing w:after="0"/>
              <w:rPr>
                <w:sz w:val="20"/>
                <w:szCs w:val="20"/>
                <w:color w:val="auto"/>
              </w:rPr>
            </w:pPr>
            <w:r>
              <w:rPr>
                <w:rFonts w:ascii="Arial" w:cs="Arial" w:eastAsia="Arial" w:hAnsi="Arial"/>
                <w:sz w:val="18"/>
                <w:szCs w:val="18"/>
                <w:color w:val="auto"/>
              </w:rPr>
              <w:t>Benefit for income taxes</w:t>
            </w:r>
          </w:p>
        </w:tc>
        <w:tc>
          <w:tcPr>
            <w:tcW w:w="120" w:type="dxa"/>
            <w:vAlign w:val="bottom"/>
          </w:tcPr>
          <w:p>
            <w:pPr>
              <w:spacing w:after="0"/>
              <w:rPr>
                <w:sz w:val="18"/>
                <w:szCs w:val="18"/>
                <w:color w:val="auto"/>
              </w:rPr>
            </w:pPr>
          </w:p>
        </w:tc>
        <w:tc>
          <w:tcPr>
            <w:tcW w:w="980" w:type="dxa"/>
            <w:vAlign w:val="bottom"/>
            <w:gridSpan w:val="2"/>
          </w:tcPr>
          <w:p>
            <w:pPr>
              <w:jc w:val="right"/>
              <w:ind w:right="432"/>
              <w:spacing w:after="0"/>
              <w:rPr>
                <w:sz w:val="20"/>
                <w:szCs w:val="20"/>
                <w:color w:val="auto"/>
              </w:rPr>
            </w:pPr>
            <w:r>
              <w:rPr>
                <w:rFonts w:ascii="Arial" w:cs="Arial" w:eastAsia="Arial" w:hAnsi="Arial"/>
                <w:sz w:val="18"/>
                <w:szCs w:val="18"/>
                <w:color w:val="auto"/>
              </w:rPr>
              <w:t>(51)</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(17)</w:t>
            </w:r>
          </w:p>
        </w:tc>
        <w:tc>
          <w:tcPr>
            <w:tcW w:w="140" w:type="dxa"/>
            <w:vAlign w:val="bottom"/>
          </w:tcPr>
          <w:p>
            <w:pPr>
              <w:spacing w:after="0"/>
              <w:rPr>
                <w:sz w:val="18"/>
                <w:szCs w:val="18"/>
                <w:color w:val="auto"/>
              </w:rPr>
            </w:pPr>
          </w:p>
        </w:tc>
        <w:tc>
          <w:tcPr>
            <w:tcW w:w="980" w:type="dxa"/>
            <w:vAlign w:val="bottom"/>
            <w:gridSpan w:val="2"/>
          </w:tcPr>
          <w:p>
            <w:pPr>
              <w:jc w:val="right"/>
              <w:ind w:right="572"/>
              <w:spacing w:after="0"/>
              <w:rPr>
                <w:sz w:val="20"/>
                <w:szCs w:val="20"/>
                <w:color w:val="auto"/>
              </w:rPr>
            </w:pPr>
            <w:r>
              <w:rPr>
                <w:rFonts w:ascii="Arial" w:cs="Arial" w:eastAsia="Arial" w:hAnsi="Arial"/>
                <w:sz w:val="18"/>
                <w:szCs w:val="18"/>
                <w:color w:val="auto"/>
                <w:w w:val="99"/>
              </w:rPr>
              <w:t>(34)</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89"/>
              </w:rPr>
              <w:t>(200)%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61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loss available to Genworth Financial, Inc.’s common stockholders</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32"/>
              <w:spacing w:after="0"/>
              <w:rPr>
                <w:sz w:val="20"/>
                <w:szCs w:val="20"/>
                <w:color w:val="auto"/>
              </w:rPr>
            </w:pPr>
            <w:r>
              <w:rPr>
                <w:rFonts w:ascii="Arial" w:cs="Arial" w:eastAsia="Arial" w:hAnsi="Arial"/>
                <w:sz w:val="18"/>
                <w:szCs w:val="18"/>
                <w:color w:val="auto"/>
              </w:rPr>
              <w:t>(103)</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(105)</w:t>
            </w: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7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tcPr>
          <w:p>
            <w:pPr>
              <w:spacing w:after="0"/>
              <w:rPr>
                <w:sz w:val="20"/>
                <w:szCs w:val="20"/>
                <w:color w:val="auto"/>
              </w:rPr>
            </w:pPr>
            <w:r>
              <w:rPr>
                <w:rFonts w:ascii="Arial" w:cs="Arial" w:eastAsia="Arial" w:hAnsi="Arial"/>
                <w:sz w:val="18"/>
                <w:szCs w:val="18"/>
                <w:color w:val="auto"/>
              </w:rPr>
              <w:t>Adjustment to net loss available to Genworth Financial, Inc.’s common stockholders:</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92"/>
              <w:spacing w:after="0"/>
              <w:rPr>
                <w:sz w:val="20"/>
                <w:szCs w:val="20"/>
                <w:color w:val="auto"/>
              </w:rPr>
            </w:pPr>
            <w:r>
              <w:rPr>
                <w:rFonts w:ascii="Arial" w:cs="Arial" w:eastAsia="Arial" w:hAnsi="Arial"/>
                <w:sz w:val="18"/>
                <w:szCs w:val="18"/>
                <w:color w:val="auto"/>
              </w:rPr>
              <w:t>42</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7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
        </w:trPr>
        <w:tc>
          <w:tcPr>
            <w:tcW w:w="7460" w:type="dxa"/>
            <w:vAlign w:val="bottom"/>
            <w:gridSpan w:val="3"/>
            <w:vMerge w:val="restart"/>
          </w:tcPr>
          <w:p>
            <w:pPr>
              <w:spacing w:after="0"/>
              <w:rPr>
                <w:sz w:val="20"/>
                <w:szCs w:val="20"/>
                <w:color w:val="auto"/>
              </w:rPr>
            </w:pPr>
            <w:r>
              <w:rPr>
                <w:rFonts w:ascii="Arial" w:cs="Arial" w:eastAsia="Arial" w:hAnsi="Arial"/>
                <w:sz w:val="18"/>
                <w:szCs w:val="18"/>
                <w:color w:val="auto"/>
              </w:rPr>
              <w:t>Net operating loss available to Genworth Financial, Inc.’s common stockholders</w:t>
            </w: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0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9%</w:t>
            </w:r>
          </w:p>
        </w:tc>
        <w:tc>
          <w:tcPr>
            <w:tcW w:w="0" w:type="dxa"/>
            <w:vAlign w:val="bottom"/>
          </w:tcPr>
          <w:p>
            <w:pPr>
              <w:spacing w:after="0" w:line="20" w:lineRule="exact"/>
              <w:rPr>
                <w:sz w:val="1"/>
                <w:szCs w:val="1"/>
                <w:color w:val="auto"/>
              </w:rPr>
            </w:pPr>
          </w:p>
        </w:tc>
      </w:tr>
      <w:tr>
        <w:trPr>
          <w:trHeight w:val="222"/>
        </w:trPr>
        <w:tc>
          <w:tcPr>
            <w:tcW w:w="7460" w:type="dxa"/>
            <w:vAlign w:val="bottom"/>
            <w:gridSpan w:val="3"/>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432"/>
              <w:spacing w:after="0"/>
              <w:rPr>
                <w:sz w:val="20"/>
                <w:szCs w:val="20"/>
                <w:color w:val="auto"/>
              </w:rPr>
            </w:pPr>
            <w:r>
              <w:rPr>
                <w:rFonts w:ascii="Arial" w:cs="Arial" w:eastAsia="Arial" w:hAnsi="Arial"/>
                <w:sz w:val="18"/>
                <w:szCs w:val="18"/>
                <w:color w:val="auto"/>
              </w:rPr>
              <w:t>(61)</w:t>
            </w:r>
          </w:p>
        </w:tc>
        <w:tc>
          <w:tcPr>
            <w:tcW w:w="140" w:type="dxa"/>
            <w:vAlign w:val="bottom"/>
            <w:gridSpan w:val="2"/>
          </w:tcPr>
          <w:p>
            <w:pPr>
              <w:jc w:val="right"/>
              <w:ind w:right="20"/>
              <w:spacing w:after="0"/>
              <w:rPr>
                <w:sz w:val="20"/>
                <w:szCs w:val="20"/>
                <w:color w:val="auto"/>
              </w:rPr>
            </w:pPr>
            <w:r>
              <w:rPr>
                <w:rFonts w:ascii="Arial" w:cs="Arial" w:eastAsia="Arial" w:hAnsi="Arial"/>
                <w:sz w:val="18"/>
                <w:szCs w:val="18"/>
                <w:color w:val="auto"/>
                <w:w w:val="99"/>
              </w:rPr>
              <w:t>$</w:t>
            </w: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(67)</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280" w:type="dxa"/>
            <w:vAlign w:val="bottom"/>
          </w:tcPr>
          <w:p>
            <w:pPr>
              <w:jc w:val="right"/>
              <w:spacing w:after="0"/>
              <w:rPr>
                <w:sz w:val="20"/>
                <w:szCs w:val="20"/>
                <w:color w:val="auto"/>
              </w:rPr>
            </w:pPr>
            <w:r>
              <w:rPr>
                <w:rFonts w:ascii="Arial" w:cs="Arial" w:eastAsia="Arial" w:hAnsi="Arial"/>
                <w:sz w:val="18"/>
                <w:szCs w:val="18"/>
                <w:color w:val="auto"/>
              </w:rPr>
              <w:t>6</w:t>
            </w:r>
          </w:p>
        </w:tc>
        <w:tc>
          <w:tcPr>
            <w:tcW w:w="700" w:type="dxa"/>
            <w:vAlign w:val="bottom"/>
          </w:tcPr>
          <w:p>
            <w:pPr>
              <w:spacing w:after="0"/>
              <w:rPr>
                <w:sz w:val="19"/>
                <w:szCs w:val="19"/>
                <w:color w:val="auto"/>
              </w:rPr>
            </w:pPr>
          </w:p>
        </w:tc>
        <w:tc>
          <w:tcPr>
            <w:tcW w:w="6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operating loss available to Genworth Financial, Inc.’s common stockholders</w:t>
      </w:r>
    </w:p>
    <w:p>
      <w:pPr>
        <w:spacing w:after="0" w:line="90"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 decrease in the net operating loss available to Genworth Financial, Inc.’s common stockholders in the current year was primarily as a result of higher tax benefits.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90" w:lineRule="exact"/>
        <w:rPr>
          <w:sz w:val="20"/>
          <w:szCs w:val="20"/>
          <w:color w:val="auto"/>
        </w:rPr>
      </w:pPr>
    </w:p>
    <w:p>
      <w:pPr>
        <w:ind w:right="240" w:firstLine="456"/>
        <w:spacing w:after="0" w:line="370" w:lineRule="auto"/>
        <w:rPr>
          <w:sz w:val="20"/>
          <w:szCs w:val="20"/>
          <w:color w:val="auto"/>
        </w:rPr>
      </w:pPr>
      <w:r>
        <w:rPr>
          <w:rFonts w:ascii="Arial" w:cs="Arial" w:eastAsia="Arial" w:hAnsi="Arial"/>
          <w:sz w:val="15"/>
          <w:szCs w:val="15"/>
          <w:color w:val="auto"/>
        </w:rPr>
        <w:t>Net investment income decreased primarily driven by lower investment income related to policy loans from a bankruptcy-related lapse in 2009. This decrease was partially offset by an increase in net investment income largely related to the consolidation of certain securitization entities as of January 1, 2010.</w:t>
      </w:r>
    </w:p>
    <w:p>
      <w:pPr>
        <w:spacing w:after="0" w:line="62"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Insurance and investment product fees and other decreased primarily as a result of income from the early retirement of institutional contracts at a discount to contract values in 2009 that did not recur.</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Benefits and expenses</w:t>
      </w:r>
    </w:p>
    <w:p>
      <w:pPr>
        <w:spacing w:after="0" w:line="90" w:lineRule="exact"/>
        <w:rPr>
          <w:sz w:val="20"/>
          <w:szCs w:val="20"/>
          <w:color w:val="auto"/>
        </w:rPr>
      </w:pPr>
    </w:p>
    <w:p>
      <w:pPr>
        <w:jc w:val="both"/>
        <w:ind w:right="40" w:firstLine="456"/>
        <w:spacing w:after="0" w:line="370" w:lineRule="auto"/>
        <w:rPr>
          <w:sz w:val="20"/>
          <w:szCs w:val="20"/>
          <w:color w:val="auto"/>
        </w:rPr>
      </w:pPr>
      <w:r>
        <w:rPr>
          <w:rFonts w:ascii="Arial" w:cs="Arial" w:eastAsia="Arial" w:hAnsi="Arial"/>
          <w:sz w:val="15"/>
          <w:szCs w:val="15"/>
          <w:color w:val="auto"/>
        </w:rPr>
        <w:t>The decrease in interest credited was mainly attributable to lower interest rates on interest paid on our floating rate policyholder liabilities and a decrease in average outstanding liabilities. There was also a decrease as a result of a bankruptcy-related lapse in 2009 of a large group corporate-owned life insurance policy.</w:t>
      </w:r>
    </w:p>
    <w:p>
      <w:pPr>
        <w:spacing w:after="0" w:line="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ectPr>
          <w:pgSz w:w="11900" w:h="16838" w:orient="portrait"/>
          <w:cols w:equalWidth="0" w:num="1">
            <w:col w:w="11420"/>
          </w:cols>
          <w:pgMar w:left="240" w:top="459" w:right="239" w:bottom="1440" w:gutter="0" w:footer="0" w:header="0"/>
        </w:sectPr>
      </w:pPr>
    </w:p>
    <w:bookmarkStart w:id="111" w:name="page112"/>
    <w:bookmarkEnd w:id="1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Operating expenses decreased as a result of higher allocated expenses in the current year.</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Interest expense increased primarily related to the consolidation of certain securitization entities as of January 1, 2010.</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increase in the income tax benefit was primarily related to allocated tax expense in the prior year.</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2010 Compared to Six Months Ended June 30, 2009</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results of operations relating to Corporate and Other activities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4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84"/>
              </w:rPr>
              <w:t>Increase</w:t>
            </w: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4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0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84"/>
              </w:rPr>
              <w:t>(decrease)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54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160" w:type="dxa"/>
            <w:vAlign w:val="bottom"/>
            <w:gridSpan w:val="6"/>
          </w:tcPr>
          <w:p>
            <w:pPr>
              <w:jc w:val="right"/>
              <w:ind w:right="920"/>
              <w:spacing w:after="0" w:line="149" w:lineRule="exact"/>
              <w:rPr>
                <w:sz w:val="20"/>
                <w:szCs w:val="20"/>
                <w:color w:val="auto"/>
              </w:rPr>
            </w:pPr>
            <w:r>
              <w:rPr>
                <w:rFonts w:ascii="Arial" w:cs="Arial" w:eastAsia="Arial" w:hAnsi="Arial"/>
                <w:sz w:val="14"/>
                <w:szCs w:val="14"/>
                <w:b w:val="1"/>
                <w:bCs w:val="1"/>
                <w:color w:val="auto"/>
              </w:rPr>
              <w:t>Six months ended</w:t>
            </w:r>
          </w:p>
        </w:tc>
        <w:tc>
          <w:tcPr>
            <w:tcW w:w="100" w:type="dxa"/>
            <w:vAlign w:val="bottom"/>
          </w:tcPr>
          <w:p>
            <w:pPr>
              <w:spacing w:after="0"/>
              <w:rPr>
                <w:sz w:val="12"/>
                <w:szCs w:val="12"/>
                <w:color w:val="auto"/>
              </w:rPr>
            </w:pPr>
          </w:p>
        </w:tc>
        <w:tc>
          <w:tcPr>
            <w:tcW w:w="900" w:type="dxa"/>
            <w:vAlign w:val="bottom"/>
            <w:gridSpan w:val="2"/>
          </w:tcPr>
          <w:p>
            <w:pPr>
              <w:jc w:val="center"/>
              <w:ind w:left="155"/>
              <w:spacing w:after="0" w:line="149" w:lineRule="exact"/>
              <w:rPr>
                <w:sz w:val="20"/>
                <w:szCs w:val="20"/>
                <w:color w:val="auto"/>
              </w:rPr>
            </w:pPr>
            <w:r>
              <w:rPr>
                <w:rFonts w:ascii="Arial" w:cs="Arial" w:eastAsia="Arial" w:hAnsi="Arial"/>
                <w:sz w:val="14"/>
                <w:szCs w:val="14"/>
                <w:b w:val="1"/>
                <w:bCs w:val="1"/>
                <w:color w:val="auto"/>
                <w:w w:val="82"/>
              </w:rPr>
              <w:t>percentage</w:t>
            </w: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68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7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w w:val="82"/>
              </w:rPr>
              <w:t>June 30,</w:t>
            </w:r>
          </w:p>
        </w:tc>
        <w:tc>
          <w:tcPr>
            <w:tcW w:w="440" w:type="dxa"/>
            <w:vAlign w:val="bottom"/>
            <w:tcBorders>
              <w:bottom w:val="single" w:sz="8" w:color="auto"/>
            </w:tcBorders>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change</w:t>
            </w:r>
          </w:p>
        </w:tc>
        <w:tc>
          <w:tcPr>
            <w:tcW w:w="3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820" w:type="dxa"/>
            <w:vAlign w:val="bottom"/>
            <w:gridSpan w:val="3"/>
            <w:vMerge w:val="continue"/>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4"/>
              <w:spacing w:after="0" w:line="142" w:lineRule="exact"/>
              <w:rPr>
                <w:sz w:val="20"/>
                <w:szCs w:val="20"/>
                <w:color w:val="auto"/>
              </w:rPr>
            </w:pPr>
            <w:r>
              <w:rPr>
                <w:rFonts w:ascii="Arial" w:cs="Arial" w:eastAsia="Arial" w:hAnsi="Arial"/>
                <w:sz w:val="14"/>
                <w:szCs w:val="14"/>
                <w:b w:val="1"/>
                <w:bCs w:val="1"/>
                <w:color w:val="auto"/>
                <w:w w:val="89"/>
              </w:rPr>
              <w:t>2010</w:t>
            </w: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3"/>
              <w:spacing w:after="0" w:line="142" w:lineRule="exact"/>
              <w:rPr>
                <w:sz w:val="20"/>
                <w:szCs w:val="20"/>
                <w:color w:val="auto"/>
              </w:rPr>
            </w:pPr>
            <w:r>
              <w:rPr>
                <w:rFonts w:ascii="Arial" w:cs="Arial" w:eastAsia="Arial" w:hAnsi="Arial"/>
                <w:sz w:val="14"/>
                <w:szCs w:val="14"/>
                <w:b w:val="1"/>
                <w:bCs w:val="1"/>
                <w:color w:val="auto"/>
                <w:w w:val="89"/>
              </w:rPr>
              <w:t>2009</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54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tcPr>
          <w:p>
            <w:pPr>
              <w:spacing w:after="0"/>
              <w:rPr>
                <w:sz w:val="20"/>
                <w:szCs w:val="20"/>
                <w:color w:val="auto"/>
              </w:rPr>
            </w:pPr>
            <w:r>
              <w:rPr>
                <w:rFonts w:ascii="Arial" w:cs="Arial" w:eastAsia="Arial" w:hAnsi="Arial"/>
                <w:sz w:val="18"/>
                <w:szCs w:val="18"/>
                <w:color w:val="auto"/>
              </w:rPr>
              <w:t>Premiums</w:t>
            </w: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580"/>
              <w:spacing w:after="0"/>
              <w:rPr>
                <w:sz w:val="20"/>
                <w:szCs w:val="20"/>
                <w:color w:val="auto"/>
              </w:rPr>
            </w:pPr>
            <w:r>
              <w:rPr>
                <w:rFonts w:ascii="Arial" w:cs="Arial" w:eastAsia="Arial" w:hAnsi="Arial"/>
                <w:sz w:val="18"/>
                <w:szCs w:val="18"/>
                <w:color w:val="auto"/>
              </w:rPr>
              <w:t>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(2)</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89"/>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115</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(71)</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tcPr>
          <w:p>
            <w:pPr>
              <w:spacing w:after="0"/>
              <w:rPr>
                <w:sz w:val="20"/>
                <w:szCs w:val="20"/>
                <w:color w:val="auto"/>
              </w:rPr>
            </w:pPr>
            <w:r>
              <w:rPr>
                <w:rFonts w:ascii="Arial" w:cs="Arial" w:eastAsia="Arial" w:hAnsi="Arial"/>
                <w:sz w:val="18"/>
                <w:szCs w:val="18"/>
                <w:color w:val="auto"/>
              </w:rPr>
              <w:t>Net investment gains (losses)</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(84)</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(223)</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99"/>
              </w:rPr>
              <w:t>139</w:t>
            </w:r>
          </w:p>
        </w:tc>
        <w:tc>
          <w:tcPr>
            <w:tcW w:w="58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w w:val="85"/>
              </w:rPr>
              <w:t>(116)</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9"/>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0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revenues</w:t>
            </w:r>
          </w:p>
        </w:tc>
        <w:tc>
          <w:tcPr>
            <w:tcW w:w="7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00" w:type="dxa"/>
            <w:vAlign w:val="bottom"/>
            <w:gridSpan w:val="2"/>
            <w:vMerge w:val="restart"/>
          </w:tcPr>
          <w:p>
            <w:pPr>
              <w:ind w:left="6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6800" w:type="dxa"/>
            <w:vAlign w:val="bottom"/>
            <w:gridSpan w:val="2"/>
            <w:vMerge w:val="continue"/>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(40)</w:t>
            </w: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gridSpan w:val="2"/>
          </w:tcPr>
          <w:p>
            <w:pPr>
              <w:jc w:val="right"/>
              <w:ind w:right="58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0"/>
                <w:szCs w:val="20"/>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(50)</w:t>
            </w:r>
          </w:p>
        </w:tc>
        <w:tc>
          <w:tcPr>
            <w:tcW w:w="60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7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tcPr>
          <w:p>
            <w:pPr>
              <w:spacing w:after="0"/>
              <w:rPr>
                <w:sz w:val="20"/>
                <w:szCs w:val="20"/>
                <w:color w:val="auto"/>
              </w:rPr>
            </w:pPr>
            <w:r>
              <w:rPr>
                <w:rFonts w:ascii="Arial" w:cs="Arial" w:eastAsia="Arial" w:hAnsi="Arial"/>
                <w:sz w:val="18"/>
                <w:szCs w:val="18"/>
                <w:color w:val="auto"/>
              </w:rPr>
              <w:t>Interest credited</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74</w:t>
            </w: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580"/>
              <w:spacing w:after="0"/>
              <w:rPr>
                <w:sz w:val="20"/>
                <w:szCs w:val="20"/>
                <w:color w:val="auto"/>
              </w:rPr>
            </w:pPr>
            <w:r>
              <w:rPr>
                <w:rFonts w:ascii="Arial" w:cs="Arial" w:eastAsia="Arial" w:hAnsi="Arial"/>
                <w:sz w:val="18"/>
                <w:szCs w:val="18"/>
                <w:color w:val="auto"/>
              </w:rPr>
              <w:t>168</w:t>
            </w:r>
          </w:p>
        </w:tc>
        <w:tc>
          <w:tcPr>
            <w:tcW w:w="100" w:type="dxa"/>
            <w:vAlign w:val="bottom"/>
          </w:tcPr>
          <w:p>
            <w:pPr>
              <w:spacing w:after="0"/>
              <w:rPr>
                <w:sz w:val="18"/>
                <w:szCs w:val="18"/>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(94)</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Acquisition and operating expenses, net of deferrals</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26</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(9)</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8</w:t>
            </w: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58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8"/>
                <w:szCs w:val="18"/>
                <w:color w:val="auto"/>
              </w:rPr>
            </w:pPr>
          </w:p>
        </w:tc>
        <w:tc>
          <w:tcPr>
            <w:tcW w:w="900" w:type="dxa"/>
            <w:vAlign w:val="bottom"/>
            <w:gridSpan w:val="2"/>
          </w:tcPr>
          <w:p>
            <w:pPr>
              <w:jc w:val="right"/>
              <w:ind w:right="592"/>
              <w:spacing w:after="0"/>
              <w:rPr>
                <w:sz w:val="20"/>
                <w:szCs w:val="20"/>
                <w:color w:val="auto"/>
              </w:rPr>
            </w:pPr>
            <w:r>
              <w:rPr>
                <w:rFonts w:ascii="Arial" w:cs="Arial" w:eastAsia="Arial" w:hAnsi="Arial"/>
                <w:sz w:val="18"/>
                <w:szCs w:val="18"/>
                <w:color w:val="auto"/>
              </w:rPr>
              <w:t>—</w:t>
            </w:r>
          </w:p>
        </w:tc>
        <w:tc>
          <w:tcPr>
            <w:tcW w:w="600" w:type="dxa"/>
            <w:vAlign w:val="bottom"/>
            <w:gridSpan w:val="2"/>
          </w:tcPr>
          <w:p>
            <w:pPr>
              <w:ind w:left="8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7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128</w:t>
            </w:r>
          </w:p>
        </w:tc>
        <w:tc>
          <w:tcPr>
            <w:tcW w:w="5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5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00" w:type="dxa"/>
            <w:vAlign w:val="bottom"/>
            <w:gridSpan w:val="2"/>
          </w:tcPr>
          <w:p>
            <w:pPr>
              <w:ind w:left="420"/>
              <w:spacing w:after="0"/>
              <w:rPr>
                <w:sz w:val="20"/>
                <w:szCs w:val="20"/>
                <w:color w:val="auto"/>
              </w:rPr>
            </w:pPr>
            <w:r>
              <w:rPr>
                <w:rFonts w:ascii="Arial" w:cs="Arial" w:eastAsia="Arial" w:hAnsi="Arial"/>
                <w:sz w:val="18"/>
                <w:szCs w:val="18"/>
                <w:color w:val="auto"/>
              </w:rPr>
              <w:t>Total benefits and expenses</w:t>
            </w: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239</w:t>
            </w:r>
          </w:p>
        </w:tc>
        <w:tc>
          <w:tcPr>
            <w:tcW w:w="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330</w:t>
            </w: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(91)</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54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Loss before income taxes</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(279)</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(320)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5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tcPr>
          <w:p>
            <w:pPr>
              <w:spacing w:after="0"/>
              <w:rPr>
                <w:sz w:val="20"/>
                <w:szCs w:val="20"/>
                <w:color w:val="auto"/>
              </w:rPr>
            </w:pPr>
            <w:r>
              <w:rPr>
                <w:rFonts w:ascii="Arial" w:cs="Arial" w:eastAsia="Arial" w:hAnsi="Arial"/>
                <w:sz w:val="18"/>
                <w:szCs w:val="18"/>
                <w:color w:val="auto"/>
              </w:rPr>
              <w:t>Benefit for income taxes</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(208)</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(119)</w:t>
            </w:r>
          </w:p>
        </w:tc>
        <w:tc>
          <w:tcPr>
            <w:tcW w:w="100" w:type="dxa"/>
            <w:vAlign w:val="bottom"/>
          </w:tcPr>
          <w:p>
            <w:pPr>
              <w:spacing w:after="0"/>
              <w:rPr>
                <w:sz w:val="18"/>
                <w:szCs w:val="18"/>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rPr>
              <w:t>(89)</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54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loss available to Genworth Financial, Inc.’s common stockholders</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(201)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130</w:t>
            </w:r>
          </w:p>
        </w:tc>
        <w:tc>
          <w:tcPr>
            <w:tcW w:w="5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tcPr>
          <w:p>
            <w:pPr>
              <w:spacing w:after="0"/>
              <w:rPr>
                <w:sz w:val="20"/>
                <w:szCs w:val="20"/>
                <w:color w:val="auto"/>
              </w:rPr>
            </w:pPr>
            <w:r>
              <w:rPr>
                <w:rFonts w:ascii="Arial" w:cs="Arial" w:eastAsia="Arial" w:hAnsi="Arial"/>
                <w:sz w:val="18"/>
                <w:szCs w:val="18"/>
                <w:color w:val="auto"/>
                <w:w w:val="99"/>
              </w:rPr>
              <w:t>Adjustments to net loss available to Genworth Financial, Inc.’s common stockholders:</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144</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(91)</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0" w:type="dxa"/>
            <w:vAlign w:val="bottom"/>
            <w:gridSpan w:val="2"/>
          </w:tcPr>
          <w:p>
            <w:pPr>
              <w:spacing w:after="0"/>
              <w:rPr>
                <w:sz w:val="20"/>
                <w:szCs w:val="20"/>
                <w:color w:val="auto"/>
              </w:rPr>
            </w:pPr>
            <w:r>
              <w:rPr>
                <w:rFonts w:ascii="Arial" w:cs="Arial" w:eastAsia="Arial" w:hAnsi="Arial"/>
                <w:sz w:val="18"/>
                <w:szCs w:val="18"/>
                <w:color w:val="auto"/>
              </w:rPr>
              <w:t>Net tax benefit related to separation from our former parent</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(106)</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6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00" w:type="dxa"/>
            <w:vAlign w:val="bottom"/>
            <w:gridSpan w:val="2"/>
          </w:tcPr>
          <w:p>
            <w:pPr>
              <w:jc w:val="right"/>
              <w:ind w:right="452"/>
              <w:spacing w:after="0"/>
              <w:rPr>
                <w:sz w:val="20"/>
                <w:szCs w:val="20"/>
                <w:color w:val="auto"/>
              </w:rPr>
            </w:pPr>
            <w:r>
              <w:rPr>
                <w:rFonts w:ascii="Arial" w:cs="Arial" w:eastAsia="Arial" w:hAnsi="Arial"/>
                <w:sz w:val="18"/>
                <w:szCs w:val="18"/>
                <w:color w:val="auto"/>
                <w:w w:val="85"/>
              </w:rPr>
              <w:t>(106)</w:t>
            </w:r>
          </w:p>
        </w:tc>
        <w:tc>
          <w:tcPr>
            <w:tcW w:w="600" w:type="dxa"/>
            <w:vAlign w:val="bottom"/>
            <w:gridSpan w:val="2"/>
          </w:tcPr>
          <w:p>
            <w:pPr>
              <w:ind w:left="60"/>
              <w:spacing w:after="0"/>
              <w:rPr>
                <w:sz w:val="20"/>
                <w:szCs w:val="20"/>
                <w:color w:val="auto"/>
              </w:rPr>
            </w:pPr>
            <w:r>
              <w:rPr>
                <w:rFonts w:ascii="Arial" w:cs="Arial" w:eastAsia="Arial" w:hAnsi="Arial"/>
                <w:sz w:val="18"/>
                <w:szCs w:val="18"/>
                <w:color w:val="auto"/>
              </w:rPr>
              <w:t>NM</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20" w:type="dxa"/>
            <w:vAlign w:val="bottom"/>
          </w:tcPr>
          <w:p>
            <w:pPr>
              <w:spacing w:after="0"/>
              <w:rPr>
                <w:sz w:val="2"/>
                <w:szCs w:val="2"/>
                <w:color w:val="auto"/>
              </w:rPr>
            </w:pPr>
          </w:p>
        </w:tc>
        <w:tc>
          <w:tcPr>
            <w:tcW w:w="54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operating loss available to Genworth Financial, Inc.’s common stockholders</w:t>
            </w:r>
          </w:p>
        </w:tc>
        <w:tc>
          <w:tcPr>
            <w:tcW w:w="8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(124)</w:t>
            </w: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(57)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52"/>
              <w:spacing w:after="0"/>
              <w:rPr>
                <w:sz w:val="20"/>
                <w:szCs w:val="20"/>
                <w:color w:val="auto"/>
              </w:rPr>
            </w:pPr>
            <w:r>
              <w:rPr>
                <w:rFonts w:ascii="Arial" w:cs="Arial" w:eastAsia="Arial" w:hAnsi="Arial"/>
                <w:sz w:val="18"/>
                <w:szCs w:val="18"/>
                <w:color w:val="auto"/>
              </w:rPr>
              <w:t>(67)</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9"/>
              </w:rPr>
              <w:t>(118)%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99"/>
        </w:numPr>
        <w:rPr>
          <w:rFonts w:ascii="Arial" w:cs="Arial" w:eastAsia="Arial" w:hAnsi="Arial"/>
          <w:sz w:val="22"/>
          <w:szCs w:val="22"/>
          <w:color w:val="auto"/>
          <w:vertAlign w:val="superscript"/>
        </w:rPr>
      </w:pPr>
      <w:r>
        <w:rPr>
          <w:rFonts w:ascii="Arial" w:cs="Arial" w:eastAsia="Arial" w:hAnsi="Arial"/>
          <w:sz w:val="18"/>
          <w:szCs w:val="18"/>
          <w:color w:val="auto"/>
        </w:rPr>
        <w:t>We define “NM” as not meaningful for increases or decreases greater than 200%.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operating loss available to Genworth Financial, Inc.’s common stockholders</w:t>
      </w:r>
    </w:p>
    <w:p>
      <w:pPr>
        <w:spacing w:after="0" w:line="90"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The increase in the net operating loss available to Genworth Financial, Inc.’s common stockholders in the current year was primarily attributable to income from the early retirement of institutional contracts at a discount to contract values in the prior year that did not recur.</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90"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Net investment income decreased primarily driven by lower investment income related to policy loans from a bankruptcy-related lapse in 2009, lower yields on floating rate investments and a decline in average invested</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112</w:t>
      </w:r>
    </w:p>
    <w:p>
      <w:pPr>
        <w:sectPr>
          <w:pgSz w:w="11900" w:h="16838" w:orient="portrait"/>
          <w:cols w:equalWidth="0" w:num="1">
            <w:col w:w="11420"/>
          </w:cols>
          <w:pgMar w:left="240" w:top="459" w:right="239" w:bottom="1440" w:gutter="0" w:footer="0" w:header="0"/>
        </w:sectPr>
      </w:pPr>
    </w:p>
    <w:bookmarkStart w:id="112" w:name="page113"/>
    <w:bookmarkEnd w:id="1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60"/>
        <w:spacing w:after="0" w:line="259" w:lineRule="auto"/>
        <w:rPr>
          <w:sz w:val="20"/>
          <w:szCs w:val="20"/>
          <w:color w:val="auto"/>
        </w:rPr>
      </w:pPr>
      <w:r>
        <w:rPr>
          <w:rFonts w:ascii="Arial" w:cs="Arial" w:eastAsia="Arial" w:hAnsi="Arial"/>
          <w:sz w:val="18"/>
          <w:szCs w:val="18"/>
          <w:color w:val="auto"/>
        </w:rPr>
        <w:t>assets. Net investment income also included $9 million of higher losses related to limited partnership investments accounted for under the equity method in 2010. These decreases were partially offset by an increase in net investment income largely related to the consolidation of certain securitization entities as of January 1, 2010.</w:t>
      </w:r>
    </w:p>
    <w:p>
      <w:pPr>
        <w:spacing w:after="0" w:line="140"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Insurance and investment product fees and other decreased primarily as a result of income from the early retirement of institutional contracts at a discount to contract values in 2009 that did not recur.</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Benefits and expenses</w:t>
      </w:r>
    </w:p>
    <w:p>
      <w:pPr>
        <w:spacing w:after="0" w:line="90" w:lineRule="exact"/>
        <w:rPr>
          <w:sz w:val="20"/>
          <w:szCs w:val="20"/>
          <w:color w:val="auto"/>
        </w:rPr>
      </w:pPr>
    </w:p>
    <w:p>
      <w:pPr>
        <w:jc w:val="both"/>
        <w:ind w:right="40" w:firstLine="456"/>
        <w:spacing w:after="0" w:line="370" w:lineRule="auto"/>
        <w:rPr>
          <w:sz w:val="20"/>
          <w:szCs w:val="20"/>
          <w:color w:val="auto"/>
        </w:rPr>
      </w:pPr>
      <w:r>
        <w:rPr>
          <w:rFonts w:ascii="Arial" w:cs="Arial" w:eastAsia="Arial" w:hAnsi="Arial"/>
          <w:sz w:val="15"/>
          <w:szCs w:val="15"/>
          <w:color w:val="auto"/>
        </w:rPr>
        <w:t>The decrease in interest credited was mainly attributable to lower interest rates on interest paid on our floating rate policyholder liabilities and a decrease in average outstanding liabilities. There was also a decrease as a result of a bankruptcy-related lapse in 2009 of a large group corporate-owned life insurance policy.</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Operating expenses decreased as a result of higher allocated expenses in the current year.</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Interest expense increased largely related to the consolidation of certain securitization entities as of January 1, 2010.</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increase in the income tax benefit was primarily related to changes in uncertain tax benefits related to separation from our former parent.</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Investments and Derivative Instruments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Investment results</w:t>
      </w:r>
    </w:p>
    <w:p>
      <w:pPr>
        <w:spacing w:after="0" w:line="90"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The following tables set forth information about our investment income, excluding net investment gains (losses), for each component of our investment portfolio for the periods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47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0" w:type="dxa"/>
            <w:vAlign w:val="bottom"/>
            <w:gridSpan w:val="4"/>
          </w:tcPr>
          <w:p>
            <w:pPr>
              <w:jc w:val="right"/>
              <w:ind w:right="200"/>
              <w:spacing w:after="0"/>
              <w:rPr>
                <w:sz w:val="20"/>
                <w:szCs w:val="20"/>
                <w:color w:val="auto"/>
              </w:rPr>
            </w:pPr>
            <w:r>
              <w:rPr>
                <w:rFonts w:ascii="Arial" w:cs="Arial" w:eastAsia="Arial" w:hAnsi="Arial"/>
                <w:sz w:val="14"/>
                <w:szCs w:val="14"/>
                <w:b w:val="1"/>
                <w:bCs w:val="1"/>
                <w:color w:val="auto"/>
                <w:w w:val="85"/>
              </w:rPr>
              <w:t>Three months ended</w:t>
            </w: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47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right"/>
              <w:spacing w:after="0"/>
              <w:rPr>
                <w:sz w:val="20"/>
                <w:szCs w:val="20"/>
                <w:color w:val="auto"/>
              </w:rPr>
            </w:pPr>
            <w:r>
              <w:rPr>
                <w:rFonts w:ascii="Arial" w:cs="Arial" w:eastAsia="Arial" w:hAnsi="Arial"/>
                <w:sz w:val="14"/>
                <w:szCs w:val="14"/>
                <w:b w:val="1"/>
                <w:bCs w:val="1"/>
                <w:color w:val="auto"/>
              </w:rPr>
              <w:t>June 30,</w:t>
            </w: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540" w:type="dxa"/>
            <w:vAlign w:val="bottom"/>
            <w:gridSpan w:val="6"/>
          </w:tcPr>
          <w:p>
            <w:pPr>
              <w:jc w:val="center"/>
              <w:ind w:right="120"/>
              <w:spacing w:after="0"/>
              <w:rPr>
                <w:sz w:val="20"/>
                <w:szCs w:val="20"/>
                <w:color w:val="auto"/>
              </w:rPr>
            </w:pPr>
            <w:r>
              <w:rPr>
                <w:rFonts w:ascii="Arial" w:cs="Arial" w:eastAsia="Arial" w:hAnsi="Arial"/>
                <w:sz w:val="14"/>
                <w:szCs w:val="14"/>
                <w:b w:val="1"/>
                <w:bCs w:val="1"/>
                <w:color w:val="auto"/>
                <w:w w:val="84"/>
              </w:rPr>
              <w:t>Increase (decrease)</w:t>
            </w:r>
          </w:p>
        </w:tc>
        <w:tc>
          <w:tcPr>
            <w:tcW w:w="0" w:type="dxa"/>
            <w:vAlign w:val="bottom"/>
          </w:tcPr>
          <w:p>
            <w:pPr>
              <w:spacing w:after="0"/>
              <w:rPr>
                <w:sz w:val="1"/>
                <w:szCs w:val="1"/>
                <w:color w:val="auto"/>
              </w:rPr>
            </w:pPr>
          </w:p>
        </w:tc>
      </w:tr>
      <w:tr>
        <w:trPr>
          <w:trHeight w:val="142"/>
        </w:trPr>
        <w:tc>
          <w:tcPr>
            <w:tcW w:w="61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300" w:type="dxa"/>
            <w:vAlign w:val="bottom"/>
            <w:tcBorders>
              <w:top w:val="single" w:sz="8" w:color="auto"/>
              <w:bottom w:val="single" w:sz="8" w:color="auto"/>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19"/>
              <w:spacing w:after="0" w:line="142" w:lineRule="exact"/>
              <w:rPr>
                <w:sz w:val="20"/>
                <w:szCs w:val="20"/>
                <w:color w:val="auto"/>
              </w:rPr>
            </w:pPr>
            <w:r>
              <w:rPr>
                <w:rFonts w:ascii="Arial" w:cs="Arial" w:eastAsia="Arial" w:hAnsi="Arial"/>
                <w:sz w:val="14"/>
                <w:szCs w:val="14"/>
                <w:b w:val="1"/>
                <w:bCs w:val="1"/>
                <w:color w:val="auto"/>
                <w:w w:val="89"/>
              </w:rPr>
              <w:t>2010</w:t>
            </w:r>
          </w:p>
        </w:tc>
        <w:tc>
          <w:tcPr>
            <w:tcW w:w="100" w:type="dxa"/>
            <w:vAlign w:val="bottom"/>
            <w:tcBorders>
              <w:top w:val="single" w:sz="8" w:color="auto"/>
              <w:bottom w:val="single" w:sz="8" w:color="auto"/>
            </w:tcBorders>
          </w:tcPr>
          <w:p>
            <w:pPr>
              <w:spacing w:after="0"/>
              <w:rPr>
                <w:sz w:val="12"/>
                <w:szCs w:val="12"/>
                <w:color w:val="auto"/>
              </w:rPr>
            </w:pPr>
          </w:p>
        </w:tc>
        <w:tc>
          <w:tcPr>
            <w:tcW w:w="38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tcBorders>
          </w:tcPr>
          <w:p>
            <w:pPr>
              <w:spacing w:after="0"/>
              <w:rPr>
                <w:sz w:val="12"/>
                <w:szCs w:val="12"/>
                <w:color w:val="auto"/>
              </w:rPr>
            </w:pPr>
          </w:p>
        </w:tc>
        <w:tc>
          <w:tcPr>
            <w:tcW w:w="300" w:type="dxa"/>
            <w:vAlign w:val="bottom"/>
            <w:tcBorders>
              <w:top w:val="single" w:sz="8" w:color="auto"/>
              <w:bottom w:val="single" w:sz="8" w:color="auto"/>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3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9"/>
              </w:rPr>
              <w:t>2009</w:t>
            </w:r>
          </w:p>
        </w:tc>
        <w:tc>
          <w:tcPr>
            <w:tcW w:w="160" w:type="dxa"/>
            <w:vAlign w:val="bottom"/>
            <w:tcBorders>
              <w:top w:val="single" w:sz="8" w:color="auto"/>
              <w:bottom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480" w:type="dxa"/>
            <w:vAlign w:val="bottom"/>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gridSpan w:val="3"/>
          </w:tcPr>
          <w:p>
            <w:pPr>
              <w:jc w:val="center"/>
              <w:spacing w:after="0" w:line="142" w:lineRule="exact"/>
              <w:rPr>
                <w:sz w:val="20"/>
                <w:szCs w:val="20"/>
                <w:color w:val="auto"/>
              </w:rPr>
            </w:pPr>
            <w:r>
              <w:rPr>
                <w:rFonts w:ascii="Arial" w:cs="Arial" w:eastAsia="Arial" w:hAnsi="Arial"/>
                <w:sz w:val="14"/>
                <w:szCs w:val="14"/>
                <w:b w:val="1"/>
                <w:bCs w:val="1"/>
                <w:color w:val="auto"/>
                <w:w w:val="84"/>
              </w:rPr>
              <w:t>2010 vs. 2009</w:t>
            </w:r>
          </w:p>
        </w:tc>
        <w:tc>
          <w:tcPr>
            <w:tcW w:w="300" w:type="dxa"/>
            <w:vAlign w:val="bottom"/>
            <w:tcBorders>
              <w:top w:val="single" w:sz="8" w:color="auto"/>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100" w:type="dxa"/>
            <w:vAlign w:val="bottom"/>
            <w:gridSpan w:val="3"/>
            <w:vMerge w:val="continue"/>
          </w:tcPr>
          <w:p>
            <w:pPr>
              <w:spacing w:after="0"/>
              <w:rPr>
                <w:sz w:val="12"/>
                <w:szCs w:val="12"/>
                <w:color w:val="auto"/>
              </w:rPr>
            </w:pPr>
          </w:p>
        </w:tc>
        <w:tc>
          <w:tcPr>
            <w:tcW w:w="540" w:type="dxa"/>
            <w:vAlign w:val="bottom"/>
            <w:gridSpan w:val="2"/>
          </w:tcPr>
          <w:p>
            <w:pPr>
              <w:jc w:val="right"/>
              <w:ind w:right="240"/>
              <w:spacing w:after="0" w:line="142" w:lineRule="exact"/>
              <w:rPr>
                <w:sz w:val="20"/>
                <w:szCs w:val="20"/>
                <w:color w:val="auto"/>
              </w:rPr>
            </w:pPr>
            <w:r>
              <w:rPr>
                <w:rFonts w:ascii="Arial" w:cs="Arial" w:eastAsia="Arial" w:hAnsi="Arial"/>
                <w:sz w:val="14"/>
                <w:szCs w:val="14"/>
                <w:b w:val="1"/>
                <w:bCs w:val="1"/>
                <w:color w:val="auto"/>
                <w:w w:val="83"/>
              </w:rPr>
              <w:t>Yield</w:t>
            </w:r>
          </w:p>
        </w:tc>
        <w:tc>
          <w:tcPr>
            <w:tcW w:w="400" w:type="dxa"/>
            <w:vAlign w:val="bottom"/>
          </w:tcPr>
          <w:p>
            <w:pPr>
              <w:spacing w:after="0"/>
              <w:rPr>
                <w:sz w:val="12"/>
                <w:szCs w:val="12"/>
                <w:color w:val="auto"/>
              </w:rPr>
            </w:pPr>
          </w:p>
        </w:tc>
        <w:tc>
          <w:tcPr>
            <w:tcW w:w="4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86"/>
              </w:rPr>
              <w:t>Amount</w:t>
            </w:r>
          </w:p>
        </w:tc>
        <w:tc>
          <w:tcPr>
            <w:tcW w:w="480" w:type="dxa"/>
            <w:vAlign w:val="bottom"/>
          </w:tcPr>
          <w:p>
            <w:pPr>
              <w:spacing w:after="0"/>
              <w:rPr>
                <w:sz w:val="12"/>
                <w:szCs w:val="12"/>
                <w:color w:val="auto"/>
              </w:rPr>
            </w:pPr>
          </w:p>
        </w:tc>
        <w:tc>
          <w:tcPr>
            <w:tcW w:w="540" w:type="dxa"/>
            <w:vAlign w:val="bottom"/>
            <w:gridSpan w:val="2"/>
          </w:tcPr>
          <w:p>
            <w:pPr>
              <w:jc w:val="right"/>
              <w:ind w:right="240"/>
              <w:spacing w:after="0" w:line="142" w:lineRule="exact"/>
              <w:rPr>
                <w:sz w:val="20"/>
                <w:szCs w:val="20"/>
                <w:color w:val="auto"/>
              </w:rPr>
            </w:pPr>
            <w:r>
              <w:rPr>
                <w:rFonts w:ascii="Arial" w:cs="Arial" w:eastAsia="Arial" w:hAnsi="Arial"/>
                <w:sz w:val="14"/>
                <w:szCs w:val="14"/>
                <w:b w:val="1"/>
                <w:bCs w:val="1"/>
                <w:color w:val="auto"/>
                <w:w w:val="83"/>
              </w:rPr>
              <w:t>Yield</w:t>
            </w:r>
          </w:p>
        </w:tc>
        <w:tc>
          <w:tcPr>
            <w:tcW w:w="380" w:type="dxa"/>
            <w:vAlign w:val="bottom"/>
          </w:tcPr>
          <w:p>
            <w:pPr>
              <w:spacing w:after="0"/>
              <w:rPr>
                <w:sz w:val="12"/>
                <w:szCs w:val="12"/>
                <w:color w:val="auto"/>
              </w:rPr>
            </w:pPr>
          </w:p>
        </w:tc>
        <w:tc>
          <w:tcPr>
            <w:tcW w:w="4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86"/>
              </w:rPr>
              <w:t>Amount</w:t>
            </w:r>
          </w:p>
        </w:tc>
        <w:tc>
          <w:tcPr>
            <w:tcW w:w="480" w:type="dxa"/>
            <w:vAlign w:val="bottom"/>
          </w:tcPr>
          <w:p>
            <w:pPr>
              <w:spacing w:after="0"/>
              <w:rPr>
                <w:sz w:val="12"/>
                <w:szCs w:val="12"/>
                <w:color w:val="auto"/>
              </w:rPr>
            </w:pPr>
          </w:p>
        </w:tc>
        <w:tc>
          <w:tcPr>
            <w:tcW w:w="720" w:type="dxa"/>
            <w:vAlign w:val="bottom"/>
            <w:gridSpan w:val="2"/>
          </w:tcPr>
          <w:p>
            <w:pPr>
              <w:jc w:val="right"/>
              <w:ind w:right="352"/>
              <w:spacing w:after="0" w:line="142" w:lineRule="exact"/>
              <w:rPr>
                <w:sz w:val="20"/>
                <w:szCs w:val="20"/>
                <w:color w:val="auto"/>
              </w:rPr>
            </w:pPr>
            <w:r>
              <w:rPr>
                <w:rFonts w:ascii="Arial" w:cs="Arial" w:eastAsia="Arial" w:hAnsi="Arial"/>
                <w:sz w:val="14"/>
                <w:szCs w:val="14"/>
                <w:b w:val="1"/>
                <w:bCs w:val="1"/>
                <w:color w:val="auto"/>
                <w:w w:val="83"/>
              </w:rPr>
              <w:t>Yield</w:t>
            </w:r>
          </w:p>
        </w:tc>
        <w:tc>
          <w:tcPr>
            <w:tcW w:w="220" w:type="dxa"/>
            <w:vAlign w:val="bottom"/>
          </w:tcPr>
          <w:p>
            <w:pPr>
              <w:spacing w:after="0"/>
              <w:rPr>
                <w:sz w:val="12"/>
                <w:szCs w:val="12"/>
                <w:color w:val="auto"/>
              </w:rPr>
            </w:pPr>
          </w:p>
        </w:tc>
        <w:tc>
          <w:tcPr>
            <w:tcW w:w="50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90"/>
              </w:rPr>
              <w:t>Amount</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80" w:type="dxa"/>
            <w:vAlign w:val="bottom"/>
            <w:tcBorders>
              <w:right w:val="single" w:sz="8" w:color="auto"/>
            </w:tcBorders>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securities—taxable</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5.0%</w:t>
            </w:r>
          </w:p>
        </w:tc>
        <w:tc>
          <w:tcPr>
            <w:tcW w:w="50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w w:val="79"/>
              </w:rPr>
              <w:t>$</w:t>
            </w:r>
          </w:p>
        </w:tc>
        <w:tc>
          <w:tcPr>
            <w:tcW w:w="86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646</w:t>
            </w: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w:t>
            </w:r>
          </w:p>
        </w:tc>
        <w:tc>
          <w:tcPr>
            <w:tcW w:w="54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604</w:t>
            </w:r>
          </w:p>
        </w:tc>
        <w:tc>
          <w:tcPr>
            <w:tcW w:w="4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32"/>
              <w:spacing w:after="0"/>
              <w:rPr>
                <w:sz w:val="20"/>
                <w:szCs w:val="20"/>
                <w:color w:val="auto"/>
              </w:rPr>
            </w:pPr>
            <w:r>
              <w:rPr>
                <w:rFonts w:ascii="Arial" w:cs="Arial" w:eastAsia="Arial" w:hAnsi="Arial"/>
                <w:sz w:val="18"/>
                <w:szCs w:val="18"/>
                <w:color w:val="auto"/>
                <w:w w:val="94"/>
              </w:rPr>
              <w:t>(0.2)%</w:t>
            </w:r>
          </w:p>
        </w:tc>
        <w:tc>
          <w:tcPr>
            <w:tcW w:w="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tcPr>
          <w:p>
            <w:pPr>
              <w:spacing w:after="0"/>
              <w:rPr>
                <w:sz w:val="20"/>
                <w:szCs w:val="20"/>
                <w:color w:val="auto"/>
              </w:rPr>
            </w:pPr>
            <w:r>
              <w:rPr>
                <w:rFonts w:ascii="Arial" w:cs="Arial" w:eastAsia="Arial" w:hAnsi="Arial"/>
                <w:sz w:val="18"/>
                <w:szCs w:val="18"/>
                <w:color w:val="auto"/>
              </w:rPr>
              <w:t>Fixed maturity securities—non-taxable</w:t>
            </w: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4.3%</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480"/>
              <w:spacing w:after="0"/>
              <w:rPr>
                <w:sz w:val="20"/>
                <w:szCs w:val="20"/>
                <w:color w:val="auto"/>
              </w:rPr>
            </w:pPr>
            <w:r>
              <w:rPr>
                <w:rFonts w:ascii="Arial" w:cs="Arial" w:eastAsia="Arial" w:hAnsi="Arial"/>
                <w:sz w:val="18"/>
                <w:szCs w:val="18"/>
                <w:color w:val="auto"/>
              </w:rPr>
              <w:t>16</w:t>
            </w: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rPr>
              <w:t>4.6%</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28</w:t>
            </w:r>
          </w:p>
        </w:tc>
        <w:tc>
          <w:tcPr>
            <w:tcW w:w="480" w:type="dxa"/>
            <w:vAlign w:val="bottom"/>
          </w:tcPr>
          <w:p>
            <w:pPr>
              <w:spacing w:after="0"/>
              <w:rPr>
                <w:sz w:val="18"/>
                <w:szCs w:val="18"/>
                <w:color w:val="auto"/>
              </w:rPr>
            </w:pPr>
          </w:p>
        </w:tc>
        <w:tc>
          <w:tcPr>
            <w:tcW w:w="720" w:type="dxa"/>
            <w:vAlign w:val="bottom"/>
            <w:gridSpan w:val="2"/>
          </w:tcPr>
          <w:p>
            <w:pPr>
              <w:jc w:val="right"/>
              <w:ind w:right="132"/>
              <w:spacing w:after="0"/>
              <w:rPr>
                <w:sz w:val="20"/>
                <w:szCs w:val="20"/>
                <w:color w:val="auto"/>
              </w:rPr>
            </w:pPr>
            <w:r>
              <w:rPr>
                <w:rFonts w:ascii="Arial" w:cs="Arial" w:eastAsia="Arial" w:hAnsi="Arial"/>
                <w:sz w:val="18"/>
                <w:szCs w:val="18"/>
                <w:color w:val="auto"/>
                <w:w w:val="94"/>
              </w:rPr>
              <w:t>(0.3)%</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5.5%</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99</w:t>
            </w: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109</w:t>
            </w:r>
          </w:p>
        </w:tc>
        <w:tc>
          <w:tcPr>
            <w:tcW w:w="4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rPr>
              <w:t>— %</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tcPr>
          <w:p>
            <w:pPr>
              <w:spacing w:after="0"/>
              <w:rPr>
                <w:sz w:val="20"/>
                <w:szCs w:val="20"/>
                <w:color w:val="auto"/>
              </w:rPr>
            </w:pPr>
            <w:r>
              <w:rPr>
                <w:rFonts w:ascii="Arial" w:cs="Arial" w:eastAsia="Arial" w:hAnsi="Arial"/>
                <w:sz w:val="18"/>
                <w:szCs w:val="18"/>
                <w:color w:val="auto"/>
              </w:rPr>
              <w:t xml:space="preserve">Restricted commercial mortgage loans related to securitization entities </w:t>
            </w:r>
            <w:r>
              <w:rPr>
                <w:rFonts w:ascii="Arial" w:cs="Arial" w:eastAsia="Arial" w:hAnsi="Arial"/>
                <w:sz w:val="11"/>
                <w:szCs w:val="11"/>
                <w:color w:val="auto"/>
              </w:rPr>
              <w:t>(1)</w:t>
            </w: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7.3%</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480"/>
              <w:spacing w:after="0"/>
              <w:rPr>
                <w:sz w:val="20"/>
                <w:szCs w:val="20"/>
                <w:color w:val="auto"/>
              </w:rPr>
            </w:pPr>
            <w:r>
              <w:rPr>
                <w:rFonts w:ascii="Arial" w:cs="Arial" w:eastAsia="Arial" w:hAnsi="Arial"/>
                <w:sz w:val="18"/>
                <w:szCs w:val="18"/>
                <w:color w:val="auto"/>
              </w:rPr>
              <w:t>10</w:t>
            </w: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rPr>
              <w:t>— %</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92"/>
              <w:spacing w:after="0"/>
              <w:rPr>
                <w:sz w:val="20"/>
                <w:szCs w:val="20"/>
                <w:color w:val="auto"/>
              </w:rPr>
            </w:pPr>
            <w:r>
              <w:rPr>
                <w:rFonts w:ascii="Arial" w:cs="Arial" w:eastAsia="Arial" w:hAnsi="Arial"/>
                <w:sz w:val="18"/>
                <w:szCs w:val="18"/>
                <w:color w:val="auto"/>
              </w:rPr>
              <w:t>7.3%</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6"/>
              </w:rPr>
              <w:t>11.8%</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5</w:t>
            </w: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4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rPr>
              <w:t>8.2%</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tcPr>
          <w:p>
            <w:pPr>
              <w:spacing w:after="0"/>
              <w:rPr>
                <w:sz w:val="20"/>
                <w:szCs w:val="20"/>
                <w:color w:val="auto"/>
              </w:rPr>
            </w:pPr>
            <w:r>
              <w:rPr>
                <w:rFonts w:ascii="Arial" w:cs="Arial" w:eastAsia="Arial" w:hAnsi="Arial"/>
                <w:sz w:val="18"/>
                <w:szCs w:val="18"/>
                <w:color w:val="auto"/>
              </w:rPr>
              <w:t>Other invested assets</w:t>
            </w: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w w:val="86"/>
              </w:rPr>
              <w:t>14.9%</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480"/>
              <w:spacing w:after="0"/>
              <w:rPr>
                <w:sz w:val="20"/>
                <w:szCs w:val="20"/>
                <w:color w:val="auto"/>
              </w:rPr>
            </w:pPr>
            <w:r>
              <w:rPr>
                <w:rFonts w:ascii="Arial" w:cs="Arial" w:eastAsia="Arial" w:hAnsi="Arial"/>
                <w:sz w:val="18"/>
                <w:szCs w:val="18"/>
                <w:color w:val="auto"/>
              </w:rPr>
              <w:t>39</w:t>
            </w:r>
          </w:p>
        </w:tc>
        <w:tc>
          <w:tcPr>
            <w:tcW w:w="54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(1.3)%</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420"/>
              <w:spacing w:after="0"/>
              <w:rPr>
                <w:sz w:val="20"/>
                <w:szCs w:val="20"/>
                <w:color w:val="auto"/>
              </w:rPr>
            </w:pPr>
            <w:r>
              <w:rPr>
                <w:rFonts w:ascii="Arial" w:cs="Arial" w:eastAsia="Arial" w:hAnsi="Arial"/>
                <w:sz w:val="18"/>
                <w:szCs w:val="18"/>
                <w:color w:val="auto"/>
              </w:rPr>
              <w:t>(7)</w:t>
            </w:r>
          </w:p>
        </w:tc>
        <w:tc>
          <w:tcPr>
            <w:tcW w:w="720" w:type="dxa"/>
            <w:vAlign w:val="bottom"/>
            <w:gridSpan w:val="2"/>
          </w:tcPr>
          <w:p>
            <w:pPr>
              <w:jc w:val="right"/>
              <w:ind w:right="192"/>
              <w:spacing w:after="0"/>
              <w:rPr>
                <w:sz w:val="20"/>
                <w:szCs w:val="20"/>
                <w:color w:val="auto"/>
              </w:rPr>
            </w:pPr>
            <w:r>
              <w:rPr>
                <w:rFonts w:ascii="Arial" w:cs="Arial" w:eastAsia="Arial" w:hAnsi="Arial"/>
                <w:sz w:val="18"/>
                <w:szCs w:val="18"/>
                <w:color w:val="auto"/>
                <w:w w:val="86"/>
              </w:rPr>
              <w:t>16.2%</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Policy loans</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7.7%</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28</w:t>
            </w: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2"/>
              </w:rPr>
              <w:t>10.5%</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4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32"/>
              <w:spacing w:after="0"/>
              <w:rPr>
                <w:sz w:val="20"/>
                <w:szCs w:val="20"/>
                <w:color w:val="auto"/>
              </w:rPr>
            </w:pPr>
            <w:r>
              <w:rPr>
                <w:rFonts w:ascii="Arial" w:cs="Arial" w:eastAsia="Arial" w:hAnsi="Arial"/>
                <w:sz w:val="18"/>
                <w:szCs w:val="18"/>
                <w:color w:val="auto"/>
                <w:w w:val="94"/>
              </w:rPr>
              <w:t>(2.8)%</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80" w:type="dxa"/>
            <w:vAlign w:val="bottom"/>
            <w:gridSpan w:val="2"/>
          </w:tcPr>
          <w:p>
            <w:pPr>
              <w:spacing w:after="0"/>
              <w:rPr>
                <w:sz w:val="20"/>
                <w:szCs w:val="20"/>
                <w:color w:val="auto"/>
              </w:rPr>
            </w:pPr>
            <w:r>
              <w:rPr>
                <w:rFonts w:ascii="Arial" w:cs="Arial" w:eastAsia="Arial" w:hAnsi="Arial"/>
                <w:sz w:val="18"/>
                <w:szCs w:val="18"/>
                <w:color w:val="auto"/>
              </w:rPr>
              <w:t>Cash, cash equivalents and short-term investments</w:t>
            </w: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0.3%</w:t>
            </w: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4</w:t>
            </w:r>
          </w:p>
        </w:tc>
        <w:tc>
          <w:tcPr>
            <w:tcW w:w="480" w:type="dxa"/>
            <w:vAlign w:val="bottom"/>
          </w:tcPr>
          <w:p>
            <w:pPr>
              <w:spacing w:after="0"/>
              <w:rPr>
                <w:sz w:val="19"/>
                <w:szCs w:val="19"/>
                <w:color w:val="auto"/>
              </w:rPr>
            </w:pP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rPr>
              <w:t>0.7%</w:t>
            </w:r>
          </w:p>
        </w:tc>
        <w:tc>
          <w:tcPr>
            <w:tcW w:w="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14</w:t>
            </w:r>
          </w:p>
        </w:tc>
        <w:tc>
          <w:tcPr>
            <w:tcW w:w="480" w:type="dxa"/>
            <w:vAlign w:val="bottom"/>
          </w:tcPr>
          <w:p>
            <w:pPr>
              <w:spacing w:after="0"/>
              <w:rPr>
                <w:sz w:val="19"/>
                <w:szCs w:val="19"/>
                <w:color w:val="auto"/>
              </w:rPr>
            </w:pPr>
          </w:p>
        </w:tc>
        <w:tc>
          <w:tcPr>
            <w:tcW w:w="720" w:type="dxa"/>
            <w:vAlign w:val="bottom"/>
            <w:gridSpan w:val="2"/>
          </w:tcPr>
          <w:p>
            <w:pPr>
              <w:jc w:val="right"/>
              <w:ind w:right="132"/>
              <w:spacing w:after="0"/>
              <w:rPr>
                <w:sz w:val="20"/>
                <w:szCs w:val="20"/>
                <w:color w:val="auto"/>
              </w:rPr>
            </w:pPr>
            <w:r>
              <w:rPr>
                <w:rFonts w:ascii="Arial" w:cs="Arial" w:eastAsia="Arial" w:hAnsi="Arial"/>
                <w:sz w:val="18"/>
                <w:szCs w:val="18"/>
                <w:color w:val="auto"/>
                <w:w w:val="94"/>
              </w:rPr>
              <w:t>(0.4)%</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Gross investment income before expenses and fees</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4.9%</w:t>
            </w:r>
          </w:p>
        </w:tc>
        <w:tc>
          <w:tcPr>
            <w:tcW w:w="4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847</w:t>
            </w:r>
          </w:p>
        </w:tc>
        <w:tc>
          <w:tcPr>
            <w:tcW w:w="480" w:type="dxa"/>
            <w:vAlign w:val="bottom"/>
            <w:tcBorders>
              <w:right w:val="single" w:sz="8" w:color="CCEEFF"/>
            </w:tcBorders>
            <w:shd w:val="clear" w:color="auto" w:fill="CCEEFF"/>
          </w:tcPr>
          <w:p>
            <w:pPr>
              <w:spacing w:after="0"/>
              <w:rPr>
                <w:sz w:val="18"/>
                <w:szCs w:val="18"/>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w:t>
            </w:r>
          </w:p>
        </w:tc>
        <w:tc>
          <w:tcPr>
            <w:tcW w:w="3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803</w:t>
            </w:r>
          </w:p>
        </w:tc>
        <w:tc>
          <w:tcPr>
            <w:tcW w:w="4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rPr>
              <w:t>0.2%</w:t>
            </w:r>
          </w:p>
        </w:tc>
        <w:tc>
          <w:tcPr>
            <w:tcW w:w="22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tcPr>
          <w:p>
            <w:pPr>
              <w:spacing w:after="0"/>
              <w:rPr>
                <w:sz w:val="20"/>
                <w:szCs w:val="20"/>
                <w:color w:val="auto"/>
              </w:rPr>
            </w:pPr>
            <w:r>
              <w:rPr>
                <w:rFonts w:ascii="Arial" w:cs="Arial" w:eastAsia="Arial" w:hAnsi="Arial"/>
                <w:sz w:val="18"/>
                <w:szCs w:val="18"/>
                <w:color w:val="auto"/>
              </w:rPr>
              <w:t>Expenses and fees</w:t>
            </w:r>
          </w:p>
        </w:tc>
        <w:tc>
          <w:tcPr>
            <w:tcW w:w="540" w:type="dxa"/>
            <w:vAlign w:val="bottom"/>
            <w:gridSpan w:val="2"/>
          </w:tcPr>
          <w:p>
            <w:pPr>
              <w:jc w:val="right"/>
              <w:ind w:right="20"/>
              <w:spacing w:after="0"/>
              <w:rPr>
                <w:sz w:val="20"/>
                <w:szCs w:val="20"/>
                <w:color w:val="auto"/>
              </w:rPr>
            </w:pPr>
            <w:r>
              <w:rPr>
                <w:rFonts w:ascii="Arial" w:cs="Arial" w:eastAsia="Arial" w:hAnsi="Arial"/>
                <w:sz w:val="18"/>
                <w:szCs w:val="18"/>
                <w:color w:val="auto"/>
                <w:w w:val="94"/>
              </w:rPr>
              <w:t>(0.1)%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420"/>
              <w:spacing w:after="0"/>
              <w:rPr>
                <w:sz w:val="20"/>
                <w:szCs w:val="20"/>
                <w:color w:val="auto"/>
              </w:rPr>
            </w:pPr>
            <w:r>
              <w:rPr>
                <w:rFonts w:ascii="Arial" w:cs="Arial" w:eastAsia="Arial" w:hAnsi="Arial"/>
                <w:sz w:val="18"/>
                <w:szCs w:val="18"/>
                <w:color w:val="auto"/>
              </w:rPr>
              <w:t>(24)</w:t>
            </w:r>
          </w:p>
        </w:tc>
        <w:tc>
          <w:tcPr>
            <w:tcW w:w="54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(0.1)%</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420"/>
              <w:spacing w:after="0"/>
              <w:rPr>
                <w:sz w:val="20"/>
                <w:szCs w:val="20"/>
                <w:color w:val="auto"/>
              </w:rPr>
            </w:pPr>
            <w:r>
              <w:rPr>
                <w:rFonts w:ascii="Arial" w:cs="Arial" w:eastAsia="Arial" w:hAnsi="Arial"/>
                <w:sz w:val="18"/>
                <w:szCs w:val="18"/>
                <w:color w:val="auto"/>
              </w:rPr>
              <w:t>(22)</w:t>
            </w:r>
          </w:p>
        </w:tc>
        <w:tc>
          <w:tcPr>
            <w:tcW w:w="720" w:type="dxa"/>
            <w:vAlign w:val="bottom"/>
            <w:gridSpan w:val="2"/>
          </w:tcPr>
          <w:p>
            <w:pPr>
              <w:jc w:val="right"/>
              <w:ind w:right="192"/>
              <w:spacing w:after="0"/>
              <w:rPr>
                <w:sz w:val="20"/>
                <w:szCs w:val="20"/>
                <w:color w:val="auto"/>
              </w:rPr>
            </w:pPr>
            <w:r>
              <w:rPr>
                <w:rFonts w:ascii="Arial" w:cs="Arial" w:eastAsia="Arial" w:hAnsi="Arial"/>
                <w:sz w:val="18"/>
                <w:szCs w:val="18"/>
                <w:color w:val="auto"/>
              </w:rPr>
              <w:t>— %</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760" w:type="dxa"/>
            <w:vAlign w:val="bottom"/>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Net investment income</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4.8%</w:t>
            </w:r>
          </w:p>
        </w:tc>
        <w:tc>
          <w:tcPr>
            <w:tcW w:w="50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w w:val="79"/>
              </w:rPr>
              <w:t>$</w:t>
            </w:r>
          </w:p>
        </w:tc>
        <w:tc>
          <w:tcPr>
            <w:tcW w:w="86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823</w:t>
            </w: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w:t>
            </w:r>
          </w:p>
        </w:tc>
        <w:tc>
          <w:tcPr>
            <w:tcW w:w="54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781</w:t>
            </w:r>
          </w:p>
        </w:tc>
        <w:tc>
          <w:tcPr>
            <w:tcW w:w="4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rPr>
              <w:t>0.2%</w:t>
            </w:r>
          </w:p>
        </w:tc>
        <w:tc>
          <w:tcPr>
            <w:tcW w:w="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6" w:lineRule="exact"/>
        <w:rPr>
          <w:sz w:val="20"/>
          <w:szCs w:val="20"/>
          <w:color w:val="auto"/>
        </w:rPr>
      </w:pPr>
    </w:p>
    <w:p>
      <w:pPr>
        <w:ind w:left="460" w:hanging="452"/>
        <w:spacing w:after="0"/>
        <w:tabs>
          <w:tab w:leader="none" w:pos="460" w:val="left"/>
        </w:tabs>
        <w:numPr>
          <w:ilvl w:val="0"/>
          <w:numId w:val="100"/>
        </w:numPr>
        <w:rPr>
          <w:rFonts w:ascii="Arial" w:cs="Arial" w:eastAsia="Arial" w:hAnsi="Arial"/>
          <w:sz w:val="20"/>
          <w:szCs w:val="20"/>
          <w:color w:val="auto"/>
          <w:vertAlign w:val="superscript"/>
        </w:rPr>
      </w:pPr>
      <w:r>
        <w:rPr>
          <w:rFonts w:ascii="Arial" w:cs="Arial" w:eastAsia="Arial" w:hAnsi="Arial"/>
          <w:sz w:val="16"/>
          <w:szCs w:val="16"/>
          <w:color w:val="auto"/>
        </w:rPr>
        <w:t>See note 7 in our “—Notes to Condensed Consolidated Financial Statements” for additional information related to consolidated securitization entities.</w:t>
      </w:r>
    </w:p>
    <w:p>
      <w:pPr>
        <w:spacing w:after="0" w:line="142" w:lineRule="exact"/>
        <w:rPr>
          <w:rFonts w:ascii="Arial" w:cs="Arial" w:eastAsia="Arial" w:hAnsi="Arial"/>
          <w:sz w:val="20"/>
          <w:szCs w:val="20"/>
          <w:color w:val="auto"/>
          <w:vertAlign w:val="superscript"/>
        </w:rPr>
      </w:pPr>
    </w:p>
    <w:p>
      <w:pPr>
        <w:ind w:left="5580"/>
        <w:spacing w:after="0"/>
        <w:rPr>
          <w:rFonts w:ascii="Arial" w:cs="Arial" w:eastAsia="Arial" w:hAnsi="Arial"/>
          <w:sz w:val="20"/>
          <w:szCs w:val="20"/>
          <w:color w:val="auto"/>
          <w:vertAlign w:val="superscript"/>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-382905</wp:posOffset>
            </wp:positionV>
            <wp:extent cx="72898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sectPr>
      </w:pPr>
    </w:p>
    <w:bookmarkStart w:id="113" w:name="page114"/>
    <w:bookmarkEnd w:id="1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20" w:type="dxa"/>
            <w:vAlign w:val="bottom"/>
            <w:gridSpan w:val="5"/>
          </w:tcPr>
          <w:p>
            <w:pPr>
              <w:jc w:val="right"/>
              <w:ind w:right="200"/>
              <w:spacing w:after="0"/>
              <w:rPr>
                <w:sz w:val="20"/>
                <w:szCs w:val="20"/>
                <w:color w:val="auto"/>
              </w:rPr>
            </w:pPr>
            <w:r>
              <w:rPr>
                <w:rFonts w:ascii="Arial" w:cs="Arial" w:eastAsia="Arial" w:hAnsi="Arial"/>
                <w:sz w:val="14"/>
                <w:szCs w:val="14"/>
                <w:b w:val="1"/>
                <w:bCs w:val="1"/>
                <w:color w:val="auto"/>
                <w:w w:val="99"/>
              </w:rPr>
              <w:t>Six months ended</w:t>
            </w: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20" w:type="dxa"/>
            <w:vAlign w:val="bottom"/>
            <w:gridSpan w:val="5"/>
          </w:tcPr>
          <w:p>
            <w:pPr>
              <w:jc w:val="right"/>
              <w:ind w:right="480"/>
              <w:spacing w:after="0"/>
              <w:rPr>
                <w:sz w:val="20"/>
                <w:szCs w:val="20"/>
                <w:color w:val="auto"/>
              </w:rPr>
            </w:pPr>
            <w:r>
              <w:rPr>
                <w:rFonts w:ascii="Arial" w:cs="Arial" w:eastAsia="Arial" w:hAnsi="Arial"/>
                <w:sz w:val="14"/>
                <w:szCs w:val="14"/>
                <w:b w:val="1"/>
                <w:bCs w:val="1"/>
                <w:color w:val="auto"/>
              </w:rPr>
              <w:t>June 30,</w:t>
            </w: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480" w:type="dxa"/>
            <w:vAlign w:val="bottom"/>
            <w:gridSpan w:val="6"/>
          </w:tcPr>
          <w:p>
            <w:pPr>
              <w:jc w:val="center"/>
              <w:ind w:right="100"/>
              <w:spacing w:after="0"/>
              <w:rPr>
                <w:sz w:val="20"/>
                <w:szCs w:val="20"/>
                <w:color w:val="auto"/>
              </w:rPr>
            </w:pPr>
            <w:r>
              <w:rPr>
                <w:rFonts w:ascii="Arial" w:cs="Arial" w:eastAsia="Arial" w:hAnsi="Arial"/>
                <w:sz w:val="14"/>
                <w:szCs w:val="14"/>
                <w:b w:val="1"/>
                <w:bCs w:val="1"/>
                <w:color w:val="auto"/>
                <w:w w:val="84"/>
              </w:rPr>
              <w:t>Increase (decrease)</w:t>
            </w:r>
          </w:p>
        </w:tc>
        <w:tc>
          <w:tcPr>
            <w:tcW w:w="0" w:type="dxa"/>
            <w:vAlign w:val="bottom"/>
          </w:tcPr>
          <w:p>
            <w:pPr>
              <w:spacing w:after="0"/>
              <w:rPr>
                <w:sz w:val="1"/>
                <w:szCs w:val="1"/>
                <w:color w:val="auto"/>
              </w:rPr>
            </w:pPr>
          </w:p>
        </w:tc>
      </w:tr>
      <w:tr>
        <w:trPr>
          <w:trHeight w:val="142"/>
        </w:trPr>
        <w:tc>
          <w:tcPr>
            <w:tcW w:w="64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320" w:type="dxa"/>
            <w:vAlign w:val="bottom"/>
            <w:tcBorders>
              <w:top w:val="single" w:sz="8" w:color="auto"/>
              <w:bottom w:val="single" w:sz="8" w:color="auto"/>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3"/>
              </w:rPr>
              <w:t>2010</w:t>
            </w:r>
          </w:p>
        </w:tc>
        <w:tc>
          <w:tcPr>
            <w:tcW w:w="50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spacing w:after="0"/>
              <w:rPr>
                <w:sz w:val="12"/>
                <w:szCs w:val="12"/>
                <w:color w:val="auto"/>
              </w:rPr>
            </w:pPr>
          </w:p>
        </w:tc>
        <w:tc>
          <w:tcPr>
            <w:tcW w:w="300" w:type="dxa"/>
            <w:vAlign w:val="bottom"/>
            <w:tcBorders>
              <w:top w:val="single" w:sz="8" w:color="auto"/>
              <w:bottom w:val="single" w:sz="8" w:color="auto"/>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9"/>
              </w:rPr>
              <w:t>2009</w:t>
            </w:r>
          </w:p>
        </w:tc>
        <w:tc>
          <w:tcPr>
            <w:tcW w:w="500" w:type="dxa"/>
            <w:vAlign w:val="bottom"/>
            <w:tcBorders>
              <w:top w:val="single" w:sz="8" w:color="auto"/>
              <w:bottom w:val="single" w:sz="8" w:color="auto"/>
            </w:tcBorders>
          </w:tcPr>
          <w:p>
            <w:pPr>
              <w:spacing w:after="0"/>
              <w:rPr>
                <w:sz w:val="12"/>
                <w:szCs w:val="12"/>
                <w:color w:val="auto"/>
              </w:rPr>
            </w:pPr>
          </w:p>
        </w:tc>
        <w:tc>
          <w:tcPr>
            <w:tcW w:w="400" w:type="dxa"/>
            <w:vAlign w:val="bottom"/>
          </w:tcPr>
          <w:p>
            <w:pPr>
              <w:spacing w:after="0"/>
              <w:rPr>
                <w:sz w:val="12"/>
                <w:szCs w:val="12"/>
                <w:color w:val="auto"/>
              </w:rPr>
            </w:pPr>
          </w:p>
        </w:tc>
        <w:tc>
          <w:tcPr>
            <w:tcW w:w="1080" w:type="dxa"/>
            <w:vAlign w:val="bottom"/>
            <w:tcBorders>
              <w:top w:val="single" w:sz="8" w:color="auto"/>
              <w:bottom w:val="single" w:sz="8" w:color="auto"/>
            </w:tcBorders>
            <w:gridSpan w:val="4"/>
          </w:tcPr>
          <w:p>
            <w:pPr>
              <w:jc w:val="center"/>
              <w:ind w:left="216"/>
              <w:spacing w:after="0" w:line="142" w:lineRule="exact"/>
              <w:rPr>
                <w:sz w:val="20"/>
                <w:szCs w:val="20"/>
                <w:color w:val="auto"/>
              </w:rPr>
            </w:pPr>
            <w:r>
              <w:rPr>
                <w:rFonts w:ascii="Arial" w:cs="Arial" w:eastAsia="Arial" w:hAnsi="Arial"/>
                <w:sz w:val="14"/>
                <w:szCs w:val="14"/>
                <w:b w:val="1"/>
                <w:bCs w:val="1"/>
                <w:color w:val="auto"/>
                <w:w w:val="87"/>
              </w:rPr>
              <w:t>2010 vs. 2009</w:t>
            </w:r>
          </w:p>
        </w:tc>
        <w:tc>
          <w:tcPr>
            <w:tcW w:w="300" w:type="dxa"/>
            <w:vAlign w:val="bottom"/>
            <w:tcBorders>
              <w:top w:val="single" w:sz="8" w:color="auto"/>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420" w:type="dxa"/>
            <w:vAlign w:val="bottom"/>
            <w:gridSpan w:val="3"/>
            <w:vMerge w:val="continue"/>
          </w:tcPr>
          <w:p>
            <w:pPr>
              <w:spacing w:after="0"/>
              <w:rPr>
                <w:sz w:val="12"/>
                <w:szCs w:val="12"/>
                <w:color w:val="auto"/>
              </w:rPr>
            </w:pPr>
          </w:p>
        </w:tc>
        <w:tc>
          <w:tcPr>
            <w:tcW w:w="540" w:type="dxa"/>
            <w:vAlign w:val="bottom"/>
            <w:gridSpan w:val="2"/>
          </w:tcPr>
          <w:p>
            <w:pPr>
              <w:jc w:val="right"/>
              <w:ind w:right="240"/>
              <w:spacing w:after="0" w:line="142" w:lineRule="exact"/>
              <w:rPr>
                <w:sz w:val="20"/>
                <w:szCs w:val="20"/>
                <w:color w:val="auto"/>
              </w:rPr>
            </w:pPr>
            <w:r>
              <w:rPr>
                <w:rFonts w:ascii="Arial" w:cs="Arial" w:eastAsia="Arial" w:hAnsi="Arial"/>
                <w:sz w:val="14"/>
                <w:szCs w:val="14"/>
                <w:b w:val="1"/>
                <w:bCs w:val="1"/>
                <w:color w:val="auto"/>
                <w:w w:val="83"/>
              </w:rPr>
              <w:t>Yield</w:t>
            </w:r>
          </w:p>
        </w:tc>
        <w:tc>
          <w:tcPr>
            <w:tcW w:w="320" w:type="dxa"/>
            <w:vAlign w:val="bottom"/>
          </w:tcPr>
          <w:p>
            <w:pPr>
              <w:spacing w:after="0"/>
              <w:rPr>
                <w:sz w:val="12"/>
                <w:szCs w:val="12"/>
                <w:color w:val="auto"/>
              </w:rPr>
            </w:pPr>
          </w:p>
        </w:tc>
        <w:tc>
          <w:tcPr>
            <w:tcW w:w="5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86"/>
              </w:rPr>
              <w:t>Amount</w:t>
            </w:r>
          </w:p>
        </w:tc>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20" w:type="dxa"/>
            <w:vAlign w:val="bottom"/>
            <w:gridSpan w:val="2"/>
          </w:tcPr>
          <w:p>
            <w:pPr>
              <w:jc w:val="right"/>
              <w:ind w:right="220"/>
              <w:spacing w:after="0" w:line="142" w:lineRule="exact"/>
              <w:rPr>
                <w:sz w:val="20"/>
                <w:szCs w:val="20"/>
                <w:color w:val="auto"/>
              </w:rPr>
            </w:pPr>
            <w:r>
              <w:rPr>
                <w:rFonts w:ascii="Arial" w:cs="Arial" w:eastAsia="Arial" w:hAnsi="Arial"/>
                <w:sz w:val="14"/>
                <w:szCs w:val="14"/>
                <w:b w:val="1"/>
                <w:bCs w:val="1"/>
                <w:color w:val="auto"/>
                <w:w w:val="83"/>
              </w:rPr>
              <w:t>Yield</w:t>
            </w:r>
          </w:p>
        </w:tc>
        <w:tc>
          <w:tcPr>
            <w:tcW w:w="340" w:type="dxa"/>
            <w:vAlign w:val="bottom"/>
          </w:tcPr>
          <w:p>
            <w:pPr>
              <w:spacing w:after="0"/>
              <w:rPr>
                <w:sz w:val="12"/>
                <w:szCs w:val="12"/>
                <w:color w:val="auto"/>
              </w:rPr>
            </w:pPr>
          </w:p>
        </w:tc>
        <w:tc>
          <w:tcPr>
            <w:tcW w:w="5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86"/>
              </w:rPr>
              <w:t>Amount</w:t>
            </w:r>
          </w:p>
        </w:tc>
        <w:tc>
          <w:tcPr>
            <w:tcW w:w="400" w:type="dxa"/>
            <w:vAlign w:val="bottom"/>
          </w:tcPr>
          <w:p>
            <w:pPr>
              <w:spacing w:after="0"/>
              <w:rPr>
                <w:sz w:val="12"/>
                <w:szCs w:val="12"/>
                <w:color w:val="auto"/>
              </w:rPr>
            </w:pPr>
          </w:p>
        </w:tc>
        <w:tc>
          <w:tcPr>
            <w:tcW w:w="700" w:type="dxa"/>
            <w:vAlign w:val="bottom"/>
            <w:gridSpan w:val="2"/>
          </w:tcPr>
          <w:p>
            <w:pPr>
              <w:jc w:val="right"/>
              <w:ind w:right="380"/>
              <w:spacing w:after="0" w:line="142" w:lineRule="exact"/>
              <w:rPr>
                <w:sz w:val="20"/>
                <w:szCs w:val="20"/>
                <w:color w:val="auto"/>
              </w:rPr>
            </w:pPr>
            <w:r>
              <w:rPr>
                <w:rFonts w:ascii="Arial" w:cs="Arial" w:eastAsia="Arial" w:hAnsi="Arial"/>
                <w:sz w:val="14"/>
                <w:szCs w:val="14"/>
                <w:b w:val="1"/>
                <w:bCs w:val="1"/>
                <w:color w:val="auto"/>
                <w:w w:val="89"/>
              </w:rPr>
              <w:t>Yield</w:t>
            </w:r>
          </w:p>
        </w:tc>
        <w:tc>
          <w:tcPr>
            <w:tcW w:w="180" w:type="dxa"/>
            <w:vAlign w:val="bottom"/>
          </w:tcPr>
          <w:p>
            <w:pPr>
              <w:spacing w:after="0"/>
              <w:rPr>
                <w:sz w:val="12"/>
                <w:szCs w:val="12"/>
                <w:color w:val="auto"/>
              </w:rPr>
            </w:pPr>
          </w:p>
        </w:tc>
        <w:tc>
          <w:tcPr>
            <w:tcW w:w="50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90"/>
              </w:rPr>
              <w:t>Amount</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securities—taxable</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5.0%</w:t>
            </w:r>
          </w:p>
        </w:tc>
        <w:tc>
          <w:tcPr>
            <w:tcW w:w="8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$1,272</w:t>
            </w:r>
          </w:p>
        </w:tc>
        <w:tc>
          <w:tcPr>
            <w:tcW w:w="3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5.3%</w:t>
            </w:r>
          </w:p>
        </w:tc>
        <w:tc>
          <w:tcPr>
            <w:tcW w:w="124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$1,227</w:t>
            </w: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4"/>
              </w:rPr>
              <w:t>(0.3)%</w:t>
            </w:r>
          </w:p>
        </w:tc>
        <w:tc>
          <w:tcPr>
            <w:tcW w:w="3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gridSpan w:val="2"/>
          </w:tcPr>
          <w:p>
            <w:pPr>
              <w:spacing w:after="0"/>
              <w:rPr>
                <w:sz w:val="20"/>
                <w:szCs w:val="20"/>
                <w:color w:val="auto"/>
              </w:rPr>
            </w:pPr>
            <w:r>
              <w:rPr>
                <w:rFonts w:ascii="Arial" w:cs="Arial" w:eastAsia="Arial" w:hAnsi="Arial"/>
                <w:sz w:val="18"/>
                <w:szCs w:val="18"/>
                <w:color w:val="auto"/>
              </w:rPr>
              <w:t>Fixed maturity securities—non-taxable</w:t>
            </w: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4.3%</w:t>
            </w:r>
          </w:p>
        </w:tc>
        <w:tc>
          <w:tcPr>
            <w:tcW w:w="840" w:type="dxa"/>
            <w:vAlign w:val="bottom"/>
            <w:gridSpan w:val="3"/>
          </w:tcPr>
          <w:p>
            <w:pPr>
              <w:jc w:val="right"/>
              <w:ind w:right="20"/>
              <w:spacing w:after="0"/>
              <w:rPr>
                <w:sz w:val="20"/>
                <w:szCs w:val="20"/>
                <w:color w:val="auto"/>
              </w:rPr>
            </w:pPr>
            <w:r>
              <w:rPr>
                <w:rFonts w:ascii="Arial" w:cs="Arial" w:eastAsia="Arial" w:hAnsi="Arial"/>
                <w:sz w:val="18"/>
                <w:szCs w:val="18"/>
                <w:color w:val="auto"/>
              </w:rPr>
              <w:t>32</w:t>
            </w:r>
          </w:p>
        </w:tc>
        <w:tc>
          <w:tcPr>
            <w:tcW w:w="38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4.6%</w:t>
            </w:r>
          </w:p>
        </w:tc>
        <w:tc>
          <w:tcPr>
            <w:tcW w:w="1240" w:type="dxa"/>
            <w:vAlign w:val="bottom"/>
            <w:gridSpan w:val="3"/>
          </w:tcPr>
          <w:p>
            <w:pPr>
              <w:jc w:val="right"/>
              <w:ind w:right="400"/>
              <w:spacing w:after="0"/>
              <w:rPr>
                <w:sz w:val="20"/>
                <w:szCs w:val="20"/>
                <w:color w:val="auto"/>
              </w:rPr>
            </w:pPr>
            <w:r>
              <w:rPr>
                <w:rFonts w:ascii="Arial" w:cs="Arial" w:eastAsia="Arial" w:hAnsi="Arial"/>
                <w:sz w:val="18"/>
                <w:szCs w:val="18"/>
                <w:color w:val="auto"/>
              </w:rPr>
              <w:t>58</w:t>
            </w:r>
          </w:p>
        </w:tc>
        <w:tc>
          <w:tcPr>
            <w:tcW w:w="700" w:type="dxa"/>
            <w:vAlign w:val="bottom"/>
            <w:gridSpan w:val="2"/>
          </w:tcPr>
          <w:p>
            <w:pPr>
              <w:jc w:val="right"/>
              <w:ind w:right="180"/>
              <w:spacing w:after="0"/>
              <w:rPr>
                <w:sz w:val="20"/>
                <w:szCs w:val="20"/>
                <w:color w:val="auto"/>
              </w:rPr>
            </w:pPr>
            <w:r>
              <w:rPr>
                <w:rFonts w:ascii="Arial" w:cs="Arial" w:eastAsia="Arial" w:hAnsi="Arial"/>
                <w:sz w:val="18"/>
                <w:szCs w:val="18"/>
                <w:color w:val="auto"/>
                <w:w w:val="94"/>
              </w:rPr>
              <w:t>(0.3)%</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gridSpan w:val="2"/>
          </w:tcPr>
          <w:p>
            <w:pPr>
              <w:jc w:val="right"/>
              <w:ind w:right="4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5.7%</w:t>
            </w:r>
          </w:p>
        </w:tc>
        <w:tc>
          <w:tcPr>
            <w:tcW w:w="8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203</w:t>
            </w:r>
          </w:p>
        </w:tc>
        <w:tc>
          <w:tcPr>
            <w:tcW w:w="3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5.5%</w:t>
            </w:r>
          </w:p>
        </w:tc>
        <w:tc>
          <w:tcPr>
            <w:tcW w:w="124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223</w:t>
            </w: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0.2%</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gridSpan w:val="2"/>
          </w:tcPr>
          <w:p>
            <w:pPr>
              <w:spacing w:after="0"/>
              <w:rPr>
                <w:sz w:val="20"/>
                <w:szCs w:val="20"/>
                <w:color w:val="auto"/>
              </w:rPr>
            </w:pPr>
            <w:r>
              <w:rPr>
                <w:rFonts w:ascii="Arial" w:cs="Arial" w:eastAsia="Arial" w:hAnsi="Arial"/>
                <w:sz w:val="18"/>
                <w:szCs w:val="18"/>
                <w:color w:val="auto"/>
              </w:rPr>
              <w:t xml:space="preserve">Restricted commercial mortgage loans related to securitization entities </w:t>
            </w:r>
            <w:r>
              <w:rPr>
                <w:rFonts w:ascii="Arial" w:cs="Arial" w:eastAsia="Arial" w:hAnsi="Arial"/>
                <w:sz w:val="11"/>
                <w:szCs w:val="11"/>
                <w:color w:val="auto"/>
              </w:rPr>
              <w:t>(1)</w:t>
            </w: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7.4%</w:t>
            </w:r>
          </w:p>
        </w:tc>
        <w:tc>
          <w:tcPr>
            <w:tcW w:w="840" w:type="dxa"/>
            <w:vAlign w:val="bottom"/>
            <w:gridSpan w:val="3"/>
          </w:tcPr>
          <w:p>
            <w:pPr>
              <w:jc w:val="right"/>
              <w:ind w:right="20"/>
              <w:spacing w:after="0"/>
              <w:rPr>
                <w:sz w:val="20"/>
                <w:szCs w:val="20"/>
                <w:color w:val="auto"/>
              </w:rPr>
            </w:pPr>
            <w:r>
              <w:rPr>
                <w:rFonts w:ascii="Arial" w:cs="Arial" w:eastAsia="Arial" w:hAnsi="Arial"/>
                <w:sz w:val="18"/>
                <w:szCs w:val="18"/>
                <w:color w:val="auto"/>
              </w:rPr>
              <w:t>20</w:t>
            </w:r>
          </w:p>
        </w:tc>
        <w:tc>
          <w:tcPr>
            <w:tcW w:w="38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 %</w:t>
            </w:r>
          </w:p>
        </w:tc>
        <w:tc>
          <w:tcPr>
            <w:tcW w:w="340" w:type="dxa"/>
            <w:vAlign w:val="bottom"/>
          </w:tcPr>
          <w:p>
            <w:pPr>
              <w:spacing w:after="0"/>
              <w:rPr>
                <w:sz w:val="18"/>
                <w:szCs w:val="18"/>
                <w:color w:val="auto"/>
              </w:rPr>
            </w:pPr>
          </w:p>
        </w:tc>
        <w:tc>
          <w:tcPr>
            <w:tcW w:w="90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7.4%</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9.4%</w:t>
            </w:r>
          </w:p>
        </w:tc>
        <w:tc>
          <w:tcPr>
            <w:tcW w:w="8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7</w:t>
            </w:r>
          </w:p>
        </w:tc>
        <w:tc>
          <w:tcPr>
            <w:tcW w:w="3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4.1%</w:t>
            </w:r>
          </w:p>
        </w:tc>
        <w:tc>
          <w:tcPr>
            <w:tcW w:w="124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6</w:t>
            </w: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5.3%</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gridSpan w:val="2"/>
          </w:tcPr>
          <w:p>
            <w:pPr>
              <w:spacing w:after="0"/>
              <w:rPr>
                <w:sz w:val="20"/>
                <w:szCs w:val="20"/>
                <w:color w:val="auto"/>
              </w:rPr>
            </w:pPr>
            <w:r>
              <w:rPr>
                <w:rFonts w:ascii="Arial" w:cs="Arial" w:eastAsia="Arial" w:hAnsi="Arial"/>
                <w:sz w:val="18"/>
                <w:szCs w:val="18"/>
                <w:color w:val="auto"/>
              </w:rPr>
              <w:t>Other invested assets</w:t>
            </w: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6.8%</w:t>
            </w:r>
          </w:p>
        </w:tc>
        <w:tc>
          <w:tcPr>
            <w:tcW w:w="840" w:type="dxa"/>
            <w:vAlign w:val="bottom"/>
            <w:gridSpan w:val="3"/>
          </w:tcPr>
          <w:p>
            <w:pPr>
              <w:jc w:val="right"/>
              <w:ind w:right="20"/>
              <w:spacing w:after="0"/>
              <w:rPr>
                <w:sz w:val="20"/>
                <w:szCs w:val="20"/>
                <w:color w:val="auto"/>
              </w:rPr>
            </w:pPr>
            <w:r>
              <w:rPr>
                <w:rFonts w:ascii="Arial" w:cs="Arial" w:eastAsia="Arial" w:hAnsi="Arial"/>
                <w:sz w:val="18"/>
                <w:szCs w:val="18"/>
                <w:color w:val="auto"/>
              </w:rPr>
              <w:t>37</w:t>
            </w:r>
          </w:p>
        </w:tc>
        <w:tc>
          <w:tcPr>
            <w:tcW w:w="38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w w:val="94"/>
              </w:rPr>
              <w:t>(9.3)%</w:t>
            </w:r>
          </w:p>
        </w:tc>
        <w:tc>
          <w:tcPr>
            <w:tcW w:w="1240" w:type="dxa"/>
            <w:vAlign w:val="bottom"/>
            <w:gridSpan w:val="3"/>
          </w:tcPr>
          <w:p>
            <w:pPr>
              <w:jc w:val="right"/>
              <w:ind w:right="340"/>
              <w:spacing w:after="0"/>
              <w:rPr>
                <w:sz w:val="20"/>
                <w:szCs w:val="20"/>
                <w:color w:val="auto"/>
              </w:rPr>
            </w:pPr>
            <w:r>
              <w:rPr>
                <w:rFonts w:ascii="Arial" w:cs="Arial" w:eastAsia="Arial" w:hAnsi="Arial"/>
                <w:sz w:val="18"/>
                <w:szCs w:val="18"/>
                <w:color w:val="auto"/>
              </w:rPr>
              <w:t>(106)</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86"/>
              </w:rPr>
              <w:t>16.1%</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w w:val="93"/>
              </w:rPr>
              <w:t>143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Restricted other invested assets related to securitization entities </w:t>
            </w:r>
            <w:r>
              <w:rPr>
                <w:rFonts w:ascii="Arial" w:cs="Arial" w:eastAsia="Arial" w:hAnsi="Arial"/>
                <w:sz w:val="11"/>
                <w:szCs w:val="11"/>
                <w:color w:val="auto"/>
              </w:rPr>
              <w:t>(1)</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0.6%</w:t>
            </w:r>
          </w:p>
        </w:tc>
        <w:tc>
          <w:tcPr>
            <w:tcW w:w="8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w:t>
            </w:r>
          </w:p>
        </w:tc>
        <w:tc>
          <w:tcPr>
            <w:tcW w:w="3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 %</w:t>
            </w:r>
          </w:p>
        </w:tc>
        <w:tc>
          <w:tcPr>
            <w:tcW w:w="3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0.6%</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gridSpan w:val="2"/>
          </w:tcPr>
          <w:p>
            <w:pPr>
              <w:spacing w:after="0"/>
              <w:rPr>
                <w:sz w:val="20"/>
                <w:szCs w:val="20"/>
                <w:color w:val="auto"/>
              </w:rPr>
            </w:pPr>
            <w:r>
              <w:rPr>
                <w:rFonts w:ascii="Arial" w:cs="Arial" w:eastAsia="Arial" w:hAnsi="Arial"/>
                <w:sz w:val="18"/>
                <w:szCs w:val="18"/>
                <w:color w:val="auto"/>
              </w:rPr>
              <w:t>Policy loans</w:t>
            </w: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7.6%</w:t>
            </w:r>
          </w:p>
        </w:tc>
        <w:tc>
          <w:tcPr>
            <w:tcW w:w="840" w:type="dxa"/>
            <w:vAlign w:val="bottom"/>
            <w:gridSpan w:val="3"/>
          </w:tcPr>
          <w:p>
            <w:pPr>
              <w:jc w:val="right"/>
              <w:ind w:right="20"/>
              <w:spacing w:after="0"/>
              <w:rPr>
                <w:sz w:val="20"/>
                <w:szCs w:val="20"/>
                <w:color w:val="auto"/>
              </w:rPr>
            </w:pPr>
            <w:r>
              <w:rPr>
                <w:rFonts w:ascii="Arial" w:cs="Arial" w:eastAsia="Arial" w:hAnsi="Arial"/>
                <w:sz w:val="18"/>
                <w:szCs w:val="18"/>
                <w:color w:val="auto"/>
              </w:rPr>
              <w:t>55</w:t>
            </w:r>
          </w:p>
        </w:tc>
        <w:tc>
          <w:tcPr>
            <w:tcW w:w="38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w w:val="86"/>
              </w:rPr>
              <w:t>10.0%</w:t>
            </w:r>
          </w:p>
        </w:tc>
        <w:tc>
          <w:tcPr>
            <w:tcW w:w="1240" w:type="dxa"/>
            <w:vAlign w:val="bottom"/>
            <w:gridSpan w:val="3"/>
          </w:tcPr>
          <w:p>
            <w:pPr>
              <w:jc w:val="right"/>
              <w:ind w:right="400"/>
              <w:spacing w:after="0"/>
              <w:rPr>
                <w:sz w:val="20"/>
                <w:szCs w:val="20"/>
                <w:color w:val="auto"/>
              </w:rPr>
            </w:pPr>
            <w:r>
              <w:rPr>
                <w:rFonts w:ascii="Arial" w:cs="Arial" w:eastAsia="Arial" w:hAnsi="Arial"/>
                <w:sz w:val="18"/>
                <w:szCs w:val="18"/>
                <w:color w:val="auto"/>
              </w:rPr>
              <w:t>96</w:t>
            </w:r>
          </w:p>
        </w:tc>
        <w:tc>
          <w:tcPr>
            <w:tcW w:w="700" w:type="dxa"/>
            <w:vAlign w:val="bottom"/>
            <w:gridSpan w:val="2"/>
          </w:tcPr>
          <w:p>
            <w:pPr>
              <w:jc w:val="right"/>
              <w:ind w:right="180"/>
              <w:spacing w:after="0"/>
              <w:rPr>
                <w:sz w:val="20"/>
                <w:szCs w:val="20"/>
                <w:color w:val="auto"/>
              </w:rPr>
            </w:pPr>
            <w:r>
              <w:rPr>
                <w:rFonts w:ascii="Arial" w:cs="Arial" w:eastAsia="Arial" w:hAnsi="Arial"/>
                <w:sz w:val="18"/>
                <w:szCs w:val="18"/>
                <w:color w:val="auto"/>
                <w:w w:val="94"/>
              </w:rPr>
              <w:t>(2.4)%</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gridSpan w:val="2"/>
          </w:tcPr>
          <w:p>
            <w:pPr>
              <w:jc w:val="right"/>
              <w:ind w:right="40"/>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cash equivalents and short-term investments</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w:t>
            </w:r>
          </w:p>
        </w:tc>
        <w:tc>
          <w:tcPr>
            <w:tcW w:w="3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0.8%</w:t>
            </w:r>
          </w:p>
        </w:tc>
        <w:tc>
          <w:tcPr>
            <w:tcW w:w="3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31</w:t>
            </w: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4"/>
              </w:rPr>
              <w:t>(0.5)%</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0" w:type="dxa"/>
            <w:vAlign w:val="bottom"/>
            <w:gridSpan w:val="2"/>
            <w:vMerge w:val="restart"/>
          </w:tcPr>
          <w:p>
            <w:pPr>
              <w:ind w:left="420"/>
              <w:spacing w:after="0"/>
              <w:rPr>
                <w:sz w:val="20"/>
                <w:szCs w:val="20"/>
                <w:color w:val="auto"/>
              </w:rPr>
            </w:pPr>
            <w:r>
              <w:rPr>
                <w:rFonts w:ascii="Arial" w:cs="Arial" w:eastAsia="Arial" w:hAnsi="Arial"/>
                <w:sz w:val="18"/>
                <w:szCs w:val="18"/>
                <w:color w:val="auto"/>
              </w:rPr>
              <w:t>Gross investment income before expenses and fees</w:t>
            </w:r>
          </w:p>
        </w:tc>
        <w:tc>
          <w:tcPr>
            <w:tcW w:w="540" w:type="dxa"/>
            <w:vAlign w:val="bottom"/>
            <w:gridSpan w:val="2"/>
            <w:vMerge w:val="restart"/>
          </w:tcPr>
          <w:p>
            <w:pPr>
              <w:jc w:val="right"/>
              <w:ind w:right="80"/>
              <w:spacing w:after="0"/>
              <w:rPr>
                <w:sz w:val="20"/>
                <w:szCs w:val="20"/>
                <w:color w:val="auto"/>
              </w:rPr>
            </w:pPr>
            <w:r>
              <w:rPr>
                <w:rFonts w:ascii="Arial" w:cs="Arial" w:eastAsia="Arial" w:hAnsi="Arial"/>
                <w:sz w:val="18"/>
                <w:szCs w:val="18"/>
                <w:color w:val="auto"/>
              </w:rPr>
              <w:t>4.8%</w:t>
            </w:r>
          </w:p>
        </w:tc>
        <w:tc>
          <w:tcPr>
            <w:tcW w:w="3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2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rPr>
              <w:t>4.4%</w:t>
            </w:r>
          </w:p>
        </w:tc>
        <w:tc>
          <w:tcPr>
            <w:tcW w:w="3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00" w:type="dxa"/>
            <w:vAlign w:val="bottom"/>
            <w:gridSpan w:val="2"/>
            <w:vMerge w:val="restart"/>
          </w:tcPr>
          <w:p>
            <w:pPr>
              <w:jc w:val="right"/>
              <w:ind w:right="240"/>
              <w:spacing w:after="0"/>
              <w:rPr>
                <w:sz w:val="20"/>
                <w:szCs w:val="20"/>
                <w:color w:val="auto"/>
              </w:rPr>
            </w:pPr>
            <w:r>
              <w:rPr>
                <w:rFonts w:ascii="Arial" w:cs="Arial" w:eastAsia="Arial" w:hAnsi="Arial"/>
                <w:sz w:val="18"/>
                <w:szCs w:val="18"/>
                <w:color w:val="auto"/>
              </w:rPr>
              <w:t>0.4%</w:t>
            </w:r>
          </w:p>
        </w:tc>
        <w:tc>
          <w:tcPr>
            <w:tcW w:w="1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6400" w:type="dxa"/>
            <w:vAlign w:val="bottom"/>
            <w:gridSpan w:val="2"/>
            <w:vMerge w:val="continue"/>
          </w:tcPr>
          <w:p>
            <w:pPr>
              <w:spacing w:after="0"/>
              <w:rPr>
                <w:sz w:val="19"/>
                <w:szCs w:val="19"/>
                <w:color w:val="auto"/>
              </w:rPr>
            </w:pPr>
          </w:p>
        </w:tc>
        <w:tc>
          <w:tcPr>
            <w:tcW w:w="540" w:type="dxa"/>
            <w:vAlign w:val="bottom"/>
            <w:gridSpan w:val="2"/>
            <w:vMerge w:val="continue"/>
          </w:tcPr>
          <w:p>
            <w:pPr>
              <w:spacing w:after="0"/>
              <w:rPr>
                <w:sz w:val="19"/>
                <w:szCs w:val="19"/>
                <w:color w:val="auto"/>
              </w:rPr>
            </w:pPr>
          </w:p>
        </w:tc>
        <w:tc>
          <w:tcPr>
            <w:tcW w:w="32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1,636</w:t>
            </w: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20" w:type="dxa"/>
            <w:vAlign w:val="bottom"/>
            <w:gridSpan w:val="2"/>
            <w:vMerge w:val="continue"/>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gridSpan w:val="2"/>
          </w:tcPr>
          <w:p>
            <w:pPr>
              <w:jc w:val="right"/>
              <w:ind w:right="400"/>
              <w:spacing w:after="0"/>
              <w:rPr>
                <w:sz w:val="20"/>
                <w:szCs w:val="20"/>
                <w:color w:val="auto"/>
              </w:rPr>
            </w:pPr>
            <w:r>
              <w:rPr>
                <w:rFonts w:ascii="Arial" w:cs="Arial" w:eastAsia="Arial" w:hAnsi="Arial"/>
                <w:sz w:val="18"/>
                <w:szCs w:val="18"/>
                <w:color w:val="auto"/>
              </w:rPr>
              <w:t>1,535</w:t>
            </w:r>
          </w:p>
        </w:tc>
        <w:tc>
          <w:tcPr>
            <w:tcW w:w="700" w:type="dxa"/>
            <w:vAlign w:val="bottom"/>
            <w:gridSpan w:val="2"/>
            <w:vMerge w:val="continue"/>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w w:val="93"/>
              </w:rPr>
              <w:t>101</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Expenses and fees</w:t>
            </w:r>
          </w:p>
        </w:tc>
        <w:tc>
          <w:tcPr>
            <w:tcW w:w="5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4"/>
              </w:rPr>
              <w:t>(0.2)%</w:t>
            </w:r>
          </w:p>
        </w:tc>
        <w:tc>
          <w:tcPr>
            <w:tcW w:w="32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(48)</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4"/>
              </w:rPr>
              <w:t>(0.1)%</w:t>
            </w:r>
          </w:p>
        </w:tc>
        <w:tc>
          <w:tcPr>
            <w:tcW w:w="12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(43)</w:t>
            </w: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4"/>
              </w:rPr>
              <w:t>(0.1)%</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0" w:type="dxa"/>
            <w:vAlign w:val="bottom"/>
            <w:gridSpan w:val="2"/>
            <w:vMerge w:val="restart"/>
          </w:tcPr>
          <w:p>
            <w:pPr>
              <w:ind w:left="420"/>
              <w:spacing w:after="0"/>
              <w:rPr>
                <w:sz w:val="20"/>
                <w:szCs w:val="20"/>
                <w:color w:val="auto"/>
              </w:rPr>
            </w:pPr>
            <w:r>
              <w:rPr>
                <w:rFonts w:ascii="Arial" w:cs="Arial" w:eastAsia="Arial" w:hAnsi="Arial"/>
                <w:sz w:val="18"/>
                <w:szCs w:val="18"/>
                <w:color w:val="auto"/>
              </w:rPr>
              <w:t>Net investment income</w:t>
            </w:r>
          </w:p>
        </w:tc>
        <w:tc>
          <w:tcPr>
            <w:tcW w:w="540" w:type="dxa"/>
            <w:vAlign w:val="bottom"/>
            <w:gridSpan w:val="2"/>
            <w:vMerge w:val="restart"/>
          </w:tcPr>
          <w:p>
            <w:pPr>
              <w:jc w:val="right"/>
              <w:ind w:right="80"/>
              <w:spacing w:after="0"/>
              <w:rPr>
                <w:sz w:val="20"/>
                <w:szCs w:val="20"/>
                <w:color w:val="auto"/>
              </w:rPr>
            </w:pPr>
            <w:r>
              <w:rPr>
                <w:rFonts w:ascii="Arial" w:cs="Arial" w:eastAsia="Arial" w:hAnsi="Arial"/>
                <w:sz w:val="18"/>
                <w:szCs w:val="18"/>
                <w:color w:val="auto"/>
              </w:rPr>
              <w:t>4.6%</w:t>
            </w:r>
          </w:p>
        </w:tc>
        <w:tc>
          <w:tcPr>
            <w:tcW w:w="3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2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rPr>
              <w:t>4.3%</w:t>
            </w:r>
          </w:p>
        </w:tc>
        <w:tc>
          <w:tcPr>
            <w:tcW w:w="3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00" w:type="dxa"/>
            <w:vAlign w:val="bottom"/>
            <w:gridSpan w:val="2"/>
            <w:vMerge w:val="restart"/>
          </w:tcPr>
          <w:p>
            <w:pPr>
              <w:jc w:val="right"/>
              <w:ind w:right="240"/>
              <w:spacing w:after="0"/>
              <w:rPr>
                <w:sz w:val="20"/>
                <w:szCs w:val="20"/>
                <w:color w:val="auto"/>
              </w:rPr>
            </w:pPr>
            <w:r>
              <w:rPr>
                <w:rFonts w:ascii="Arial" w:cs="Arial" w:eastAsia="Arial" w:hAnsi="Arial"/>
                <w:sz w:val="18"/>
                <w:szCs w:val="18"/>
                <w:color w:val="auto"/>
              </w:rPr>
              <w:t>0.3%</w:t>
            </w:r>
          </w:p>
        </w:tc>
        <w:tc>
          <w:tcPr>
            <w:tcW w:w="1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400" w:type="dxa"/>
            <w:vAlign w:val="bottom"/>
            <w:gridSpan w:val="2"/>
            <w:vMerge w:val="continue"/>
          </w:tcPr>
          <w:p>
            <w:pPr>
              <w:spacing w:after="0"/>
              <w:rPr>
                <w:sz w:val="19"/>
                <w:szCs w:val="19"/>
                <w:color w:val="auto"/>
              </w:rPr>
            </w:pPr>
          </w:p>
        </w:tc>
        <w:tc>
          <w:tcPr>
            <w:tcW w:w="540" w:type="dxa"/>
            <w:vAlign w:val="bottom"/>
            <w:gridSpan w:val="2"/>
            <w:vMerge w:val="continue"/>
          </w:tcPr>
          <w:p>
            <w:pPr>
              <w:spacing w:after="0"/>
              <w:rPr>
                <w:sz w:val="19"/>
                <w:szCs w:val="19"/>
                <w:color w:val="auto"/>
              </w:rPr>
            </w:pPr>
          </w:p>
        </w:tc>
        <w:tc>
          <w:tcPr>
            <w:tcW w:w="840" w:type="dxa"/>
            <w:vAlign w:val="bottom"/>
            <w:gridSpan w:val="3"/>
          </w:tcPr>
          <w:p>
            <w:pPr>
              <w:jc w:val="right"/>
              <w:ind w:right="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1,588</w:t>
            </w:r>
          </w:p>
        </w:tc>
        <w:tc>
          <w:tcPr>
            <w:tcW w:w="380" w:type="dxa"/>
            <w:vAlign w:val="bottom"/>
          </w:tcPr>
          <w:p>
            <w:pPr>
              <w:spacing w:after="0"/>
              <w:rPr>
                <w:sz w:val="19"/>
                <w:szCs w:val="19"/>
                <w:color w:val="auto"/>
              </w:rPr>
            </w:pPr>
          </w:p>
        </w:tc>
        <w:tc>
          <w:tcPr>
            <w:tcW w:w="520" w:type="dxa"/>
            <w:vAlign w:val="bottom"/>
            <w:gridSpan w:val="2"/>
            <w:vMerge w:val="continue"/>
          </w:tcPr>
          <w:p>
            <w:pPr>
              <w:spacing w:after="0"/>
              <w:rPr>
                <w:sz w:val="19"/>
                <w:szCs w:val="19"/>
                <w:color w:val="auto"/>
              </w:rPr>
            </w:pPr>
          </w:p>
        </w:tc>
        <w:tc>
          <w:tcPr>
            <w:tcW w:w="1240" w:type="dxa"/>
            <w:vAlign w:val="bottom"/>
            <w:gridSpan w:val="3"/>
          </w:tcPr>
          <w:p>
            <w:pPr>
              <w:jc w:val="right"/>
              <w:ind w:right="4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1,492</w:t>
            </w:r>
          </w:p>
        </w:tc>
        <w:tc>
          <w:tcPr>
            <w:tcW w:w="700" w:type="dxa"/>
            <w:vAlign w:val="bottom"/>
            <w:gridSpan w:val="2"/>
            <w:vMerge w:val="continue"/>
          </w:tcPr>
          <w:p>
            <w:pPr>
              <w:spacing w:after="0"/>
              <w:rPr>
                <w:sz w:val="19"/>
                <w:szCs w:val="19"/>
                <w:color w:val="auto"/>
              </w:rPr>
            </w:pPr>
          </w:p>
        </w:tc>
        <w:tc>
          <w:tcPr>
            <w:tcW w:w="38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6" w:lineRule="exact"/>
        <w:rPr>
          <w:sz w:val="20"/>
          <w:szCs w:val="20"/>
          <w:color w:val="auto"/>
        </w:rPr>
      </w:pPr>
    </w:p>
    <w:p>
      <w:pPr>
        <w:ind w:left="460" w:hanging="452"/>
        <w:spacing w:after="0"/>
        <w:tabs>
          <w:tab w:leader="none" w:pos="460" w:val="left"/>
        </w:tabs>
        <w:numPr>
          <w:ilvl w:val="0"/>
          <w:numId w:val="101"/>
        </w:numPr>
        <w:rPr>
          <w:rFonts w:ascii="Arial" w:cs="Arial" w:eastAsia="Arial" w:hAnsi="Arial"/>
          <w:sz w:val="20"/>
          <w:szCs w:val="20"/>
          <w:color w:val="auto"/>
          <w:vertAlign w:val="superscript"/>
        </w:rPr>
      </w:pPr>
      <w:r>
        <w:rPr>
          <w:rFonts w:ascii="Arial" w:cs="Arial" w:eastAsia="Arial" w:hAnsi="Arial"/>
          <w:sz w:val="16"/>
          <w:szCs w:val="16"/>
          <w:color w:val="auto"/>
        </w:rPr>
        <w:t>See note 7 in our “—Notes to Condensed Consolidated Financial Statements” for additional information related to consolidated securitization entities.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6" w:lineRule="exact"/>
        <w:rPr>
          <w:sz w:val="20"/>
          <w:szCs w:val="20"/>
          <w:color w:val="auto"/>
        </w:rPr>
      </w:pPr>
    </w:p>
    <w:p>
      <w:pPr>
        <w:ind w:right="220" w:firstLine="456"/>
        <w:spacing w:after="0" w:line="370" w:lineRule="auto"/>
        <w:rPr>
          <w:sz w:val="20"/>
          <w:szCs w:val="20"/>
          <w:color w:val="auto"/>
        </w:rPr>
      </w:pPr>
      <w:r>
        <w:rPr>
          <w:rFonts w:ascii="Arial" w:cs="Arial" w:eastAsia="Arial" w:hAnsi="Arial"/>
          <w:sz w:val="15"/>
          <w:szCs w:val="15"/>
          <w:color w:val="auto"/>
        </w:rPr>
        <w:t>Yields for fixed maturity and equity securities are based on weighted-average amortized cost or cost, respectively. Yields for other invested assets, which include securities lending activity, are calculated net of the corresponding securities lending liability. All other yields are based on average carrying values.</w:t>
      </w:r>
    </w:p>
    <w:p>
      <w:pPr>
        <w:spacing w:after="0" w:line="62" w:lineRule="exact"/>
        <w:rPr>
          <w:sz w:val="20"/>
          <w:szCs w:val="20"/>
          <w:color w:val="auto"/>
        </w:rPr>
      </w:pPr>
    </w:p>
    <w:p>
      <w:pPr>
        <w:ind w:right="80" w:firstLine="456"/>
        <w:spacing w:after="0" w:line="253" w:lineRule="auto"/>
        <w:rPr>
          <w:sz w:val="20"/>
          <w:szCs w:val="20"/>
          <w:color w:val="auto"/>
        </w:rPr>
      </w:pPr>
      <w:r>
        <w:rPr>
          <w:rFonts w:ascii="Arial" w:cs="Arial" w:eastAsia="Arial" w:hAnsi="Arial"/>
          <w:sz w:val="18"/>
          <w:szCs w:val="18"/>
          <w:color w:val="auto"/>
        </w:rPr>
        <w:t>For the three and six months ended June 30, 2010, the increase in overall weighted-average investment yields was primarily attributable to lower losses on limited partnerships. Net investment income for the three months ended June 30, 2010 included $10 million of gains related to limited partnerships accounted for under the equity method as compared to losses of $33 million in the three months ended June 30, 2009. Net investment income for the six months ended June 30, 2010 included $116 million of lower losses related to limited partnerships accounted for under the equity method as compared to the six months ended June 30, 2009. Additionally, there was an increase in net investment income related to the consolidation of certain securitization entities as of January 1, 2010. These increases were partially offset by a decrease in investment income related to policy loans from a bankruptcy-related lapse in 2009 and lower yields on floating rate investments.</w:t>
      </w:r>
    </w:p>
    <w:p>
      <w:pPr>
        <w:spacing w:after="0" w:line="1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114</w:t>
      </w:r>
    </w:p>
    <w:p>
      <w:pPr>
        <w:sectPr>
          <w:pgSz w:w="11900" w:h="16838" w:orient="portrait"/>
          <w:cols w:equalWidth="0" w:num="1">
            <w:col w:w="11420"/>
          </w:cols>
          <w:pgMar w:left="240" w:top="459" w:right="239" w:bottom="1440" w:gutter="0" w:footer="0" w:header="0"/>
        </w:sectPr>
      </w:pPr>
    </w:p>
    <w:bookmarkStart w:id="114" w:name="page115"/>
    <w:bookmarkEnd w:id="1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net investment gains (losses) for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6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60" w:type="dxa"/>
            <w:vAlign w:val="bottom"/>
            <w:gridSpan w:val="6"/>
          </w:tcPr>
          <w:p>
            <w:pPr>
              <w:jc w:val="right"/>
              <w:ind w:right="840"/>
              <w:spacing w:after="0"/>
              <w:rPr>
                <w:sz w:val="20"/>
                <w:szCs w:val="20"/>
                <w:color w:val="auto"/>
              </w:rPr>
            </w:pPr>
            <w:r>
              <w:rPr>
                <w:rFonts w:ascii="Arial" w:cs="Arial" w:eastAsia="Arial" w:hAnsi="Arial"/>
                <w:sz w:val="14"/>
                <w:szCs w:val="14"/>
                <w:b w:val="1"/>
                <w:bCs w:val="1"/>
                <w:color w:val="auto"/>
                <w:w w:val="94"/>
              </w:rPr>
              <w:t>Three months ended</w:t>
            </w:r>
          </w:p>
        </w:tc>
        <w:tc>
          <w:tcPr>
            <w:tcW w:w="120" w:type="dxa"/>
            <w:vAlign w:val="bottom"/>
          </w:tcPr>
          <w:p>
            <w:pPr>
              <w:spacing w:after="0"/>
              <w:rPr>
                <w:sz w:val="14"/>
                <w:szCs w:val="14"/>
                <w:color w:val="auto"/>
              </w:rPr>
            </w:pPr>
          </w:p>
        </w:tc>
        <w:tc>
          <w:tcPr>
            <w:tcW w:w="1680" w:type="dxa"/>
            <w:vAlign w:val="bottom"/>
            <w:gridSpan w:val="6"/>
          </w:tcPr>
          <w:p>
            <w:pPr>
              <w:jc w:val="right"/>
              <w:ind w:right="44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61"/>
        </w:trPr>
        <w:tc>
          <w:tcPr>
            <w:tcW w:w="70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w w:val="82"/>
              </w:rPr>
              <w:t>June 30,</w:t>
            </w:r>
          </w:p>
        </w:tc>
        <w:tc>
          <w:tcPr>
            <w:tcW w:w="420" w:type="dxa"/>
            <w:vAlign w:val="bottom"/>
            <w:tcBorders>
              <w:bottom w:val="single" w:sz="8" w:color="auto"/>
            </w:tcBorders>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w w:val="82"/>
              </w:rPr>
              <w:t>June 30,</w:t>
            </w:r>
          </w:p>
        </w:tc>
        <w:tc>
          <w:tcPr>
            <w:tcW w:w="4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020" w:type="dxa"/>
            <w:vAlign w:val="bottom"/>
            <w:gridSpan w:val="3"/>
            <w:vMerge w:val="continue"/>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ind w:right="55"/>
              <w:spacing w:after="0" w:line="142" w:lineRule="exact"/>
              <w:rPr>
                <w:sz w:val="20"/>
                <w:szCs w:val="20"/>
                <w:color w:val="auto"/>
              </w:rPr>
            </w:pPr>
            <w:r>
              <w:rPr>
                <w:rFonts w:ascii="Arial" w:cs="Arial" w:eastAsia="Arial" w:hAnsi="Arial"/>
                <w:sz w:val="14"/>
                <w:szCs w:val="14"/>
                <w:b w:val="1"/>
                <w:bCs w:val="1"/>
                <w:color w:val="auto"/>
                <w:w w:val="89"/>
              </w:rPr>
              <w:t>2010</w:t>
            </w:r>
          </w:p>
        </w:tc>
        <w:tc>
          <w:tcPr>
            <w:tcW w:w="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34"/>
              <w:spacing w:after="0" w:line="142" w:lineRule="exact"/>
              <w:rPr>
                <w:sz w:val="20"/>
                <w:szCs w:val="20"/>
                <w:color w:val="auto"/>
              </w:rPr>
            </w:pPr>
            <w:r>
              <w:rPr>
                <w:rFonts w:ascii="Arial" w:cs="Arial" w:eastAsia="Arial" w:hAnsi="Arial"/>
                <w:sz w:val="14"/>
                <w:szCs w:val="14"/>
                <w:b w:val="1"/>
                <w:bCs w:val="1"/>
                <w:color w:val="auto"/>
                <w:w w:val="89"/>
              </w:rPr>
              <w:t>2009</w:t>
            </w: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ind w:right="55"/>
              <w:spacing w:after="0" w:line="142" w:lineRule="exact"/>
              <w:rPr>
                <w:sz w:val="20"/>
                <w:szCs w:val="20"/>
                <w:color w:val="auto"/>
              </w:rPr>
            </w:pPr>
            <w:r>
              <w:rPr>
                <w:rFonts w:ascii="Arial" w:cs="Arial" w:eastAsia="Arial" w:hAnsi="Arial"/>
                <w:sz w:val="14"/>
                <w:szCs w:val="14"/>
                <w:b w:val="1"/>
                <w:bCs w:val="1"/>
                <w:color w:val="auto"/>
                <w:w w:val="83"/>
              </w:rPr>
              <w:t>2010</w:t>
            </w: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ind w:right="54"/>
              <w:spacing w:after="0" w:line="142" w:lineRule="exact"/>
              <w:rPr>
                <w:sz w:val="20"/>
                <w:szCs w:val="20"/>
                <w:color w:val="auto"/>
              </w:rPr>
            </w:pPr>
            <w:r>
              <w:rPr>
                <w:rFonts w:ascii="Arial" w:cs="Arial" w:eastAsia="Arial" w:hAnsi="Arial"/>
                <w:sz w:val="14"/>
                <w:szCs w:val="14"/>
                <w:b w:val="1"/>
                <w:bCs w:val="1"/>
                <w:color w:val="auto"/>
                <w:w w:val="96"/>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56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0" w:type="dxa"/>
            <w:vAlign w:val="bottom"/>
            <w:gridSpan w:val="2"/>
          </w:tcPr>
          <w:p>
            <w:pPr>
              <w:ind w:left="420"/>
              <w:spacing w:after="0"/>
              <w:rPr>
                <w:sz w:val="20"/>
                <w:szCs w:val="20"/>
                <w:color w:val="auto"/>
              </w:rPr>
            </w:pPr>
            <w:r>
              <w:rPr>
                <w:rFonts w:ascii="Arial" w:cs="Arial" w:eastAsia="Arial" w:hAnsi="Arial"/>
                <w:sz w:val="18"/>
                <w:szCs w:val="18"/>
                <w:color w:val="auto"/>
              </w:rPr>
              <w:t>Realized gains on sale</w:t>
            </w: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53</w:t>
            </w:r>
          </w:p>
        </w:tc>
        <w:tc>
          <w:tcPr>
            <w:tcW w:w="6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600"/>
              <w:spacing w:after="0"/>
              <w:rPr>
                <w:sz w:val="20"/>
                <w:szCs w:val="20"/>
                <w:color w:val="auto"/>
              </w:rPr>
            </w:pPr>
            <w:r>
              <w:rPr>
                <w:rFonts w:ascii="Arial" w:cs="Arial" w:eastAsia="Arial" w:hAnsi="Arial"/>
                <w:sz w:val="18"/>
                <w:szCs w:val="18"/>
                <w:color w:val="auto"/>
              </w:rPr>
              <w:t>21</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gridSpan w:val="2"/>
          </w:tcPr>
          <w:p>
            <w:pPr>
              <w:jc w:val="right"/>
              <w:ind w:right="60"/>
              <w:spacing w:after="0"/>
              <w:rPr>
                <w:sz w:val="20"/>
                <w:szCs w:val="20"/>
                <w:color w:val="auto"/>
              </w:rPr>
            </w:pPr>
            <w:r>
              <w:rPr>
                <w:rFonts w:ascii="Arial" w:cs="Arial" w:eastAsia="Arial" w:hAnsi="Arial"/>
                <w:sz w:val="18"/>
                <w:szCs w:val="18"/>
                <w:color w:val="auto"/>
              </w:rPr>
              <w:t>76</w:t>
            </w: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Realized losses on sale</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(48)</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0" w:type="dxa"/>
            <w:vAlign w:val="bottom"/>
            <w:gridSpan w:val="2"/>
          </w:tcPr>
          <w:p>
            <w:pPr>
              <w:spacing w:after="0"/>
              <w:rPr>
                <w:sz w:val="20"/>
                <w:szCs w:val="20"/>
                <w:color w:val="auto"/>
              </w:rPr>
            </w:pPr>
            <w:r>
              <w:rPr>
                <w:rFonts w:ascii="Arial" w:cs="Arial" w:eastAsia="Arial" w:hAnsi="Arial"/>
                <w:sz w:val="18"/>
                <w:szCs w:val="18"/>
                <w:color w:val="auto"/>
              </w:rPr>
              <w:t>Impairments:</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other-than-temporary impairments</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(476)</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7"/>
              </w:rPr>
              <w:t>(1,073)</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000" w:type="dxa"/>
            <w:vAlign w:val="bottom"/>
            <w:gridSpan w:val="2"/>
          </w:tcPr>
          <w:p>
            <w:pPr>
              <w:ind w:left="420"/>
              <w:spacing w:after="0"/>
              <w:rPr>
                <w:sz w:val="20"/>
                <w:szCs w:val="20"/>
                <w:color w:val="auto"/>
              </w:rPr>
            </w:pPr>
            <w:r>
              <w:rPr>
                <w:rFonts w:ascii="Arial" w:cs="Arial" w:eastAsia="Arial" w:hAnsi="Arial"/>
                <w:sz w:val="18"/>
                <w:szCs w:val="18"/>
                <w:color w:val="auto"/>
                <w:w w:val="93"/>
              </w:rPr>
              <w:t>Portion of other-than-temporary impairments recognized in other comprehensive income</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0" w:type="dxa"/>
            <w:vAlign w:val="bottom"/>
            <w:gridSpan w:val="2"/>
          </w:tcPr>
          <w:p>
            <w:pPr>
              <w:ind w:left="640"/>
              <w:spacing w:after="0"/>
              <w:rPr>
                <w:sz w:val="20"/>
                <w:szCs w:val="20"/>
                <w:color w:val="auto"/>
              </w:rPr>
            </w:pPr>
            <w:r>
              <w:rPr>
                <w:rFonts w:ascii="Arial" w:cs="Arial" w:eastAsia="Arial" w:hAnsi="Arial"/>
                <w:sz w:val="18"/>
                <w:szCs w:val="18"/>
                <w:color w:val="auto"/>
              </w:rPr>
              <w:t>(loss)</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(27)</w:t>
            </w: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gridSpan w:val="2"/>
          </w:tcPr>
          <w:p>
            <w:pPr>
              <w:jc w:val="right"/>
              <w:ind w:right="600"/>
              <w:spacing w:after="0"/>
              <w:rPr>
                <w:sz w:val="20"/>
                <w:szCs w:val="20"/>
                <w:color w:val="auto"/>
              </w:rPr>
            </w:pPr>
            <w:r>
              <w:rPr>
                <w:rFonts w:ascii="Arial" w:cs="Arial" w:eastAsia="Arial" w:hAnsi="Arial"/>
                <w:sz w:val="18"/>
                <w:szCs w:val="18"/>
                <w:color w:val="auto"/>
              </w:rPr>
              <w:t>324</w:t>
            </w:r>
          </w:p>
        </w:tc>
        <w:tc>
          <w:tcPr>
            <w:tcW w:w="120" w:type="dxa"/>
            <w:vAlign w:val="bottom"/>
          </w:tcPr>
          <w:p>
            <w:pPr>
              <w:spacing w:after="0"/>
              <w:rPr>
                <w:sz w:val="19"/>
                <w:szCs w:val="19"/>
                <w:color w:val="auto"/>
              </w:rPr>
            </w:pP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324</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6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0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Net other-than-temporary impairments</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(152)</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(131)</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(749)</w:t>
            </w:r>
          </w:p>
        </w:tc>
        <w:tc>
          <w:tcPr>
            <w:tcW w:w="0" w:type="dxa"/>
            <w:vAlign w:val="bottom"/>
          </w:tcPr>
          <w:p>
            <w:pPr>
              <w:spacing w:after="0"/>
              <w:rPr>
                <w:sz w:val="1"/>
                <w:szCs w:val="1"/>
                <w:color w:val="auto"/>
              </w:rPr>
            </w:pPr>
          </w:p>
        </w:tc>
      </w:tr>
      <w:tr>
        <w:trPr>
          <w:trHeight w:val="20"/>
        </w:trPr>
        <w:tc>
          <w:tcPr>
            <w:tcW w:w="7020" w:type="dxa"/>
            <w:vAlign w:val="bottom"/>
            <w:gridSpan w:val="3"/>
            <w:vMerge w:val="restart"/>
          </w:tcPr>
          <w:p>
            <w:pPr>
              <w:spacing w:after="0"/>
              <w:rPr>
                <w:sz w:val="20"/>
                <w:szCs w:val="20"/>
                <w:color w:val="auto"/>
              </w:rPr>
            </w:pPr>
            <w:r>
              <w:rPr>
                <w:rFonts w:ascii="Arial" w:cs="Arial" w:eastAsia="Arial" w:hAnsi="Arial"/>
                <w:sz w:val="18"/>
                <w:szCs w:val="18"/>
                <w:color w:val="auto"/>
              </w:rPr>
              <w:t>Trading securities</w:t>
            </w: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020" w:type="dxa"/>
            <w:vAlign w:val="bottom"/>
            <w:gridSpan w:val="3"/>
            <w:vMerge w:val="continue"/>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(4)</w:t>
            </w: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gridSpan w:val="2"/>
          </w:tcPr>
          <w:p>
            <w:pPr>
              <w:jc w:val="right"/>
              <w:ind w:right="600"/>
              <w:spacing w:after="0"/>
              <w:rPr>
                <w:sz w:val="20"/>
                <w:szCs w:val="20"/>
                <w:color w:val="auto"/>
              </w:rPr>
            </w:pPr>
            <w:r>
              <w:rPr>
                <w:rFonts w:ascii="Arial" w:cs="Arial" w:eastAsia="Arial" w:hAnsi="Arial"/>
                <w:sz w:val="18"/>
                <w:szCs w:val="18"/>
                <w:color w:val="auto"/>
              </w:rPr>
              <w:t>11</w:t>
            </w:r>
          </w:p>
        </w:tc>
        <w:tc>
          <w:tcPr>
            <w:tcW w:w="120" w:type="dxa"/>
            <w:vAlign w:val="bottom"/>
          </w:tcPr>
          <w:p>
            <w:pPr>
              <w:spacing w:after="0"/>
              <w:rPr>
                <w:sz w:val="19"/>
                <w:szCs w:val="19"/>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0" w:type="dxa"/>
            <w:vAlign w:val="bottom"/>
            <w:gridSpan w:val="2"/>
          </w:tcPr>
          <w:p>
            <w:pPr>
              <w:spacing w:after="0"/>
              <w:rPr>
                <w:sz w:val="20"/>
                <w:szCs w:val="20"/>
                <w:color w:val="auto"/>
              </w:rPr>
            </w:pPr>
            <w:r>
              <w:rPr>
                <w:rFonts w:ascii="Arial" w:cs="Arial" w:eastAsia="Arial" w:hAnsi="Arial"/>
                <w:sz w:val="18"/>
                <w:szCs w:val="18"/>
                <w:color w:val="auto"/>
              </w:rPr>
              <w:t xml:space="preserve">Net gains (losses) related to securitization entities </w:t>
            </w:r>
            <w:r>
              <w:rPr>
                <w:rFonts w:ascii="Arial" w:cs="Arial" w:eastAsia="Arial" w:hAnsi="Arial"/>
                <w:sz w:val="11"/>
                <w:szCs w:val="11"/>
                <w:color w:val="auto"/>
              </w:rPr>
              <w:t>(1)</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(47)</w:t>
            </w: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6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(36)</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instruments</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114</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0" w:type="dxa"/>
            <w:vAlign w:val="bottom"/>
            <w:gridSpan w:val="2"/>
          </w:tcPr>
          <w:p>
            <w:pPr>
              <w:spacing w:after="0"/>
              <w:rPr>
                <w:sz w:val="20"/>
                <w:szCs w:val="20"/>
                <w:color w:val="auto"/>
              </w:rPr>
            </w:pPr>
            <w:r>
              <w:rPr>
                <w:rFonts w:ascii="Arial" w:cs="Arial" w:eastAsia="Arial" w:hAnsi="Arial"/>
                <w:sz w:val="18"/>
                <w:szCs w:val="18"/>
                <w:color w:val="auto"/>
              </w:rPr>
              <w:t>Other</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w:t>
            </w:r>
          </w:p>
        </w:tc>
        <w:tc>
          <w:tcPr>
            <w:tcW w:w="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600"/>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18"/>
                <w:szCs w:val="18"/>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8"/>
                <w:szCs w:val="18"/>
                <w:color w:val="auto"/>
              </w:rPr>
              <w:t>22</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6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0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Net investment gains (losses)</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(139)</w:t>
            </w: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(53)</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(209)</w:t>
            </w: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6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6" w:lineRule="exact"/>
        <w:rPr>
          <w:sz w:val="20"/>
          <w:szCs w:val="20"/>
          <w:color w:val="auto"/>
        </w:rPr>
      </w:pPr>
    </w:p>
    <w:p>
      <w:pPr>
        <w:ind w:left="460" w:hanging="452"/>
        <w:spacing w:after="0"/>
        <w:tabs>
          <w:tab w:leader="none" w:pos="460" w:val="left"/>
        </w:tabs>
        <w:numPr>
          <w:ilvl w:val="0"/>
          <w:numId w:val="102"/>
        </w:numPr>
        <w:rPr>
          <w:rFonts w:ascii="Arial" w:cs="Arial" w:eastAsia="Arial" w:hAnsi="Arial"/>
          <w:sz w:val="20"/>
          <w:szCs w:val="20"/>
          <w:color w:val="auto"/>
          <w:vertAlign w:val="superscript"/>
        </w:rPr>
      </w:pPr>
      <w:r>
        <w:rPr>
          <w:rFonts w:ascii="Arial" w:cs="Arial" w:eastAsia="Arial" w:hAnsi="Arial"/>
          <w:sz w:val="16"/>
          <w:szCs w:val="16"/>
          <w:color w:val="auto"/>
        </w:rPr>
        <w:t>See note 7 in our “—Notes to Condensed Consolidated Financial Statements” for additional information related to consolidated securitization entities.</w:t>
      </w:r>
    </w:p>
    <w:p>
      <w:pPr>
        <w:spacing w:after="0" w:line="236" w:lineRule="exact"/>
        <w:rPr>
          <w:rFonts w:ascii="Arial" w:cs="Arial" w:eastAsia="Arial" w:hAnsi="Arial"/>
          <w:sz w:val="20"/>
          <w:szCs w:val="20"/>
          <w:color w:val="auto"/>
          <w:vertAlign w:val="superscript"/>
        </w:rPr>
      </w:pPr>
    </w:p>
    <w:p>
      <w:pPr>
        <w:ind w:left="460"/>
        <w:spacing w:after="0"/>
        <w:rPr>
          <w:rFonts w:ascii="Arial" w:cs="Arial" w:eastAsia="Arial" w:hAnsi="Arial"/>
          <w:sz w:val="20"/>
          <w:szCs w:val="20"/>
          <w:color w:val="auto"/>
          <w:vertAlign w:val="superscript"/>
        </w:rPr>
      </w:pPr>
      <w:r>
        <w:rPr>
          <w:rFonts w:ascii="Arial" w:cs="Arial" w:eastAsia="Arial" w:hAnsi="Arial"/>
          <w:sz w:val="18"/>
          <w:szCs w:val="18"/>
          <w:b w:val="1"/>
          <w:bCs w:val="1"/>
          <w:i w:val="1"/>
          <w:iCs w:val="1"/>
          <w:color w:val="auto"/>
        </w:rPr>
        <w:t>Three Months Ended June 30, 2010 Compared to Three Months Ended June 30, 2009</w:t>
      </w:r>
    </w:p>
    <w:p>
      <w:pPr>
        <w:spacing w:after="0" w:line="90" w:lineRule="exact"/>
        <w:rPr>
          <w:rFonts w:ascii="Arial" w:cs="Arial" w:eastAsia="Arial" w:hAnsi="Arial"/>
          <w:sz w:val="20"/>
          <w:szCs w:val="20"/>
          <w:color w:val="auto"/>
          <w:vertAlign w:val="superscript"/>
        </w:rPr>
      </w:pPr>
    </w:p>
    <w:p>
      <w:pPr>
        <w:ind w:left="900" w:hanging="325"/>
        <w:spacing w:after="0" w:line="288" w:lineRule="auto"/>
        <w:tabs>
          <w:tab w:leader="none" w:pos="900" w:val="left"/>
        </w:tabs>
        <w:numPr>
          <w:ilvl w:val="1"/>
          <w:numId w:val="102"/>
        </w:numPr>
        <w:rPr>
          <w:rFonts w:ascii="Arial" w:cs="Arial" w:eastAsia="Arial" w:hAnsi="Arial"/>
          <w:sz w:val="16"/>
          <w:szCs w:val="16"/>
          <w:color w:val="auto"/>
        </w:rPr>
      </w:pPr>
      <w:r>
        <w:rPr>
          <w:rFonts w:ascii="Arial" w:cs="Arial" w:eastAsia="Arial" w:hAnsi="Arial"/>
          <w:sz w:val="16"/>
          <w:szCs w:val="16"/>
          <w:color w:val="auto"/>
        </w:rPr>
        <w:t>We recorded $51 million of net other-than-temporary impairments for the three months ended June 30, 2010 as compared to $152 million for the three months ended June 30, 2009. Of total impairments, for the three months ended June 30, 2010 and 2009, $43 million and $109 million, respectively, related to structured securities, including $23 million and $66 million, respectively, related to sub-prime and Alt-A residential mortgage-backed and asset-backed securities. For the three months ended June 30, 2010, we recorded $5 million of impairments related to commercial mortgage loans and $4 million related to limited partnership investments. For the three months ended June 30, 2009, we recorded a $36 million impairment related to a retained interest in securitized assets based on revised assumptions regarding cash flows from the assets underlying this securitization transaction. We concluded the value of our retained interest was zero and recognized the full impairment in the prior year. We also recorded $5 million of impairments related to financial hybrid securities primarily from banks in the U.K., Ireland and the Netherlands during the three months ended June 30, 2009.</w:t>
      </w:r>
    </w:p>
    <w:p>
      <w:pPr>
        <w:spacing w:after="0" w:line="38" w:lineRule="exact"/>
        <w:rPr>
          <w:rFonts w:ascii="Arial" w:cs="Arial" w:eastAsia="Arial" w:hAnsi="Arial"/>
          <w:sz w:val="16"/>
          <w:szCs w:val="16"/>
          <w:color w:val="auto"/>
        </w:rPr>
      </w:pPr>
    </w:p>
    <w:p>
      <w:pPr>
        <w:ind w:left="900" w:hanging="325"/>
        <w:spacing w:after="0" w:line="309" w:lineRule="auto"/>
        <w:tabs>
          <w:tab w:leader="none" w:pos="900" w:val="left"/>
        </w:tabs>
        <w:numPr>
          <w:ilvl w:val="1"/>
          <w:numId w:val="102"/>
        </w:numPr>
        <w:rPr>
          <w:rFonts w:ascii="Arial" w:cs="Arial" w:eastAsia="Arial" w:hAnsi="Arial"/>
          <w:sz w:val="15"/>
          <w:szCs w:val="15"/>
          <w:color w:val="auto"/>
        </w:rPr>
      </w:pPr>
      <w:r>
        <w:rPr>
          <w:rFonts w:ascii="Arial" w:cs="Arial" w:eastAsia="Arial" w:hAnsi="Arial"/>
          <w:sz w:val="15"/>
          <w:szCs w:val="15"/>
          <w:color w:val="auto"/>
        </w:rPr>
        <w:t>Net investment losses related to derivatives of $38 million in the second quarter of 2010 were primarily related to $31 million of losses from the change in value of our credit default swaps due to widening credit spreads, $21 million of losses from the change in value of the embedded derivative liabilities exceeding the change in value of the derivative instruments used for mitigating the risk of embedded derivative liabilities associated with our variable annuity products with GMWBs and $9 million of losses related to a derivative strategy to mitigate the interest rate risk associated with our statutory capital position. These losses were partially offset by $15 million of ineffectiveness gains from our cash flow hedge programs related to our long-term care insurance business, $4 million of gains from other non-qualified interest rate swaps, $2 million of gains related to embedded derivatives associated with certain reinsurance agreements and $2 million of gains from foreign currency options and forward contracts. Net investment gains related to derivatives of $114 million in the second quarter of 2009 were primarily related to gains in embedded derivative liabilities associated with our variable annuity products with GMWBs exceeding the change in value of derivative instruments used for mitigating this risk.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-3055620</wp:posOffset>
            </wp:positionV>
            <wp:extent cx="728980" cy="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115</w:t>
      </w:r>
    </w:p>
    <w:p>
      <w:pPr>
        <w:sectPr>
          <w:pgSz w:w="11900" w:h="16838" w:orient="portrait"/>
          <w:cols w:equalWidth="0" w:num="1">
            <w:col w:w="11420"/>
          </w:cols>
          <w:pgMar w:left="240" w:top="459" w:right="239" w:bottom="1440" w:gutter="0" w:footer="0" w:header="0"/>
        </w:sectPr>
      </w:pPr>
    </w:p>
    <w:bookmarkStart w:id="115" w:name="page116"/>
    <w:bookmarkEnd w:id="1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right="220" w:hanging="325"/>
        <w:spacing w:after="0" w:line="256" w:lineRule="auto"/>
        <w:tabs>
          <w:tab w:leader="none" w:pos="90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We also recorded $47 million of net losses related to securitization entities in the second quarter of 2010 primarily associated with derivatives and $18 million of losses related to commercial mortgage loans from a lower of cost or market adjustment on loans held-for-sale and an increase in the allowance. Net gains related to the sale of available-for-sale securities were $17 million in the second quarter of 2010 compared to losses of $27 million in the second quarter of 2009.</w:t>
      </w:r>
    </w:p>
    <w:p>
      <w:pPr>
        <w:spacing w:after="0" w:line="62" w:lineRule="exact"/>
        <w:rPr>
          <w:rFonts w:ascii="Arial" w:cs="Arial" w:eastAsia="Arial" w:hAnsi="Arial"/>
          <w:sz w:val="18"/>
          <w:szCs w:val="18"/>
          <w:color w:val="auto"/>
        </w:rPr>
      </w:pPr>
    </w:p>
    <w:p>
      <w:pPr>
        <w:ind w:left="900" w:hanging="325"/>
        <w:spacing w:after="0" w:line="307" w:lineRule="auto"/>
        <w:tabs>
          <w:tab w:leader="none" w:pos="900" w:val="left"/>
        </w:tabs>
        <w:numPr>
          <w:ilvl w:val="0"/>
          <w:numId w:val="103"/>
        </w:numPr>
        <w:rPr>
          <w:rFonts w:ascii="Arial" w:cs="Arial" w:eastAsia="Arial" w:hAnsi="Arial"/>
          <w:sz w:val="15"/>
          <w:szCs w:val="15"/>
          <w:color w:val="auto"/>
        </w:rPr>
      </w:pPr>
      <w:r>
        <w:rPr>
          <w:rFonts w:ascii="Arial" w:cs="Arial" w:eastAsia="Arial" w:hAnsi="Arial"/>
          <w:sz w:val="15"/>
          <w:szCs w:val="15"/>
          <w:color w:val="auto"/>
        </w:rPr>
        <w:t>The aggregate fair value of securities sold at a loss during the three months ended June 30, 2010 and 2009 was $858 million from the sale of 159 securities and $367 million from the sale of 106 securities, respectively, which was approximately 96% and 89%, respectively, of book value. The loss on sales of securities in the three months ended June 30, 2010 was primarily driven by widening credit spreads. Generally, securities that are sold at a loss represent either small dollar amounts or percentage losses upon disposition. However, in certain circumstances, events may occur that change our intent to hold specific securities and thus result in our disposition of the security at a loss. Examples of these events include unforeseen issuer-specific events or conditions and shifts in risk or uncertainty of certain securities. Of the securities that were sold at a loss during the three months ended June 30, 2010, the average period of time those securities had been continuously in an unrealized loss position was approximately 19 months. The securities sold at a loss during the three months ended June 30, 2010 included one mortgage-backed security that was sold for a total loss of $4 million related to portfolio repositioning activities. Of the securities that were sold at a loss during the three months ended June 30, 2009, the average period of time those securities had been continuously in an unrealized loss position was approximately nine months. Of the securities that were sold at a loss, there were no individual transactions that produced losses considered material to the consolidated financial statements.</w:t>
      </w:r>
    </w:p>
    <w:p>
      <w:pPr>
        <w:spacing w:after="0" w:line="193"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Six Months Ended June 30, 2010 Compared to Six Months Ended June 30, 2009</w:t>
      </w:r>
    </w:p>
    <w:p>
      <w:pPr>
        <w:spacing w:after="0" w:line="90" w:lineRule="exact"/>
        <w:rPr>
          <w:sz w:val="20"/>
          <w:szCs w:val="20"/>
          <w:color w:val="auto"/>
        </w:rPr>
      </w:pPr>
    </w:p>
    <w:p>
      <w:pPr>
        <w:ind w:left="900" w:right="40" w:hanging="325"/>
        <w:spacing w:after="0" w:line="286" w:lineRule="auto"/>
        <w:tabs>
          <w:tab w:leader="none" w:pos="900" w:val="left"/>
        </w:tabs>
        <w:numPr>
          <w:ilvl w:val="0"/>
          <w:numId w:val="104"/>
        </w:numPr>
        <w:rPr>
          <w:rFonts w:ascii="Arial" w:cs="Arial" w:eastAsia="Arial" w:hAnsi="Arial"/>
          <w:sz w:val="16"/>
          <w:szCs w:val="16"/>
          <w:color w:val="auto"/>
        </w:rPr>
      </w:pPr>
      <w:r>
        <w:rPr>
          <w:rFonts w:ascii="Arial" w:cs="Arial" w:eastAsia="Arial" w:hAnsi="Arial"/>
          <w:sz w:val="16"/>
          <w:szCs w:val="16"/>
          <w:color w:val="auto"/>
        </w:rPr>
        <w:t>We recorded $131 million of net other-than-temporary impairments for the six months ended June 30, 2010 as compared to $749 million for the six months ended June 30, 2009. Of total impairments, for the six months ended June 30, 2010 and 2009, $105 million and $389 million, respectively, related to structured securities, including $59 million and $268 million, respectively, related to sub-prime and Alt-A residential mortgage-backed and asset-backed securities. Impairments related to corporate securities as a result of bankruptcies, receivership or concerns about the issuer’s ability to continue to make contractual payments or where we have intent to sell were $5 million and $59 million for the six months ended June 30, 2010 and 2009, respectively. We also recorded $6 million and $245 million of impairments related to financial hybrid securities primarily from banks in the U.K., Ireland and the Netherlands during the six months ended June 30, 2010 and 2009, respectively. For the six months ended June 30, 2010, we recorded $10 million of impairments related to limited partnership investments and $5 million related to commercial mortgage loans. We recorded a $36 million impairment related to a retained interest in securitized assets based on revised assumptions regarding cash flows from the assets underlying this securitization transaction during the six months ended June 30, 2009. We concluded the value of our retained interest was zero and recognized the full impairment in the prior year.</w:t>
      </w:r>
    </w:p>
    <w:p>
      <w:pPr>
        <w:spacing w:after="0" w:line="46" w:lineRule="exact"/>
        <w:rPr>
          <w:rFonts w:ascii="Arial" w:cs="Arial" w:eastAsia="Arial" w:hAnsi="Arial"/>
          <w:sz w:val="16"/>
          <w:szCs w:val="16"/>
          <w:color w:val="auto"/>
        </w:rPr>
      </w:pPr>
    </w:p>
    <w:p>
      <w:pPr>
        <w:ind w:left="900" w:right="60" w:hanging="325"/>
        <w:spacing w:after="0" w:line="290" w:lineRule="auto"/>
        <w:tabs>
          <w:tab w:leader="none" w:pos="900" w:val="left"/>
        </w:tabs>
        <w:numPr>
          <w:ilvl w:val="0"/>
          <w:numId w:val="104"/>
        </w:numPr>
        <w:rPr>
          <w:rFonts w:ascii="Arial" w:cs="Arial" w:eastAsia="Arial" w:hAnsi="Arial"/>
          <w:sz w:val="16"/>
          <w:szCs w:val="16"/>
          <w:color w:val="auto"/>
        </w:rPr>
      </w:pPr>
      <w:r>
        <w:rPr>
          <w:rFonts w:ascii="Arial" w:cs="Arial" w:eastAsia="Arial" w:hAnsi="Arial"/>
          <w:sz w:val="16"/>
          <w:szCs w:val="16"/>
          <w:color w:val="auto"/>
        </w:rPr>
        <w:t>Net investment losses related to derivatives of $46 million for the six months ended June 30, 2010 were primarily related to $35 million of losses from the change in value of the embedded derivative liabilities exceeding the change in value of the derivative instruments used for mitigating the risk of embedded derivative liabilities associated with our variable annuity products with GMWBs, $27 million of losses from the change in value of our credit default swaps due to widening credit spreads and $6 million of losses related to a derivative strategy to mitigate the interest rate risk associated with our statutory capital position. These losses were partially offset by $13 million of ineffectiveness gains from our cash flow hedge programs related to our long-term care insurance business, $7 million of gains from other non-qualified interest rate swaps and $2 million of gains related to embedded derivatives associated with certain reinsurance agreements. Net investment losses related to derivatives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116</w:t>
      </w:r>
    </w:p>
    <w:p>
      <w:pPr>
        <w:sectPr>
          <w:pgSz w:w="11900" w:h="16838" w:orient="portrait"/>
          <w:cols w:equalWidth="0" w:num="1">
            <w:col w:w="11420"/>
          </w:cols>
          <w:pgMar w:left="240" w:top="459" w:right="239" w:bottom="1440" w:gutter="0" w:footer="0" w:header="0"/>
        </w:sectPr>
      </w:pPr>
    </w:p>
    <w:bookmarkStart w:id="116" w:name="page117"/>
    <w:bookmarkEnd w:id="1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left="920" w:right="420"/>
        <w:spacing w:after="0" w:line="306" w:lineRule="auto"/>
        <w:rPr>
          <w:sz w:val="20"/>
          <w:szCs w:val="20"/>
          <w:color w:val="auto"/>
        </w:rPr>
      </w:pPr>
      <w:r>
        <w:rPr>
          <w:rFonts w:ascii="Arial" w:cs="Arial" w:eastAsia="Arial" w:hAnsi="Arial"/>
          <w:sz w:val="16"/>
          <w:szCs w:val="16"/>
          <w:color w:val="auto"/>
        </w:rPr>
        <w:t>of $7 million for the six months ended June 30, 2009 were primarily related to losses from a derivative strategy to mitigate the interest rate risk associated with our statutory capital position which were partially offset by gains in embedded derivative liabilities associated with our variable annuity products with GMWBs exceeding the change in value of derivative instruments used for mitigating this risk.</w:t>
      </w:r>
    </w:p>
    <w:p>
      <w:pPr>
        <w:spacing w:after="0" w:line="26" w:lineRule="exact"/>
        <w:rPr>
          <w:sz w:val="20"/>
          <w:szCs w:val="20"/>
          <w:color w:val="auto"/>
        </w:rPr>
      </w:pPr>
    </w:p>
    <w:p>
      <w:pPr>
        <w:ind w:left="900" w:right="60" w:hanging="325"/>
        <w:spacing w:after="0" w:line="255" w:lineRule="auto"/>
        <w:tabs>
          <w:tab w:leader="none" w:pos="900" w:val="left"/>
        </w:tabs>
        <w:numPr>
          <w:ilvl w:val="0"/>
          <w:numId w:val="105"/>
        </w:numPr>
        <w:rPr>
          <w:rFonts w:ascii="Arial" w:cs="Arial" w:eastAsia="Arial" w:hAnsi="Arial"/>
          <w:sz w:val="18"/>
          <w:szCs w:val="18"/>
          <w:color w:val="auto"/>
        </w:rPr>
      </w:pPr>
      <w:r>
        <w:rPr>
          <w:rFonts w:ascii="Arial" w:cs="Arial" w:eastAsia="Arial" w:hAnsi="Arial"/>
          <w:sz w:val="18"/>
          <w:szCs w:val="18"/>
          <w:color w:val="auto"/>
        </w:rPr>
        <w:t>We also recorded $36 million of net losses related to securitization entities primarily associated with derivatives and $22 million of losses related to commercial mortgage loans from a lower of cost or market adjustment on loans held-for-sale and an increase in the allowance during the six months ended June 30, 2010. There was also a net gain of $16 million from the recovery of a counterparty receivable in 2010. Net gains related to the sale of available-for-sale securities were $2 million during the six months ended June 30, 2010 compared to losses of $61 million during the six months ended June 30, 2009.</w:t>
      </w:r>
    </w:p>
    <w:p>
      <w:pPr>
        <w:spacing w:after="0" w:line="61" w:lineRule="exact"/>
        <w:rPr>
          <w:rFonts w:ascii="Arial" w:cs="Arial" w:eastAsia="Arial" w:hAnsi="Arial"/>
          <w:sz w:val="18"/>
          <w:szCs w:val="18"/>
          <w:color w:val="auto"/>
        </w:rPr>
      </w:pPr>
    </w:p>
    <w:p>
      <w:pPr>
        <w:ind w:left="900" w:right="20" w:hanging="325"/>
        <w:spacing w:after="0" w:line="286" w:lineRule="auto"/>
        <w:tabs>
          <w:tab w:leader="none" w:pos="900" w:val="left"/>
        </w:tabs>
        <w:numPr>
          <w:ilvl w:val="0"/>
          <w:numId w:val="105"/>
        </w:numPr>
        <w:rPr>
          <w:rFonts w:ascii="Arial" w:cs="Arial" w:eastAsia="Arial" w:hAnsi="Arial"/>
          <w:sz w:val="16"/>
          <w:szCs w:val="16"/>
          <w:color w:val="auto"/>
        </w:rPr>
      </w:pPr>
      <w:r>
        <w:rPr>
          <w:rFonts w:ascii="Arial" w:cs="Arial" w:eastAsia="Arial" w:hAnsi="Arial"/>
          <w:sz w:val="16"/>
          <w:szCs w:val="16"/>
          <w:color w:val="auto"/>
        </w:rPr>
        <w:t>The aggregate fair value of securities sold at a loss during the six months ended June 30, 2010 and 2009 was $1,416 million from the sale of 239 securities and $737 million from the sale of 199 securities, respectively, which was approximately 95% and 87%, respectively, of book value. The loss on sales of securities in the six months ended June 30, 2010 was primarily driven by widening credit spreads. Generally, securities that are sold at a loss represent either small dollar amounts or percentage losses upon disposition. However, in certain circumstances, events may occur that change our intent to hold specific securities and thus result in our disposition of the security at a loss. Examples of these events include unforeseen issuer-specific events or conditions and shifts in risk or uncertainty of certain securities. Of the securities that were sold at a loss during the six months ended June 30, 2010, the average period of time those securities had been continuously in an unrealized loss position was approximately 18 months. The securities sold at a loss during the six months ended June 30, included one non-U.S. government security that was sold for a total loss of $7 million in the first quarter of 2010 and one mortgage-backed security that was sold for a total loss of $4 million in the second quarter of 2010 related to portfolio repositioning activities. Of the securities that were sold at a loss during the six months ended June 30, 2009, the average period of time those securities had been continuously in an unrealized loss position was approximately nine months. The securities sold at a loss during the six months ended June 30, 2009 included one in the financial services sector totaling $10 million due to portfolio repositioning.</w:t>
      </w:r>
    </w:p>
    <w:p>
      <w:pPr>
        <w:spacing w:after="0" w:line="20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Investment portfolio</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our cash, cash equivalents and invested assets as of the dates indicated: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240" w:type="dxa"/>
            <w:vAlign w:val="bottom"/>
          </w:tcPr>
          <w:p>
            <w:pPr>
              <w:spacing w:after="0"/>
              <w:rPr>
                <w:sz w:val="14"/>
                <w:szCs w:val="14"/>
                <w:color w:val="auto"/>
              </w:rPr>
            </w:pPr>
          </w:p>
        </w:tc>
        <w:tc>
          <w:tcPr>
            <w:tcW w:w="128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June 30, 2010</w:t>
            </w:r>
          </w:p>
        </w:tc>
        <w:tc>
          <w:tcPr>
            <w:tcW w:w="5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60" w:type="dxa"/>
            <w:vAlign w:val="bottom"/>
            <w:gridSpan w:val="4"/>
          </w:tcPr>
          <w:p>
            <w:pPr>
              <w:jc w:val="right"/>
              <w:ind w:right="700"/>
              <w:spacing w:after="0"/>
              <w:rPr>
                <w:sz w:val="20"/>
                <w:szCs w:val="20"/>
                <w:color w:val="auto"/>
              </w:rPr>
            </w:pPr>
            <w:r>
              <w:rPr>
                <w:rFonts w:ascii="Arial" w:cs="Arial" w:eastAsia="Arial" w:hAnsi="Arial"/>
                <w:sz w:val="14"/>
                <w:szCs w:val="14"/>
                <w:b w:val="1"/>
                <w:bCs w:val="1"/>
                <w:color w:val="auto"/>
              </w:rPr>
              <w:t>December 31, 2009</w:t>
            </w:r>
          </w:p>
        </w:tc>
        <w:tc>
          <w:tcPr>
            <w:tcW w:w="0" w:type="dxa"/>
            <w:vAlign w:val="bottom"/>
          </w:tcPr>
          <w:p>
            <w:pPr>
              <w:spacing w:after="0"/>
              <w:rPr>
                <w:sz w:val="1"/>
                <w:szCs w:val="1"/>
                <w:color w:val="auto"/>
              </w:rPr>
            </w:pPr>
          </w:p>
        </w:tc>
      </w:tr>
      <w:tr>
        <w:trPr>
          <w:trHeight w:val="142"/>
        </w:trPr>
        <w:tc>
          <w:tcPr>
            <w:tcW w:w="6200" w:type="dxa"/>
            <w:vAlign w:val="bottom"/>
            <w:gridSpan w:val="3"/>
            <w:vMerge w:val="continue"/>
          </w:tcPr>
          <w:p>
            <w:pPr>
              <w:spacing w:after="0"/>
              <w:rPr>
                <w:sz w:val="12"/>
                <w:szCs w:val="12"/>
                <w:color w:val="auto"/>
              </w:rPr>
            </w:pPr>
          </w:p>
        </w:tc>
        <w:tc>
          <w:tcPr>
            <w:tcW w:w="1520" w:type="dxa"/>
            <w:vAlign w:val="bottom"/>
            <w:tcBorders>
              <w:top w:val="single" w:sz="8" w:color="auto"/>
            </w:tcBorders>
            <w:gridSpan w:val="3"/>
          </w:tcPr>
          <w:p>
            <w:pPr>
              <w:spacing w:after="0" w:line="142" w:lineRule="exact"/>
              <w:rPr>
                <w:sz w:val="20"/>
                <w:szCs w:val="20"/>
                <w:color w:val="auto"/>
              </w:rPr>
            </w:pPr>
            <w:r>
              <w:rPr>
                <w:rFonts w:ascii="Arial" w:cs="Arial" w:eastAsia="Arial" w:hAnsi="Arial"/>
                <w:sz w:val="14"/>
                <w:szCs w:val="14"/>
                <w:b w:val="1"/>
                <w:bCs w:val="1"/>
                <w:color w:val="auto"/>
              </w:rPr>
              <w:t>Carrying value</w:t>
            </w:r>
          </w:p>
        </w:tc>
        <w:tc>
          <w:tcPr>
            <w:tcW w:w="5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8"/>
              </w:rPr>
              <w:t>% of total</w:t>
            </w:r>
          </w:p>
        </w:tc>
        <w:tc>
          <w:tcPr>
            <w:tcW w:w="4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520" w:type="dxa"/>
            <w:vAlign w:val="bottom"/>
            <w:tcBorders>
              <w:top w:val="single" w:sz="8" w:color="auto"/>
            </w:tcBorders>
            <w:gridSpan w:val="3"/>
          </w:tcPr>
          <w:p>
            <w:pPr>
              <w:spacing w:after="0" w:line="142" w:lineRule="exact"/>
              <w:rPr>
                <w:sz w:val="20"/>
                <w:szCs w:val="20"/>
                <w:color w:val="auto"/>
              </w:rPr>
            </w:pPr>
            <w:r>
              <w:rPr>
                <w:rFonts w:ascii="Arial" w:cs="Arial" w:eastAsia="Arial" w:hAnsi="Arial"/>
                <w:sz w:val="14"/>
                <w:szCs w:val="14"/>
                <w:b w:val="1"/>
                <w:bCs w:val="1"/>
                <w:color w:val="auto"/>
              </w:rPr>
              <w:t>Carrying value</w:t>
            </w:r>
          </w:p>
        </w:tc>
        <w:tc>
          <w:tcPr>
            <w:tcW w:w="5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8"/>
              </w:rPr>
              <w:t>% of 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8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 available-for-sale:</w:t>
            </w:r>
          </w:p>
        </w:tc>
        <w:tc>
          <w:tcPr>
            <w:tcW w:w="2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gridSpan w:val="2"/>
          </w:tcPr>
          <w:p>
            <w:pPr>
              <w:ind w:left="420"/>
              <w:spacing w:after="0"/>
              <w:rPr>
                <w:sz w:val="20"/>
                <w:szCs w:val="20"/>
                <w:color w:val="auto"/>
              </w:rPr>
            </w:pPr>
            <w:r>
              <w:rPr>
                <w:rFonts w:ascii="Arial" w:cs="Arial" w:eastAsia="Arial" w:hAnsi="Arial"/>
                <w:sz w:val="18"/>
                <w:szCs w:val="18"/>
                <w:color w:val="auto"/>
              </w:rPr>
              <w:t>Public</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640"/>
              <w:spacing w:after="0"/>
              <w:rPr>
                <w:sz w:val="20"/>
                <w:szCs w:val="20"/>
                <w:color w:val="auto"/>
              </w:rPr>
            </w:pPr>
            <w:r>
              <w:rPr>
                <w:rFonts w:ascii="Arial" w:cs="Arial" w:eastAsia="Arial" w:hAnsi="Arial"/>
                <w:sz w:val="18"/>
                <w:szCs w:val="18"/>
                <w:color w:val="auto"/>
              </w:rPr>
              <w:t>40,677</w:t>
            </w: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rPr>
              <w:t>56%</w:t>
            </w:r>
          </w:p>
        </w:tc>
        <w:tc>
          <w:tcPr>
            <w:tcW w:w="58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640"/>
              <w:spacing w:after="0"/>
              <w:rPr>
                <w:sz w:val="20"/>
                <w:szCs w:val="20"/>
                <w:color w:val="auto"/>
              </w:rPr>
            </w:pPr>
            <w:r>
              <w:rPr>
                <w:rFonts w:ascii="Arial" w:cs="Arial" w:eastAsia="Arial" w:hAnsi="Arial"/>
                <w:sz w:val="18"/>
                <w:szCs w:val="18"/>
                <w:color w:val="auto"/>
              </w:rPr>
              <w:t>37,158</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Private</w:t>
            </w:r>
          </w:p>
        </w:tc>
        <w:tc>
          <w:tcPr>
            <w:tcW w:w="2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12,709</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12,594</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gridSpan w:val="2"/>
          </w:tcPr>
          <w:p>
            <w:pPr>
              <w:spacing w:after="0"/>
              <w:rPr>
                <w:sz w:val="20"/>
                <w:szCs w:val="20"/>
                <w:color w:val="auto"/>
              </w:rPr>
            </w:pPr>
            <w:r>
              <w:rPr>
                <w:rFonts w:ascii="Arial" w:cs="Arial" w:eastAsia="Arial" w:hAnsi="Arial"/>
                <w:sz w:val="18"/>
                <w:szCs w:val="18"/>
                <w:color w:val="auto"/>
              </w:rPr>
              <w:t>Commercial mortgage loans</w:t>
            </w:r>
          </w:p>
        </w:tc>
        <w:tc>
          <w:tcPr>
            <w:tcW w:w="240" w:type="dxa"/>
            <w:vAlign w:val="bottom"/>
          </w:tcPr>
          <w:p>
            <w:pPr>
              <w:spacing w:after="0"/>
              <w:rPr>
                <w:sz w:val="18"/>
                <w:szCs w:val="18"/>
                <w:color w:val="auto"/>
              </w:rPr>
            </w:pPr>
          </w:p>
        </w:tc>
        <w:tc>
          <w:tcPr>
            <w:tcW w:w="1280" w:type="dxa"/>
            <w:vAlign w:val="bottom"/>
            <w:gridSpan w:val="2"/>
          </w:tcPr>
          <w:p>
            <w:pPr>
              <w:jc w:val="right"/>
              <w:ind w:right="640"/>
              <w:spacing w:after="0"/>
              <w:rPr>
                <w:sz w:val="20"/>
                <w:szCs w:val="20"/>
                <w:color w:val="auto"/>
              </w:rPr>
            </w:pPr>
            <w:r>
              <w:rPr>
                <w:rFonts w:ascii="Arial" w:cs="Arial" w:eastAsia="Arial" w:hAnsi="Arial"/>
                <w:sz w:val="18"/>
                <w:szCs w:val="18"/>
                <w:color w:val="auto"/>
              </w:rPr>
              <w:t>7,208</w:t>
            </w:r>
          </w:p>
        </w:tc>
        <w:tc>
          <w:tcPr>
            <w:tcW w:w="580" w:type="dxa"/>
            <w:vAlign w:val="bottom"/>
          </w:tcPr>
          <w:p>
            <w:pPr>
              <w:jc w:val="right"/>
              <w:spacing w:after="0"/>
              <w:rPr>
                <w:sz w:val="20"/>
                <w:szCs w:val="20"/>
                <w:color w:val="auto"/>
              </w:rPr>
            </w:pPr>
            <w:r>
              <w:rPr>
                <w:rFonts w:ascii="Arial" w:cs="Arial" w:eastAsia="Arial" w:hAnsi="Arial"/>
                <w:sz w:val="18"/>
                <w:szCs w:val="18"/>
                <w:color w:val="auto"/>
              </w:rPr>
              <w:t>10</w:t>
            </w: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gridSpan w:val="2"/>
          </w:tcPr>
          <w:p>
            <w:pPr>
              <w:jc w:val="right"/>
              <w:ind w:right="640"/>
              <w:spacing w:after="0"/>
              <w:rPr>
                <w:sz w:val="20"/>
                <w:szCs w:val="20"/>
                <w:color w:val="auto"/>
              </w:rPr>
            </w:pPr>
            <w:r>
              <w:rPr>
                <w:rFonts w:ascii="Arial" w:cs="Arial" w:eastAsia="Arial" w:hAnsi="Arial"/>
                <w:sz w:val="18"/>
                <w:szCs w:val="18"/>
                <w:color w:val="auto"/>
              </w:rPr>
              <w:t>7,499</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invested assets</w:t>
            </w:r>
          </w:p>
        </w:tc>
        <w:tc>
          <w:tcPr>
            <w:tcW w:w="2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4,042</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4,702</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gridSpan w:val="2"/>
          </w:tcPr>
          <w:p>
            <w:pPr>
              <w:spacing w:after="0"/>
              <w:rPr>
                <w:sz w:val="20"/>
                <w:szCs w:val="20"/>
                <w:color w:val="auto"/>
              </w:rPr>
            </w:pPr>
            <w:r>
              <w:rPr>
                <w:rFonts w:ascii="Arial" w:cs="Arial" w:eastAsia="Arial" w:hAnsi="Arial"/>
                <w:sz w:val="18"/>
                <w:szCs w:val="18"/>
                <w:color w:val="auto"/>
              </w:rPr>
              <w:t>Policy loans</w:t>
            </w:r>
          </w:p>
        </w:tc>
        <w:tc>
          <w:tcPr>
            <w:tcW w:w="240" w:type="dxa"/>
            <w:vAlign w:val="bottom"/>
          </w:tcPr>
          <w:p>
            <w:pPr>
              <w:spacing w:after="0"/>
              <w:rPr>
                <w:sz w:val="18"/>
                <w:szCs w:val="18"/>
                <w:color w:val="auto"/>
              </w:rPr>
            </w:pPr>
          </w:p>
        </w:tc>
        <w:tc>
          <w:tcPr>
            <w:tcW w:w="1280" w:type="dxa"/>
            <w:vAlign w:val="bottom"/>
            <w:gridSpan w:val="2"/>
          </w:tcPr>
          <w:p>
            <w:pPr>
              <w:jc w:val="right"/>
              <w:ind w:right="640"/>
              <w:spacing w:after="0"/>
              <w:rPr>
                <w:sz w:val="20"/>
                <w:szCs w:val="20"/>
                <w:color w:val="auto"/>
              </w:rPr>
            </w:pPr>
            <w:r>
              <w:rPr>
                <w:rFonts w:ascii="Arial" w:cs="Arial" w:eastAsia="Arial" w:hAnsi="Arial"/>
                <w:sz w:val="18"/>
                <w:szCs w:val="18"/>
                <w:color w:val="auto"/>
              </w:rPr>
              <w:t>1,467</w:t>
            </w:r>
          </w:p>
        </w:tc>
        <w:tc>
          <w:tcPr>
            <w:tcW w:w="580" w:type="dxa"/>
            <w:vAlign w:val="bottom"/>
          </w:tcPr>
          <w:p>
            <w:pPr>
              <w:jc w:val="right"/>
              <w:spacing w:after="0"/>
              <w:rPr>
                <w:sz w:val="20"/>
                <w:szCs w:val="20"/>
                <w:color w:val="auto"/>
              </w:rPr>
            </w:pPr>
            <w:r>
              <w:rPr>
                <w:rFonts w:ascii="Arial" w:cs="Arial" w:eastAsia="Arial" w:hAnsi="Arial"/>
                <w:sz w:val="18"/>
                <w:szCs w:val="18"/>
                <w:color w:val="auto"/>
              </w:rPr>
              <w:t>2</w:t>
            </w: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gridSpan w:val="2"/>
          </w:tcPr>
          <w:p>
            <w:pPr>
              <w:jc w:val="right"/>
              <w:ind w:right="640"/>
              <w:spacing w:after="0"/>
              <w:rPr>
                <w:sz w:val="20"/>
                <w:szCs w:val="20"/>
                <w:color w:val="auto"/>
              </w:rPr>
            </w:pPr>
            <w:r>
              <w:rPr>
                <w:rFonts w:ascii="Arial" w:cs="Arial" w:eastAsia="Arial" w:hAnsi="Arial"/>
                <w:sz w:val="18"/>
                <w:szCs w:val="18"/>
                <w:color w:val="auto"/>
              </w:rPr>
              <w:t>1,403</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Restricted commercial mortgage loans related to securitization entities </w:t>
            </w:r>
            <w:r>
              <w:rPr>
                <w:rFonts w:ascii="Arial" w:cs="Arial" w:eastAsia="Arial" w:hAnsi="Arial"/>
                <w:sz w:val="11"/>
                <w:szCs w:val="11"/>
                <w:color w:val="auto"/>
              </w:rPr>
              <w:t>(1)</w:t>
            </w:r>
          </w:p>
        </w:tc>
        <w:tc>
          <w:tcPr>
            <w:tcW w:w="2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535</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gridSpan w:val="2"/>
          </w:tcPr>
          <w:p>
            <w:pPr>
              <w:spacing w:after="0"/>
              <w:rPr>
                <w:sz w:val="20"/>
                <w:szCs w:val="20"/>
                <w:color w:val="auto"/>
              </w:rPr>
            </w:pPr>
            <w:r>
              <w:rPr>
                <w:rFonts w:ascii="Arial" w:cs="Arial" w:eastAsia="Arial" w:hAnsi="Arial"/>
                <w:sz w:val="18"/>
                <w:szCs w:val="18"/>
                <w:color w:val="auto"/>
              </w:rPr>
              <w:t xml:space="preserve">Restricted other invested assets related to securitization entities </w:t>
            </w:r>
            <w:r>
              <w:rPr>
                <w:rFonts w:ascii="Arial" w:cs="Arial" w:eastAsia="Arial" w:hAnsi="Arial"/>
                <w:sz w:val="11"/>
                <w:szCs w:val="11"/>
                <w:color w:val="auto"/>
              </w:rPr>
              <w:t>(1)</w:t>
            </w:r>
          </w:p>
        </w:tc>
        <w:tc>
          <w:tcPr>
            <w:tcW w:w="240" w:type="dxa"/>
            <w:vAlign w:val="bottom"/>
          </w:tcPr>
          <w:p>
            <w:pPr>
              <w:spacing w:after="0"/>
              <w:rPr>
                <w:sz w:val="18"/>
                <w:szCs w:val="18"/>
                <w:color w:val="auto"/>
              </w:rPr>
            </w:pPr>
          </w:p>
        </w:tc>
        <w:tc>
          <w:tcPr>
            <w:tcW w:w="1280" w:type="dxa"/>
            <w:vAlign w:val="bottom"/>
            <w:gridSpan w:val="2"/>
          </w:tcPr>
          <w:p>
            <w:pPr>
              <w:jc w:val="right"/>
              <w:ind w:right="640"/>
              <w:spacing w:after="0"/>
              <w:rPr>
                <w:sz w:val="20"/>
                <w:szCs w:val="20"/>
                <w:color w:val="auto"/>
              </w:rPr>
            </w:pPr>
            <w:r>
              <w:rPr>
                <w:rFonts w:ascii="Arial" w:cs="Arial" w:eastAsia="Arial" w:hAnsi="Arial"/>
                <w:sz w:val="18"/>
                <w:szCs w:val="18"/>
                <w:color w:val="auto"/>
              </w:rPr>
              <w:t>374</w:t>
            </w:r>
          </w:p>
        </w:tc>
        <w:tc>
          <w:tcPr>
            <w:tcW w:w="580" w:type="dxa"/>
            <w:vAlign w:val="bottom"/>
          </w:tcPr>
          <w:p>
            <w:pPr>
              <w:jc w:val="right"/>
              <w:spacing w:after="0"/>
              <w:rPr>
                <w:sz w:val="20"/>
                <w:szCs w:val="20"/>
                <w:color w:val="auto"/>
              </w:rPr>
            </w:pPr>
            <w:r>
              <w:rPr>
                <w:rFonts w:ascii="Arial" w:cs="Arial" w:eastAsia="Arial" w:hAnsi="Arial"/>
                <w:sz w:val="18"/>
                <w:szCs w:val="18"/>
                <w:color w:val="auto"/>
              </w:rPr>
              <w:t>1</w:t>
            </w: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gridSpan w:val="2"/>
          </w:tcPr>
          <w:p>
            <w:pPr>
              <w:jc w:val="right"/>
              <w:ind w:right="72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 available-for-sale</w:t>
            </w:r>
          </w:p>
        </w:tc>
        <w:tc>
          <w:tcPr>
            <w:tcW w:w="2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199</w:t>
            </w:r>
          </w:p>
        </w:tc>
        <w:tc>
          <w:tcPr>
            <w:tcW w:w="10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159</w:t>
            </w:r>
          </w:p>
        </w:tc>
        <w:tc>
          <w:tcPr>
            <w:tcW w:w="7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gridSpan w:val="2"/>
          </w:tcPr>
          <w:p>
            <w:pPr>
              <w:spacing w:after="0"/>
              <w:rPr>
                <w:sz w:val="20"/>
                <w:szCs w:val="20"/>
                <w:color w:val="auto"/>
              </w:rPr>
            </w:pPr>
            <w:r>
              <w:rPr>
                <w:rFonts w:ascii="Arial" w:cs="Arial" w:eastAsia="Arial" w:hAnsi="Arial"/>
                <w:sz w:val="18"/>
                <w:szCs w:val="18"/>
                <w:color w:val="auto"/>
              </w:rPr>
              <w:t>Cash and cash equivalents</w:t>
            </w:r>
          </w:p>
        </w:tc>
        <w:tc>
          <w:tcPr>
            <w:tcW w:w="240" w:type="dxa"/>
            <w:vAlign w:val="bottom"/>
          </w:tcPr>
          <w:p>
            <w:pPr>
              <w:spacing w:after="0"/>
              <w:rPr>
                <w:sz w:val="18"/>
                <w:szCs w:val="18"/>
                <w:color w:val="auto"/>
              </w:rPr>
            </w:pPr>
          </w:p>
        </w:tc>
        <w:tc>
          <w:tcPr>
            <w:tcW w:w="1280" w:type="dxa"/>
            <w:vAlign w:val="bottom"/>
            <w:gridSpan w:val="2"/>
          </w:tcPr>
          <w:p>
            <w:pPr>
              <w:jc w:val="right"/>
              <w:ind w:right="640"/>
              <w:spacing w:after="0"/>
              <w:rPr>
                <w:sz w:val="20"/>
                <w:szCs w:val="20"/>
                <w:color w:val="auto"/>
              </w:rPr>
            </w:pPr>
            <w:r>
              <w:rPr>
                <w:rFonts w:ascii="Arial" w:cs="Arial" w:eastAsia="Arial" w:hAnsi="Arial"/>
                <w:sz w:val="18"/>
                <w:szCs w:val="18"/>
                <w:color w:val="auto"/>
              </w:rPr>
              <w:t>4,586</w:t>
            </w:r>
          </w:p>
        </w:tc>
        <w:tc>
          <w:tcPr>
            <w:tcW w:w="580" w:type="dxa"/>
            <w:vAlign w:val="bottom"/>
          </w:tcPr>
          <w:p>
            <w:pPr>
              <w:jc w:val="right"/>
              <w:spacing w:after="0"/>
              <w:rPr>
                <w:sz w:val="20"/>
                <w:szCs w:val="20"/>
                <w:color w:val="auto"/>
              </w:rPr>
            </w:pPr>
            <w:r>
              <w:rPr>
                <w:rFonts w:ascii="Arial" w:cs="Arial" w:eastAsia="Arial" w:hAnsi="Arial"/>
                <w:sz w:val="18"/>
                <w:szCs w:val="18"/>
                <w:color w:val="auto"/>
              </w:rPr>
              <w:t>6</w:t>
            </w: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gridSpan w:val="2"/>
          </w:tcPr>
          <w:p>
            <w:pPr>
              <w:jc w:val="right"/>
              <w:ind w:right="640"/>
              <w:spacing w:after="0"/>
              <w:rPr>
                <w:sz w:val="20"/>
                <w:szCs w:val="20"/>
                <w:color w:val="auto"/>
              </w:rPr>
            </w:pPr>
            <w:r>
              <w:rPr>
                <w:rFonts w:ascii="Arial" w:cs="Arial" w:eastAsia="Arial" w:hAnsi="Arial"/>
                <w:sz w:val="18"/>
                <w:szCs w:val="18"/>
                <w:color w:val="auto"/>
              </w:rPr>
              <w:t>5,002</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86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cash, cash equivalents and invested assets</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71,797</w:t>
            </w: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100%</w:t>
            </w:r>
          </w:p>
        </w:tc>
        <w:tc>
          <w:tcPr>
            <w:tcW w:w="5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68,517</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8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6" w:lineRule="exact"/>
        <w:rPr>
          <w:sz w:val="20"/>
          <w:szCs w:val="20"/>
          <w:color w:val="auto"/>
        </w:rPr>
      </w:pPr>
    </w:p>
    <w:p>
      <w:pPr>
        <w:ind w:left="460" w:hanging="452"/>
        <w:spacing w:after="0"/>
        <w:tabs>
          <w:tab w:leader="none" w:pos="460" w:val="left"/>
        </w:tabs>
        <w:numPr>
          <w:ilvl w:val="0"/>
          <w:numId w:val="106"/>
        </w:numPr>
        <w:rPr>
          <w:rFonts w:ascii="Arial" w:cs="Arial" w:eastAsia="Arial" w:hAnsi="Arial"/>
          <w:sz w:val="20"/>
          <w:szCs w:val="20"/>
          <w:color w:val="auto"/>
          <w:vertAlign w:val="superscript"/>
        </w:rPr>
      </w:pPr>
      <w:r>
        <w:rPr>
          <w:rFonts w:ascii="Arial" w:cs="Arial" w:eastAsia="Arial" w:hAnsi="Arial"/>
          <w:sz w:val="16"/>
          <w:szCs w:val="16"/>
          <w:color w:val="auto"/>
        </w:rPr>
        <w:t>See note 7 in our “—Notes to Condensed Consolidated Financial Statements” for additional information related to consolidated securitization entities.</w:t>
      </w:r>
    </w:p>
    <w:p>
      <w:pPr>
        <w:spacing w:after="0" w:line="142" w:lineRule="exact"/>
        <w:rPr>
          <w:rFonts w:ascii="Arial" w:cs="Arial" w:eastAsia="Arial" w:hAnsi="Arial"/>
          <w:sz w:val="20"/>
          <w:szCs w:val="20"/>
          <w:color w:val="auto"/>
          <w:vertAlign w:val="superscript"/>
        </w:rPr>
      </w:pPr>
    </w:p>
    <w:p>
      <w:pPr>
        <w:ind w:left="5580"/>
        <w:spacing w:after="0"/>
        <w:rPr>
          <w:rFonts w:ascii="Arial" w:cs="Arial" w:eastAsia="Arial" w:hAnsi="Arial"/>
          <w:sz w:val="20"/>
          <w:szCs w:val="20"/>
          <w:color w:val="auto"/>
          <w:vertAlign w:val="superscript"/>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-382905</wp:posOffset>
            </wp:positionV>
            <wp:extent cx="728980"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sectPr>
      </w:pPr>
    </w:p>
    <w:bookmarkStart w:id="117" w:name="page118"/>
    <w:bookmarkEnd w:id="1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332" w:lineRule="auto"/>
        <w:rPr>
          <w:sz w:val="20"/>
          <w:szCs w:val="20"/>
          <w:color w:val="auto"/>
        </w:rPr>
      </w:pPr>
      <w:r>
        <w:rPr>
          <w:rFonts w:ascii="Arial" w:cs="Arial" w:eastAsia="Arial" w:hAnsi="Arial"/>
          <w:sz w:val="16"/>
          <w:szCs w:val="16"/>
          <w:color w:val="auto"/>
        </w:rPr>
        <w:t>For a discussion of the change in cash, cash equivalents and invested assets, see the comparison for this line item under “—Consolidated Balance Sheets.” See note 4 in our “—Notes to Condensed Consolidated Financial Statements” for additional information related to our investment portfolio.</w:t>
      </w:r>
    </w:p>
    <w:p>
      <w:pPr>
        <w:spacing w:after="0" w:line="85"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We hold fixed maturity, equity and trading securities, derivatives, embedded derivatives, securities held as collateral and certain other financial instruments, which are carried at fair value. Fair value is the price that would be received to sell an asset in an orderly transaction between market participants at the measurement date. As of June 30, 2010, approximately 6% of our investment holdings recorded at fair value was based on significant inputs that were not market observable and were classified as Level 3 measurements. See note 6 in our “—Notes to Condensed Consolidated Financial Statements” for additional information related to fair value.</w:t>
      </w:r>
    </w:p>
    <w:p>
      <w:pPr>
        <w:spacing w:after="0" w:line="22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Fixed maturity and equity securities</w:t>
      </w:r>
    </w:p>
    <w:p>
      <w:pPr>
        <w:spacing w:after="0" w:line="90" w:lineRule="exact"/>
        <w:rPr>
          <w:sz w:val="20"/>
          <w:szCs w:val="20"/>
          <w:color w:val="auto"/>
        </w:rPr>
      </w:pPr>
    </w:p>
    <w:p>
      <w:pPr>
        <w:ind w:right="520" w:firstLine="456"/>
        <w:spacing w:after="0" w:line="268" w:lineRule="auto"/>
        <w:rPr>
          <w:sz w:val="20"/>
          <w:szCs w:val="20"/>
          <w:color w:val="auto"/>
        </w:rPr>
      </w:pPr>
      <w:r>
        <w:rPr>
          <w:rFonts w:ascii="Arial" w:cs="Arial" w:eastAsia="Arial" w:hAnsi="Arial"/>
          <w:sz w:val="18"/>
          <w:szCs w:val="18"/>
          <w:color w:val="auto"/>
        </w:rPr>
        <w:t>As of June 30, 2010, the amortized cost or cost, gross unrealized gains (losses) and fair value of our fixed maturity and equity securities classified as available-for-sale were as follows:</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10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4"/>
                <w:szCs w:val="14"/>
                <w:color w:val="auto"/>
              </w:rPr>
            </w:pPr>
          </w:p>
        </w:tc>
        <w:tc>
          <w:tcPr>
            <w:tcW w:w="2260" w:type="dxa"/>
            <w:vAlign w:val="bottom"/>
            <w:gridSpan w:val="5"/>
          </w:tcPr>
          <w:p>
            <w:pPr>
              <w:jc w:val="right"/>
              <w:ind w:right="720"/>
              <w:spacing w:after="0"/>
              <w:rPr>
                <w:sz w:val="20"/>
                <w:szCs w:val="20"/>
                <w:color w:val="auto"/>
              </w:rPr>
            </w:pPr>
            <w:r>
              <w:rPr>
                <w:rFonts w:ascii="Arial" w:cs="Arial" w:eastAsia="Arial" w:hAnsi="Arial"/>
                <w:sz w:val="14"/>
                <w:szCs w:val="14"/>
                <w:b w:val="1"/>
                <w:bCs w:val="1"/>
                <w:color w:val="auto"/>
                <w:w w:val="98"/>
              </w:rPr>
              <w:t>Gross unrealized gains</w:t>
            </w:r>
          </w:p>
        </w:tc>
        <w:tc>
          <w:tcPr>
            <w:tcW w:w="100" w:type="dxa"/>
            <w:vAlign w:val="bottom"/>
          </w:tcPr>
          <w:p>
            <w:pPr>
              <w:spacing w:after="0"/>
              <w:rPr>
                <w:sz w:val="14"/>
                <w:szCs w:val="14"/>
                <w:color w:val="auto"/>
              </w:rPr>
            </w:pPr>
          </w:p>
        </w:tc>
        <w:tc>
          <w:tcPr>
            <w:tcW w:w="2260" w:type="dxa"/>
            <w:vAlign w:val="bottom"/>
            <w:gridSpan w:val="5"/>
          </w:tcPr>
          <w:p>
            <w:pPr>
              <w:jc w:val="right"/>
              <w:ind w:right="640"/>
              <w:spacing w:after="0"/>
              <w:rPr>
                <w:sz w:val="20"/>
                <w:szCs w:val="20"/>
                <w:color w:val="auto"/>
              </w:rPr>
            </w:pPr>
            <w:r>
              <w:rPr>
                <w:rFonts w:ascii="Arial" w:cs="Arial" w:eastAsia="Arial" w:hAnsi="Arial"/>
                <w:sz w:val="14"/>
                <w:szCs w:val="14"/>
                <w:b w:val="1"/>
                <w:bCs w:val="1"/>
                <w:color w:val="auto"/>
                <w:w w:val="99"/>
              </w:rPr>
              <w:t>Gross unrealized losses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3560" w:type="dxa"/>
            <w:vAlign w:val="bottom"/>
          </w:tcPr>
          <w:p>
            <w:pPr>
              <w:spacing w:after="0"/>
              <w:rPr>
                <w:sz w:val="11"/>
                <w:szCs w:val="11"/>
                <w:color w:val="auto"/>
              </w:rPr>
            </w:pPr>
          </w:p>
        </w:tc>
        <w:tc>
          <w:tcPr>
            <w:tcW w:w="1000" w:type="dxa"/>
            <w:vAlign w:val="bottom"/>
            <w:gridSpan w:val="3"/>
            <w:vMerge w:val="continue"/>
          </w:tcPr>
          <w:p>
            <w:pPr>
              <w:spacing w:after="0"/>
              <w:rPr>
                <w:sz w:val="11"/>
                <w:szCs w:val="11"/>
                <w:color w:val="auto"/>
              </w:rPr>
            </w:pPr>
          </w:p>
        </w:tc>
        <w:tc>
          <w:tcPr>
            <w:tcW w:w="1280" w:type="dxa"/>
            <w:vAlign w:val="bottom"/>
            <w:tcBorders>
              <w:top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Not other-than-</w:t>
            </w:r>
          </w:p>
        </w:tc>
        <w:tc>
          <w:tcPr>
            <w:tcW w:w="70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9"/>
              </w:rPr>
              <w:t>Other-than-</w:t>
            </w:r>
          </w:p>
        </w:tc>
        <w:tc>
          <w:tcPr>
            <w:tcW w:w="380" w:type="dxa"/>
            <w:vAlign w:val="bottom"/>
          </w:tcPr>
          <w:p>
            <w:pPr>
              <w:spacing w:after="0"/>
              <w:rPr>
                <w:sz w:val="11"/>
                <w:szCs w:val="11"/>
                <w:color w:val="auto"/>
              </w:rPr>
            </w:pPr>
          </w:p>
        </w:tc>
        <w:tc>
          <w:tcPr>
            <w:tcW w:w="1400" w:type="dxa"/>
            <w:vAlign w:val="bottom"/>
            <w:tcBorders>
              <w:top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Not other-than-</w:t>
            </w:r>
          </w:p>
        </w:tc>
        <w:tc>
          <w:tcPr>
            <w:tcW w:w="70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9"/>
              </w:rPr>
              <w:t>Other-than-</w:t>
            </w: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3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1"/>
              </w:rPr>
              <w:t>cost or</w:t>
            </w:r>
          </w:p>
        </w:tc>
        <w:tc>
          <w:tcPr>
            <w:tcW w:w="100" w:type="dxa"/>
            <w:vAlign w:val="bottom"/>
          </w:tcPr>
          <w:p>
            <w:pPr>
              <w:spacing w:after="0"/>
              <w:rPr>
                <w:sz w:val="12"/>
                <w:szCs w:val="12"/>
                <w:color w:val="auto"/>
              </w:rPr>
            </w:pPr>
          </w:p>
        </w:tc>
        <w:tc>
          <w:tcPr>
            <w:tcW w:w="1180" w:type="dxa"/>
            <w:vAlign w:val="bottom"/>
            <w:gridSpan w:val="2"/>
          </w:tcPr>
          <w:p>
            <w:pPr>
              <w:jc w:val="right"/>
              <w:ind w:right="480"/>
              <w:spacing w:after="0" w:line="149" w:lineRule="exact"/>
              <w:rPr>
                <w:sz w:val="20"/>
                <w:szCs w:val="20"/>
                <w:color w:val="auto"/>
              </w:rPr>
            </w:pPr>
            <w:r>
              <w:rPr>
                <w:rFonts w:ascii="Arial" w:cs="Arial" w:eastAsia="Arial" w:hAnsi="Arial"/>
                <w:sz w:val="14"/>
                <w:szCs w:val="14"/>
                <w:b w:val="1"/>
                <w:bCs w:val="1"/>
                <w:color w:val="auto"/>
                <w:w w:val="89"/>
              </w:rPr>
              <w:t>temporarily</w:t>
            </w:r>
          </w:p>
        </w:tc>
        <w:tc>
          <w:tcPr>
            <w:tcW w:w="10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temporarily</w:t>
            </w:r>
          </w:p>
        </w:tc>
        <w:tc>
          <w:tcPr>
            <w:tcW w:w="100" w:type="dxa"/>
            <w:vAlign w:val="bottom"/>
          </w:tcPr>
          <w:p>
            <w:pPr>
              <w:spacing w:after="0"/>
              <w:rPr>
                <w:sz w:val="12"/>
                <w:szCs w:val="12"/>
                <w:color w:val="auto"/>
              </w:rPr>
            </w:pPr>
          </w:p>
        </w:tc>
        <w:tc>
          <w:tcPr>
            <w:tcW w:w="1300" w:type="dxa"/>
            <w:vAlign w:val="bottom"/>
            <w:gridSpan w:val="2"/>
          </w:tcPr>
          <w:p>
            <w:pPr>
              <w:jc w:val="right"/>
              <w:ind w:right="600"/>
              <w:spacing w:after="0" w:line="149" w:lineRule="exact"/>
              <w:rPr>
                <w:sz w:val="20"/>
                <w:szCs w:val="20"/>
                <w:color w:val="auto"/>
              </w:rPr>
            </w:pPr>
            <w:r>
              <w:rPr>
                <w:rFonts w:ascii="Arial" w:cs="Arial" w:eastAsia="Arial" w:hAnsi="Arial"/>
                <w:sz w:val="14"/>
                <w:szCs w:val="14"/>
                <w:b w:val="1"/>
                <w:bCs w:val="1"/>
                <w:color w:val="auto"/>
                <w:w w:val="89"/>
              </w:rPr>
              <w:t>temporarily</w:t>
            </w:r>
          </w:p>
        </w:tc>
        <w:tc>
          <w:tcPr>
            <w:tcW w:w="9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temporarily</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ind w:right="75"/>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61"/>
        </w:trPr>
        <w:tc>
          <w:tcPr>
            <w:tcW w:w="490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90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76"/>
              </w:rPr>
              <w:t>cost</w:t>
            </w:r>
          </w:p>
        </w:tc>
        <w:tc>
          <w:tcPr>
            <w:tcW w:w="100" w:type="dxa"/>
            <w:vAlign w:val="bottom"/>
          </w:tcPr>
          <w:p>
            <w:pPr>
              <w:spacing w:after="0"/>
              <w:rPr>
                <w:sz w:val="14"/>
                <w:szCs w:val="14"/>
                <w:color w:val="auto"/>
              </w:rPr>
            </w:pPr>
          </w:p>
        </w:tc>
        <w:tc>
          <w:tcPr>
            <w:tcW w:w="118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rPr>
              <w:t>impaired</w:t>
            </w:r>
          </w:p>
        </w:tc>
        <w:tc>
          <w:tcPr>
            <w:tcW w:w="80" w:type="dxa"/>
            <w:vAlign w:val="bottom"/>
          </w:tcPr>
          <w:p>
            <w:pPr>
              <w:spacing w:after="0"/>
              <w:rPr>
                <w:sz w:val="14"/>
                <w:szCs w:val="14"/>
                <w:color w:val="auto"/>
              </w:rPr>
            </w:pPr>
          </w:p>
        </w:tc>
        <w:tc>
          <w:tcPr>
            <w:tcW w:w="100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w w:val="89"/>
              </w:rPr>
              <w:t>impaired</w:t>
            </w:r>
          </w:p>
        </w:tc>
        <w:tc>
          <w:tcPr>
            <w:tcW w:w="100" w:type="dxa"/>
            <w:vAlign w:val="bottom"/>
          </w:tcPr>
          <w:p>
            <w:pPr>
              <w:spacing w:after="0"/>
              <w:rPr>
                <w:sz w:val="14"/>
                <w:szCs w:val="14"/>
                <w:color w:val="auto"/>
              </w:rPr>
            </w:pPr>
          </w:p>
        </w:tc>
        <w:tc>
          <w:tcPr>
            <w:tcW w:w="130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rPr>
              <w:t>impaired</w:t>
            </w:r>
          </w:p>
        </w:tc>
        <w:tc>
          <w:tcPr>
            <w:tcW w:w="80" w:type="dxa"/>
            <w:vAlign w:val="bottom"/>
          </w:tcPr>
          <w:p>
            <w:pPr>
              <w:spacing w:after="0"/>
              <w:rPr>
                <w:sz w:val="14"/>
                <w:szCs w:val="14"/>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5"/>
              </w:rPr>
              <w:t>impaired</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jc w:val="right"/>
              <w:ind w:right="55"/>
              <w:spacing w:after="0"/>
              <w:rPr>
                <w:sz w:val="20"/>
                <w:szCs w:val="20"/>
                <w:color w:val="auto"/>
              </w:rPr>
            </w:pPr>
            <w:r>
              <w:rPr>
                <w:rFonts w:ascii="Arial" w:cs="Arial" w:eastAsia="Arial" w:hAnsi="Arial"/>
                <w:sz w:val="14"/>
                <w:szCs w:val="14"/>
                <w:b w:val="1"/>
                <w:bCs w:val="1"/>
                <w:color w:val="auto"/>
                <w:w w:val="89"/>
              </w:rPr>
              <w:t>value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U.S. government, agencies and government-sponsored</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880" w:type="dxa"/>
            <w:vAlign w:val="bottom"/>
            <w:gridSpan w:val="2"/>
          </w:tcPr>
          <w:p>
            <w:pPr>
              <w:ind w:left="640"/>
              <w:spacing w:after="0"/>
              <w:rPr>
                <w:sz w:val="20"/>
                <w:szCs w:val="20"/>
                <w:color w:val="auto"/>
              </w:rPr>
            </w:pPr>
            <w:r>
              <w:rPr>
                <w:rFonts w:ascii="Arial" w:cs="Arial" w:eastAsia="Arial" w:hAnsi="Arial"/>
                <w:sz w:val="18"/>
                <w:szCs w:val="18"/>
                <w:color w:val="auto"/>
              </w:rPr>
              <w:t>enterprises</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3,422</w:t>
            </w:r>
          </w:p>
        </w:tc>
        <w:tc>
          <w:tcPr>
            <w:tcW w:w="380" w:type="dxa"/>
            <w:vAlign w:val="bottom"/>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262</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3,684</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Tax-exempt</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1,407</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39</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(96)</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Government—non-U.S.</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2,023</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126</w:t>
            </w:r>
          </w:p>
        </w:tc>
        <w:tc>
          <w:tcPr>
            <w:tcW w:w="80" w:type="dxa"/>
            <w:vAlign w:val="bottom"/>
          </w:tcPr>
          <w:p>
            <w:pPr>
              <w:spacing w:after="0"/>
              <w:rPr>
                <w:sz w:val="18"/>
                <w:szCs w:val="18"/>
                <w:color w:val="auto"/>
              </w:rPr>
            </w:pPr>
          </w:p>
        </w:tc>
        <w:tc>
          <w:tcPr>
            <w:tcW w:w="100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2,146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U.S. corporate</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22,529</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1,332</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(489)</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23,378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Corporate—non-U.S.</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w w:val="90"/>
              </w:rPr>
              <w:t>12,572</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494</w:t>
            </w:r>
          </w:p>
        </w:tc>
        <w:tc>
          <w:tcPr>
            <w:tcW w:w="8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(279)</w:t>
            </w:r>
          </w:p>
        </w:tc>
        <w:tc>
          <w:tcPr>
            <w:tcW w:w="80" w:type="dxa"/>
            <w:vAlign w:val="bottom"/>
          </w:tcPr>
          <w:p>
            <w:pPr>
              <w:spacing w:after="0"/>
              <w:rPr>
                <w:sz w:val="18"/>
                <w:szCs w:val="18"/>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12,799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Residential mortgage-backed </w:t>
            </w:r>
            <w:r>
              <w:rPr>
                <w:rFonts w:ascii="Arial" w:cs="Arial" w:eastAsia="Arial" w:hAnsi="Arial"/>
                <w:sz w:val="11"/>
                <w:szCs w:val="11"/>
                <w:color w:val="auto"/>
              </w:rPr>
              <w:t>(1)</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4,395</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160</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(347)</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Commercial mortgage-backed</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4,117</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152</w:t>
            </w:r>
          </w:p>
        </w:tc>
        <w:tc>
          <w:tcPr>
            <w:tcW w:w="8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(488)</w:t>
            </w:r>
          </w:p>
        </w:tc>
        <w:tc>
          <w:tcPr>
            <w:tcW w:w="8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(62)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3,726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Other asset-backed </w:t>
            </w:r>
            <w:r>
              <w:rPr>
                <w:rFonts w:ascii="Arial" w:cs="Arial" w:eastAsia="Arial" w:hAnsi="Arial"/>
                <w:sz w:val="11"/>
                <w:szCs w:val="11"/>
                <w:color w:val="auto"/>
              </w:rPr>
              <w:t>(1)</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2,640</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18</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(297)</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fixed maturity securities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488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w w:val="90"/>
              </w:rPr>
              <w:t>53,105</w:t>
            </w:r>
          </w:p>
        </w:tc>
        <w:tc>
          <w:tcPr>
            <w:tcW w:w="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2,583</w:t>
            </w:r>
          </w:p>
        </w:tc>
        <w:tc>
          <w:tcPr>
            <w:tcW w:w="80" w:type="dxa"/>
            <w:vAlign w:val="bottom"/>
          </w:tcPr>
          <w:p>
            <w:pPr>
              <w:spacing w:after="0"/>
              <w:rPr>
                <w:sz w:val="19"/>
                <w:szCs w:val="19"/>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19"/>
                <w:szCs w:val="19"/>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(1,999)</w:t>
            </w:r>
          </w:p>
        </w:tc>
        <w:tc>
          <w:tcPr>
            <w:tcW w:w="80" w:type="dxa"/>
            <w:vAlign w:val="bottom"/>
          </w:tcPr>
          <w:p>
            <w:pPr>
              <w:spacing w:after="0"/>
              <w:rPr>
                <w:sz w:val="19"/>
                <w:szCs w:val="19"/>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(337)</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53,386</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13</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(6)</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available-for-sale securities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4880" w:type="dxa"/>
            <w:vAlign w:val="bottom"/>
            <w:gridSpan w:val="2"/>
            <w:vMerge w:val="continue"/>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20" w:type="dxa"/>
            <w:vAlign w:val="bottom"/>
          </w:tcPr>
          <w:p>
            <w:pPr>
              <w:jc w:val="right"/>
              <w:spacing w:after="0"/>
              <w:rPr>
                <w:sz w:val="20"/>
                <w:szCs w:val="20"/>
                <w:color w:val="auto"/>
              </w:rPr>
            </w:pPr>
            <w:r>
              <w:rPr>
                <w:rFonts w:ascii="Arial" w:cs="Arial" w:eastAsia="Arial" w:hAnsi="Arial"/>
                <w:sz w:val="18"/>
                <w:szCs w:val="18"/>
                <w:color w:val="auto"/>
                <w:w w:val="90"/>
              </w:rPr>
              <w:t>53,297</w:t>
            </w:r>
          </w:p>
        </w:tc>
        <w:tc>
          <w:tcPr>
            <w:tcW w:w="380" w:type="dxa"/>
            <w:vAlign w:val="bottom"/>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2,596</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(2,005)</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(337)</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53,585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460" w:right="420" w:hanging="452"/>
        <w:spacing w:after="0" w:line="228" w:lineRule="auto"/>
        <w:tabs>
          <w:tab w:leader="none" w:pos="460" w:val="left"/>
        </w:tabs>
        <w:numPr>
          <w:ilvl w:val="0"/>
          <w:numId w:val="107"/>
        </w:numPr>
        <w:rPr>
          <w:rFonts w:ascii="Arial" w:cs="Arial" w:eastAsia="Arial" w:hAnsi="Arial"/>
          <w:sz w:val="22"/>
          <w:szCs w:val="22"/>
          <w:color w:val="auto"/>
          <w:vertAlign w:val="superscript"/>
        </w:rPr>
      </w:pPr>
      <w:r>
        <w:rPr>
          <w:rFonts w:ascii="Arial" w:cs="Arial" w:eastAsia="Arial" w:hAnsi="Arial"/>
          <w:sz w:val="18"/>
          <w:szCs w:val="18"/>
          <w:color w:val="auto"/>
        </w:rPr>
        <w:t>Fair value included $434 million collateralized by sub-prime residential mortgage loans and $358 million collateralized by Alt-A residential mortgage loans.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28980"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118</w:t>
      </w:r>
    </w:p>
    <w:p>
      <w:pPr>
        <w:sectPr>
          <w:pgSz w:w="11900" w:h="16838" w:orient="portrait"/>
          <w:cols w:equalWidth="0" w:num="1">
            <w:col w:w="11420"/>
          </w:cols>
          <w:pgMar w:left="240" w:top="459" w:right="239" w:bottom="1440" w:gutter="0" w:footer="0" w:header="0"/>
        </w:sectPr>
      </w:pPr>
    </w:p>
    <w:bookmarkStart w:id="118" w:name="page119"/>
    <w:bookmarkEnd w:id="1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As of December 31, 2009, the amortized cost or cost, gross unrealized gains (losses) and fair value of our fixed maturity and equity securities classified as available-for-sale were as follows:</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10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4"/>
                <w:szCs w:val="14"/>
                <w:color w:val="auto"/>
              </w:rPr>
            </w:pPr>
          </w:p>
        </w:tc>
        <w:tc>
          <w:tcPr>
            <w:tcW w:w="2260" w:type="dxa"/>
            <w:vAlign w:val="bottom"/>
            <w:gridSpan w:val="5"/>
          </w:tcPr>
          <w:p>
            <w:pPr>
              <w:jc w:val="right"/>
              <w:ind w:right="720"/>
              <w:spacing w:after="0"/>
              <w:rPr>
                <w:sz w:val="20"/>
                <w:szCs w:val="20"/>
                <w:color w:val="auto"/>
              </w:rPr>
            </w:pPr>
            <w:r>
              <w:rPr>
                <w:rFonts w:ascii="Arial" w:cs="Arial" w:eastAsia="Arial" w:hAnsi="Arial"/>
                <w:sz w:val="14"/>
                <w:szCs w:val="14"/>
                <w:b w:val="1"/>
                <w:bCs w:val="1"/>
                <w:color w:val="auto"/>
                <w:w w:val="98"/>
              </w:rPr>
              <w:t>Gross unrealized gains</w:t>
            </w:r>
          </w:p>
        </w:tc>
        <w:tc>
          <w:tcPr>
            <w:tcW w:w="100" w:type="dxa"/>
            <w:vAlign w:val="bottom"/>
          </w:tcPr>
          <w:p>
            <w:pPr>
              <w:spacing w:after="0"/>
              <w:rPr>
                <w:sz w:val="14"/>
                <w:szCs w:val="14"/>
                <w:color w:val="auto"/>
              </w:rPr>
            </w:pPr>
          </w:p>
        </w:tc>
        <w:tc>
          <w:tcPr>
            <w:tcW w:w="2260" w:type="dxa"/>
            <w:vAlign w:val="bottom"/>
            <w:gridSpan w:val="5"/>
          </w:tcPr>
          <w:p>
            <w:pPr>
              <w:jc w:val="right"/>
              <w:ind w:right="640"/>
              <w:spacing w:after="0"/>
              <w:rPr>
                <w:sz w:val="20"/>
                <w:szCs w:val="20"/>
                <w:color w:val="auto"/>
              </w:rPr>
            </w:pPr>
            <w:r>
              <w:rPr>
                <w:rFonts w:ascii="Arial" w:cs="Arial" w:eastAsia="Arial" w:hAnsi="Arial"/>
                <w:sz w:val="14"/>
                <w:szCs w:val="14"/>
                <w:b w:val="1"/>
                <w:bCs w:val="1"/>
                <w:color w:val="auto"/>
                <w:w w:val="99"/>
              </w:rPr>
              <w:t>Gross unrealized losses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3560" w:type="dxa"/>
            <w:vAlign w:val="bottom"/>
          </w:tcPr>
          <w:p>
            <w:pPr>
              <w:spacing w:after="0"/>
              <w:rPr>
                <w:sz w:val="11"/>
                <w:szCs w:val="11"/>
                <w:color w:val="auto"/>
              </w:rPr>
            </w:pPr>
          </w:p>
        </w:tc>
        <w:tc>
          <w:tcPr>
            <w:tcW w:w="1000" w:type="dxa"/>
            <w:vAlign w:val="bottom"/>
            <w:gridSpan w:val="3"/>
            <w:vMerge w:val="continue"/>
          </w:tcPr>
          <w:p>
            <w:pPr>
              <w:spacing w:after="0"/>
              <w:rPr>
                <w:sz w:val="11"/>
                <w:szCs w:val="11"/>
                <w:color w:val="auto"/>
              </w:rPr>
            </w:pPr>
          </w:p>
        </w:tc>
        <w:tc>
          <w:tcPr>
            <w:tcW w:w="1280" w:type="dxa"/>
            <w:vAlign w:val="bottom"/>
            <w:tcBorders>
              <w:top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Not other-than-</w:t>
            </w:r>
          </w:p>
        </w:tc>
        <w:tc>
          <w:tcPr>
            <w:tcW w:w="70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9"/>
              </w:rPr>
              <w:t>Other-than-</w:t>
            </w:r>
          </w:p>
        </w:tc>
        <w:tc>
          <w:tcPr>
            <w:tcW w:w="380" w:type="dxa"/>
            <w:vAlign w:val="bottom"/>
          </w:tcPr>
          <w:p>
            <w:pPr>
              <w:spacing w:after="0"/>
              <w:rPr>
                <w:sz w:val="11"/>
                <w:szCs w:val="11"/>
                <w:color w:val="auto"/>
              </w:rPr>
            </w:pPr>
          </w:p>
        </w:tc>
        <w:tc>
          <w:tcPr>
            <w:tcW w:w="1400" w:type="dxa"/>
            <w:vAlign w:val="bottom"/>
            <w:tcBorders>
              <w:top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Not other-than-</w:t>
            </w:r>
          </w:p>
        </w:tc>
        <w:tc>
          <w:tcPr>
            <w:tcW w:w="70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9"/>
              </w:rPr>
              <w:t>Other-than-</w:t>
            </w: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3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1"/>
              </w:rPr>
              <w:t>cost or</w:t>
            </w:r>
          </w:p>
        </w:tc>
        <w:tc>
          <w:tcPr>
            <w:tcW w:w="100" w:type="dxa"/>
            <w:vAlign w:val="bottom"/>
          </w:tcPr>
          <w:p>
            <w:pPr>
              <w:spacing w:after="0"/>
              <w:rPr>
                <w:sz w:val="12"/>
                <w:szCs w:val="12"/>
                <w:color w:val="auto"/>
              </w:rPr>
            </w:pPr>
          </w:p>
        </w:tc>
        <w:tc>
          <w:tcPr>
            <w:tcW w:w="1180" w:type="dxa"/>
            <w:vAlign w:val="bottom"/>
            <w:gridSpan w:val="2"/>
          </w:tcPr>
          <w:p>
            <w:pPr>
              <w:jc w:val="right"/>
              <w:ind w:right="480"/>
              <w:spacing w:after="0" w:line="149" w:lineRule="exact"/>
              <w:rPr>
                <w:sz w:val="20"/>
                <w:szCs w:val="20"/>
                <w:color w:val="auto"/>
              </w:rPr>
            </w:pPr>
            <w:r>
              <w:rPr>
                <w:rFonts w:ascii="Arial" w:cs="Arial" w:eastAsia="Arial" w:hAnsi="Arial"/>
                <w:sz w:val="14"/>
                <w:szCs w:val="14"/>
                <w:b w:val="1"/>
                <w:bCs w:val="1"/>
                <w:color w:val="auto"/>
                <w:w w:val="89"/>
              </w:rPr>
              <w:t>temporarily</w:t>
            </w:r>
          </w:p>
        </w:tc>
        <w:tc>
          <w:tcPr>
            <w:tcW w:w="10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temporarily</w:t>
            </w:r>
          </w:p>
        </w:tc>
        <w:tc>
          <w:tcPr>
            <w:tcW w:w="100" w:type="dxa"/>
            <w:vAlign w:val="bottom"/>
          </w:tcPr>
          <w:p>
            <w:pPr>
              <w:spacing w:after="0"/>
              <w:rPr>
                <w:sz w:val="12"/>
                <w:szCs w:val="12"/>
                <w:color w:val="auto"/>
              </w:rPr>
            </w:pPr>
          </w:p>
        </w:tc>
        <w:tc>
          <w:tcPr>
            <w:tcW w:w="1300" w:type="dxa"/>
            <w:vAlign w:val="bottom"/>
            <w:gridSpan w:val="2"/>
          </w:tcPr>
          <w:p>
            <w:pPr>
              <w:jc w:val="right"/>
              <w:ind w:right="600"/>
              <w:spacing w:after="0" w:line="149" w:lineRule="exact"/>
              <w:rPr>
                <w:sz w:val="20"/>
                <w:szCs w:val="20"/>
                <w:color w:val="auto"/>
              </w:rPr>
            </w:pPr>
            <w:r>
              <w:rPr>
                <w:rFonts w:ascii="Arial" w:cs="Arial" w:eastAsia="Arial" w:hAnsi="Arial"/>
                <w:sz w:val="14"/>
                <w:szCs w:val="14"/>
                <w:b w:val="1"/>
                <w:bCs w:val="1"/>
                <w:color w:val="auto"/>
                <w:w w:val="89"/>
              </w:rPr>
              <w:t>temporarily</w:t>
            </w:r>
          </w:p>
        </w:tc>
        <w:tc>
          <w:tcPr>
            <w:tcW w:w="9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temporarily</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ind w:right="75"/>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61"/>
        </w:trPr>
        <w:tc>
          <w:tcPr>
            <w:tcW w:w="490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0" w:type="dxa"/>
            <w:vAlign w:val="bottom"/>
          </w:tcPr>
          <w:p>
            <w:pPr>
              <w:spacing w:after="0"/>
              <w:rPr>
                <w:sz w:val="14"/>
                <w:szCs w:val="14"/>
                <w:color w:val="auto"/>
              </w:rPr>
            </w:pPr>
          </w:p>
        </w:tc>
        <w:tc>
          <w:tcPr>
            <w:tcW w:w="90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76"/>
              </w:rPr>
              <w:t>cost</w:t>
            </w:r>
          </w:p>
        </w:tc>
        <w:tc>
          <w:tcPr>
            <w:tcW w:w="100" w:type="dxa"/>
            <w:vAlign w:val="bottom"/>
          </w:tcPr>
          <w:p>
            <w:pPr>
              <w:spacing w:after="0"/>
              <w:rPr>
                <w:sz w:val="14"/>
                <w:szCs w:val="14"/>
                <w:color w:val="auto"/>
              </w:rPr>
            </w:pPr>
          </w:p>
        </w:tc>
        <w:tc>
          <w:tcPr>
            <w:tcW w:w="118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rPr>
              <w:t>impaired</w:t>
            </w:r>
          </w:p>
        </w:tc>
        <w:tc>
          <w:tcPr>
            <w:tcW w:w="80" w:type="dxa"/>
            <w:vAlign w:val="bottom"/>
          </w:tcPr>
          <w:p>
            <w:pPr>
              <w:spacing w:after="0"/>
              <w:rPr>
                <w:sz w:val="14"/>
                <w:szCs w:val="14"/>
                <w:color w:val="auto"/>
              </w:rPr>
            </w:pPr>
          </w:p>
        </w:tc>
        <w:tc>
          <w:tcPr>
            <w:tcW w:w="100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w w:val="89"/>
              </w:rPr>
              <w:t>impaired</w:t>
            </w:r>
          </w:p>
        </w:tc>
        <w:tc>
          <w:tcPr>
            <w:tcW w:w="100" w:type="dxa"/>
            <w:vAlign w:val="bottom"/>
          </w:tcPr>
          <w:p>
            <w:pPr>
              <w:spacing w:after="0"/>
              <w:rPr>
                <w:sz w:val="14"/>
                <w:szCs w:val="14"/>
                <w:color w:val="auto"/>
              </w:rPr>
            </w:pPr>
          </w:p>
        </w:tc>
        <w:tc>
          <w:tcPr>
            <w:tcW w:w="130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rPr>
              <w:t>impaired</w:t>
            </w:r>
          </w:p>
        </w:tc>
        <w:tc>
          <w:tcPr>
            <w:tcW w:w="80" w:type="dxa"/>
            <w:vAlign w:val="bottom"/>
          </w:tcPr>
          <w:p>
            <w:pPr>
              <w:spacing w:after="0"/>
              <w:rPr>
                <w:sz w:val="14"/>
                <w:szCs w:val="14"/>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5"/>
              </w:rPr>
              <w:t>impaired</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jc w:val="right"/>
              <w:ind w:right="55"/>
              <w:spacing w:after="0"/>
              <w:rPr>
                <w:sz w:val="20"/>
                <w:szCs w:val="20"/>
                <w:color w:val="auto"/>
              </w:rPr>
            </w:pPr>
            <w:r>
              <w:rPr>
                <w:rFonts w:ascii="Arial" w:cs="Arial" w:eastAsia="Arial" w:hAnsi="Arial"/>
                <w:sz w:val="14"/>
                <w:szCs w:val="14"/>
                <w:b w:val="1"/>
                <w:bCs w:val="1"/>
                <w:color w:val="auto"/>
                <w:w w:val="89"/>
              </w:rPr>
              <w:t>value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U.S. government, agencies and government-sponsored</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880" w:type="dxa"/>
            <w:vAlign w:val="bottom"/>
            <w:gridSpan w:val="2"/>
          </w:tcPr>
          <w:p>
            <w:pPr>
              <w:ind w:left="640"/>
              <w:spacing w:after="0"/>
              <w:rPr>
                <w:sz w:val="20"/>
                <w:szCs w:val="20"/>
                <w:color w:val="auto"/>
              </w:rPr>
            </w:pPr>
            <w:r>
              <w:rPr>
                <w:rFonts w:ascii="Arial" w:cs="Arial" w:eastAsia="Arial" w:hAnsi="Arial"/>
                <w:sz w:val="18"/>
                <w:szCs w:val="18"/>
                <w:color w:val="auto"/>
              </w:rPr>
              <w:t>enterprises</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2,673</w:t>
            </w:r>
          </w:p>
        </w:tc>
        <w:tc>
          <w:tcPr>
            <w:tcW w:w="380" w:type="dxa"/>
            <w:vAlign w:val="bottom"/>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25</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(96)</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2,602</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Tax-exempt</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1,606</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42</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(104)</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Government—non-U.S.</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2,310</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96</w:t>
            </w:r>
          </w:p>
        </w:tc>
        <w:tc>
          <w:tcPr>
            <w:tcW w:w="80" w:type="dxa"/>
            <w:vAlign w:val="bottom"/>
          </w:tcPr>
          <w:p>
            <w:pPr>
              <w:spacing w:after="0"/>
              <w:rPr>
                <w:sz w:val="18"/>
                <w:szCs w:val="18"/>
                <w:color w:val="auto"/>
              </w:rPr>
            </w:pPr>
          </w:p>
        </w:tc>
        <w:tc>
          <w:tcPr>
            <w:tcW w:w="100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(22)</w:t>
            </w:r>
          </w:p>
        </w:tc>
        <w:tc>
          <w:tcPr>
            <w:tcW w:w="80" w:type="dxa"/>
            <w:vAlign w:val="bottom"/>
          </w:tcPr>
          <w:p>
            <w:pPr>
              <w:spacing w:after="0"/>
              <w:rPr>
                <w:sz w:val="18"/>
                <w:szCs w:val="18"/>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2,384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U.S. corporate</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21,598</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628</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(814)</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21,412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Corporate—non-U.S.</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w w:val="90"/>
              </w:rPr>
              <w:t>12,530</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366</w:t>
            </w:r>
          </w:p>
        </w:tc>
        <w:tc>
          <w:tcPr>
            <w:tcW w:w="8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(356)</w:t>
            </w:r>
          </w:p>
        </w:tc>
        <w:tc>
          <w:tcPr>
            <w:tcW w:w="80" w:type="dxa"/>
            <w:vAlign w:val="bottom"/>
          </w:tcPr>
          <w:p>
            <w:pPr>
              <w:spacing w:after="0"/>
              <w:rPr>
                <w:sz w:val="18"/>
                <w:szCs w:val="18"/>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12,551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Residential mortgage-backed </w:t>
            </w:r>
            <w:r>
              <w:rPr>
                <w:rFonts w:ascii="Arial" w:cs="Arial" w:eastAsia="Arial" w:hAnsi="Arial"/>
                <w:sz w:val="11"/>
                <w:szCs w:val="11"/>
                <w:color w:val="auto"/>
              </w:rPr>
              <w:t>(1)</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3,989</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41</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(484)</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(326)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tcPr>
          <w:p>
            <w:pPr>
              <w:ind w:left="420"/>
              <w:spacing w:after="0"/>
              <w:rPr>
                <w:sz w:val="20"/>
                <w:szCs w:val="20"/>
                <w:color w:val="auto"/>
              </w:rPr>
            </w:pPr>
            <w:r>
              <w:rPr>
                <w:rFonts w:ascii="Arial" w:cs="Arial" w:eastAsia="Arial" w:hAnsi="Arial"/>
                <w:sz w:val="18"/>
                <w:szCs w:val="18"/>
                <w:color w:val="auto"/>
              </w:rPr>
              <w:t>Commercial mortgage-backed</w:t>
            </w: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4,404</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44</w:t>
            </w:r>
          </w:p>
        </w:tc>
        <w:tc>
          <w:tcPr>
            <w:tcW w:w="8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(738)</w:t>
            </w:r>
          </w:p>
        </w:tc>
        <w:tc>
          <w:tcPr>
            <w:tcW w:w="8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(97)</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3,617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 xml:space="preserve">Other asset-backed </w:t>
            </w:r>
            <w:r>
              <w:rPr>
                <w:rFonts w:ascii="Arial" w:cs="Arial" w:eastAsia="Arial" w:hAnsi="Arial"/>
                <w:sz w:val="11"/>
                <w:szCs w:val="11"/>
                <w:color w:val="auto"/>
              </w:rPr>
              <w:t>(1)</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2,887</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(466)</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(14)</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fixed maturity securities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488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w w:val="90"/>
              </w:rPr>
              <w:t>51,997</w:t>
            </w:r>
          </w:p>
        </w:tc>
        <w:tc>
          <w:tcPr>
            <w:tcW w:w="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1,250</w:t>
            </w:r>
          </w:p>
        </w:tc>
        <w:tc>
          <w:tcPr>
            <w:tcW w:w="80" w:type="dxa"/>
            <w:vAlign w:val="bottom"/>
          </w:tcPr>
          <w:p>
            <w:pPr>
              <w:spacing w:after="0"/>
              <w:rPr>
                <w:sz w:val="19"/>
                <w:szCs w:val="19"/>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19"/>
                <w:szCs w:val="19"/>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(3,080)</w:t>
            </w:r>
          </w:p>
        </w:tc>
        <w:tc>
          <w:tcPr>
            <w:tcW w:w="80" w:type="dxa"/>
            <w:vAlign w:val="bottom"/>
          </w:tcPr>
          <w:p>
            <w:pPr>
              <w:spacing w:after="0"/>
              <w:rPr>
                <w:sz w:val="19"/>
                <w:szCs w:val="19"/>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(440)</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49,752</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23</w:t>
            </w: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available-for-sale securities</w:t>
            </w: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4880" w:type="dxa"/>
            <w:vAlign w:val="bottom"/>
            <w:gridSpan w:val="2"/>
            <w:vMerge w:val="continue"/>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20" w:type="dxa"/>
            <w:vAlign w:val="bottom"/>
          </w:tcPr>
          <w:p>
            <w:pPr>
              <w:jc w:val="right"/>
              <w:spacing w:after="0"/>
              <w:rPr>
                <w:sz w:val="20"/>
                <w:szCs w:val="20"/>
                <w:color w:val="auto"/>
              </w:rPr>
            </w:pPr>
            <w:r>
              <w:rPr>
                <w:rFonts w:ascii="Arial" w:cs="Arial" w:eastAsia="Arial" w:hAnsi="Arial"/>
                <w:sz w:val="18"/>
                <w:szCs w:val="18"/>
                <w:color w:val="auto"/>
                <w:w w:val="90"/>
              </w:rPr>
              <w:t>52,136</w:t>
            </w:r>
          </w:p>
        </w:tc>
        <w:tc>
          <w:tcPr>
            <w:tcW w:w="380" w:type="dxa"/>
            <w:vAlign w:val="bottom"/>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1,273</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(3,083)</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(440)</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49,911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460" w:right="420" w:hanging="452"/>
        <w:spacing w:after="0" w:line="228" w:lineRule="auto"/>
        <w:tabs>
          <w:tab w:leader="none" w:pos="460" w:val="left"/>
        </w:tabs>
        <w:numPr>
          <w:ilvl w:val="0"/>
          <w:numId w:val="108"/>
        </w:numPr>
        <w:rPr>
          <w:rFonts w:ascii="Arial" w:cs="Arial" w:eastAsia="Arial" w:hAnsi="Arial"/>
          <w:sz w:val="22"/>
          <w:szCs w:val="22"/>
          <w:color w:val="auto"/>
          <w:vertAlign w:val="superscript"/>
        </w:rPr>
      </w:pPr>
      <w:r>
        <w:rPr>
          <w:rFonts w:ascii="Arial" w:cs="Arial" w:eastAsia="Arial" w:hAnsi="Arial"/>
          <w:sz w:val="18"/>
          <w:szCs w:val="18"/>
          <w:color w:val="auto"/>
        </w:rPr>
        <w:t>Fair value included $422 million collateralized by sub-prime residential mortgage loans and $369 million collateralized by Alt-A residential mortgage loans.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28980"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7"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Fixed maturity securities increased $3.6 billion primarily attributable to improved market performance as our fixed maturity securities were in a net unrealized gain position as of June 30, 2010 as compared to a net unrealized loss position as of December 31, 2009. The increase is also attributable to purchases of fixed maturity securities during 2010 as we continue to reinvest cash.</w:t>
      </w:r>
    </w:p>
    <w:p>
      <w:pPr>
        <w:spacing w:after="0" w:line="140"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We allocate net unrealized investment gains (losses) from Corporate and Other activities to our Retirement and Protection segment using an approach based principally upon the investment portfolio established to support the segment’s products and targeted capital levels. We do not allocate net unrealized investment gains (losses) from Corporate and Other activities to our International and U.S. Mortgage Insurance segments because they have their own separate investment portfolios, and net unrealized investment gains (losses) from those portfolios are reflected in the International and U.S. Mortgage Insurance segment balance sheets, respectively. The majority of our unrealized losses related to securities held within our Retirement and Protection segment. Our U.S. Mortgage Insurance segment had gross unrealized losses of $102 million and $134 million as of June 30, 2010 and December 31, 2009, respectively.</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119</w:t>
      </w:r>
    </w:p>
    <w:p>
      <w:pPr>
        <w:sectPr>
          <w:pgSz w:w="11900" w:h="16838" w:orient="portrait"/>
          <w:cols w:equalWidth="0" w:num="1">
            <w:col w:w="11420"/>
          </w:cols>
          <w:pgMar w:left="240" w:top="459" w:right="239" w:bottom="1440" w:gutter="0" w:footer="0" w:header="0"/>
        </w:sectPr>
      </w:pPr>
    </w:p>
    <w:bookmarkStart w:id="119" w:name="page120"/>
    <w:bookmarkEnd w:id="1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Our sub-prime securities were principally backed by first lien mortgages. We did not have any exposure to interest margin deals, highly leveraged transactions or collateralized debt obligation-squared investments. The fair value of our mortgage-backed and asset-backed securities collateralized by sub-prime residential mortgage loans by rating and vintage was as follows as of June 30, 2010:</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40" w:type="dxa"/>
            <w:vAlign w:val="bottom"/>
          </w:tcPr>
          <w:p>
            <w:pPr>
              <w:jc w:val="right"/>
              <w:ind w:right="74"/>
              <w:spacing w:after="0"/>
              <w:rPr>
                <w:sz w:val="20"/>
                <w:szCs w:val="20"/>
                <w:color w:val="auto"/>
              </w:rPr>
            </w:pPr>
            <w:r>
              <w:rPr>
                <w:rFonts w:ascii="Arial" w:cs="Arial" w:eastAsia="Arial" w:hAnsi="Arial"/>
                <w:sz w:val="14"/>
                <w:szCs w:val="14"/>
                <w:b w:val="1"/>
                <w:bCs w:val="1"/>
                <w:color w:val="auto"/>
                <w:w w:val="83"/>
              </w:rPr>
              <w:t>2004</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61"/>
        </w:trPr>
        <w:tc>
          <w:tcPr>
            <w:tcW w:w="806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560" w:type="dxa"/>
            <w:vAlign w:val="bottom"/>
            <w:gridSpan w:val="2"/>
          </w:tcPr>
          <w:p>
            <w:pPr>
              <w:spacing w:after="0"/>
              <w:rPr>
                <w:sz w:val="20"/>
                <w:szCs w:val="20"/>
                <w:color w:val="auto"/>
              </w:rPr>
            </w:pPr>
            <w:r>
              <w:rPr>
                <w:rFonts w:ascii="Arial" w:cs="Arial" w:eastAsia="Arial" w:hAnsi="Arial"/>
                <w:sz w:val="14"/>
                <w:szCs w:val="14"/>
                <w:b w:val="1"/>
                <w:bCs w:val="1"/>
                <w:color w:val="auto"/>
                <w:w w:val="88"/>
              </w:rPr>
              <w:t>and prior</w:t>
            </w:r>
          </w:p>
        </w:tc>
        <w:tc>
          <w:tcPr>
            <w:tcW w:w="700" w:type="dxa"/>
            <w:vAlign w:val="bottom"/>
            <w:gridSpan w:val="3"/>
          </w:tcPr>
          <w:p>
            <w:pPr>
              <w:jc w:val="right"/>
              <w:spacing w:after="0"/>
              <w:rPr>
                <w:sz w:val="20"/>
                <w:szCs w:val="20"/>
                <w:color w:val="auto"/>
              </w:rPr>
            </w:pPr>
            <w:r>
              <w:rPr>
                <w:rFonts w:ascii="Arial" w:cs="Arial" w:eastAsia="Arial" w:hAnsi="Arial"/>
                <w:sz w:val="14"/>
                <w:szCs w:val="14"/>
                <w:b w:val="1"/>
                <w:bCs w:val="1"/>
                <w:color w:val="auto"/>
              </w:rPr>
              <w:t>2005</w:t>
            </w:r>
          </w:p>
        </w:tc>
        <w:tc>
          <w:tcPr>
            <w:tcW w:w="340" w:type="dxa"/>
            <w:vAlign w:val="bottom"/>
          </w:tcPr>
          <w:p>
            <w:pPr>
              <w:spacing w:after="0"/>
              <w:rPr>
                <w:sz w:val="14"/>
                <w:szCs w:val="14"/>
                <w:color w:val="auto"/>
              </w:rPr>
            </w:pP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w w:val="89"/>
              </w:rPr>
              <w:t>2006</w:t>
            </w:r>
          </w:p>
        </w:tc>
        <w:tc>
          <w:tcPr>
            <w:tcW w:w="700" w:type="dxa"/>
            <w:vAlign w:val="bottom"/>
            <w:gridSpan w:val="3"/>
          </w:tcPr>
          <w:p>
            <w:pPr>
              <w:jc w:val="center"/>
              <w:ind w:left="259"/>
              <w:spacing w:after="0"/>
              <w:rPr>
                <w:sz w:val="20"/>
                <w:szCs w:val="20"/>
                <w:color w:val="auto"/>
              </w:rPr>
            </w:pPr>
            <w:r>
              <w:rPr>
                <w:rFonts w:ascii="Arial" w:cs="Arial" w:eastAsia="Arial" w:hAnsi="Arial"/>
                <w:sz w:val="14"/>
                <w:szCs w:val="14"/>
                <w:b w:val="1"/>
                <w:bCs w:val="1"/>
                <w:color w:val="auto"/>
                <w:w w:val="89"/>
              </w:rPr>
              <w:t>2007</w:t>
            </w:r>
          </w:p>
        </w:tc>
        <w:tc>
          <w:tcPr>
            <w:tcW w:w="340" w:type="dxa"/>
            <w:vAlign w:val="bottom"/>
          </w:tcPr>
          <w:p>
            <w:pPr>
              <w:spacing w:after="0"/>
              <w:rPr>
                <w:sz w:val="14"/>
                <w:szCs w:val="14"/>
                <w:color w:val="auto"/>
              </w:rPr>
            </w:pPr>
          </w:p>
        </w:tc>
        <w:tc>
          <w:tcPr>
            <w:tcW w:w="380" w:type="dxa"/>
            <w:vAlign w:val="bottom"/>
            <w:gridSpan w:val="2"/>
          </w:tcPr>
          <w:p>
            <w:pPr>
              <w:ind w:left="40"/>
              <w:spacing w:after="0"/>
              <w:rPr>
                <w:sz w:val="20"/>
                <w:szCs w:val="20"/>
                <w:color w:val="auto"/>
              </w:rPr>
            </w:pPr>
            <w:r>
              <w:rPr>
                <w:rFonts w:ascii="Arial" w:cs="Arial" w:eastAsia="Arial" w:hAnsi="Arial"/>
                <w:sz w:val="14"/>
                <w:szCs w:val="14"/>
                <w:b w:val="1"/>
                <w:bCs w:val="1"/>
                <w:color w:val="auto"/>
                <w:w w:val="95"/>
              </w:rPr>
              <w:t>Total</w:t>
            </w: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 xml:space="preserve">Ratings </w:t>
            </w:r>
            <w:r>
              <w:rPr>
                <w:rFonts w:ascii="Arial" w:cs="Arial" w:eastAsia="Arial" w:hAnsi="Arial"/>
                <w:sz w:val="11"/>
                <w:szCs w:val="11"/>
                <w:color w:val="auto"/>
              </w:rPr>
              <w:t>(1)</w:t>
            </w:r>
            <w:r>
              <w:rPr>
                <w:rFonts w:ascii="Arial" w:cs="Arial" w:eastAsia="Arial" w:hAnsi="Arial"/>
                <w:sz w:val="18"/>
                <w:szCs w:val="18"/>
                <w:color w:val="auto"/>
              </w:rPr>
              <w:t xml:space="preserve"> :</w:t>
            </w:r>
          </w:p>
        </w:tc>
        <w:tc>
          <w:tcPr>
            <w:tcW w:w="67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tcPr>
          <w:p>
            <w:pPr>
              <w:spacing w:after="0"/>
              <w:rPr>
                <w:sz w:val="20"/>
                <w:szCs w:val="20"/>
                <w:color w:val="auto"/>
              </w:rPr>
            </w:pPr>
            <w:r>
              <w:rPr>
                <w:rFonts w:ascii="Arial" w:cs="Arial" w:eastAsia="Arial" w:hAnsi="Arial"/>
                <w:sz w:val="18"/>
                <w:szCs w:val="18"/>
                <w:color w:val="auto"/>
              </w:rPr>
              <w:t>AAA</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44</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340"/>
              <w:spacing w:after="0"/>
              <w:rPr>
                <w:sz w:val="20"/>
                <w:szCs w:val="20"/>
                <w:color w:val="auto"/>
              </w:rPr>
            </w:pPr>
            <w:r>
              <w:rPr>
                <w:rFonts w:ascii="Arial" w:cs="Arial" w:eastAsia="Arial" w:hAnsi="Arial"/>
                <w:sz w:val="18"/>
                <w:szCs w:val="18"/>
                <w:color w:val="auto"/>
              </w:rPr>
              <w:t>7</w:t>
            </w:r>
          </w:p>
        </w:tc>
        <w:tc>
          <w:tcPr>
            <w:tcW w:w="360" w:type="dxa"/>
            <w:vAlign w:val="bottom"/>
          </w:tcPr>
          <w:p>
            <w:pPr>
              <w:jc w:val="right"/>
              <w:ind w:right="14"/>
              <w:spacing w:after="0"/>
              <w:rPr>
                <w:sz w:val="20"/>
                <w:szCs w:val="20"/>
                <w:color w:val="auto"/>
              </w:rPr>
            </w:pPr>
            <w:r>
              <w:rPr>
                <w:rFonts w:ascii="Arial" w:cs="Arial" w:eastAsia="Arial" w:hAnsi="Arial"/>
                <w:sz w:val="18"/>
                <w:szCs w:val="18"/>
                <w:color w:val="auto"/>
                <w:w w:val="85"/>
              </w:rPr>
              <w:t>$—</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$ 51</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AA</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17</w:t>
            </w:r>
          </w:p>
        </w:tc>
        <w:tc>
          <w:tcPr>
            <w:tcW w:w="3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tcPr>
          <w:p>
            <w:pPr>
              <w:spacing w:after="0"/>
              <w:rPr>
                <w:sz w:val="20"/>
                <w:szCs w:val="20"/>
                <w:color w:val="auto"/>
              </w:rPr>
            </w:pPr>
            <w:r>
              <w:rPr>
                <w:rFonts w:ascii="Arial" w:cs="Arial" w:eastAsia="Arial" w:hAnsi="Arial"/>
                <w:sz w:val="18"/>
                <w:szCs w:val="18"/>
                <w:color w:val="auto"/>
              </w:rPr>
              <w:t>A</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11</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340"/>
              <w:spacing w:after="0"/>
              <w:rPr>
                <w:sz w:val="20"/>
                <w:szCs w:val="20"/>
                <w:color w:val="auto"/>
              </w:rPr>
            </w:pPr>
            <w:r>
              <w:rPr>
                <w:rFonts w:ascii="Arial" w:cs="Arial" w:eastAsia="Arial" w:hAnsi="Arial"/>
                <w:sz w:val="18"/>
                <w:szCs w:val="18"/>
                <w:color w:val="auto"/>
              </w:rPr>
              <w:t>19</w:t>
            </w:r>
          </w:p>
        </w:tc>
        <w:tc>
          <w:tcPr>
            <w:tcW w:w="360" w:type="dxa"/>
            <w:vAlign w:val="bottom"/>
          </w:tcPr>
          <w:p>
            <w:pPr>
              <w:jc w:val="right"/>
              <w:spacing w:after="0"/>
              <w:rPr>
                <w:sz w:val="20"/>
                <w:szCs w:val="20"/>
                <w:color w:val="auto"/>
              </w:rPr>
            </w:pPr>
            <w:r>
              <w:rPr>
                <w:rFonts w:ascii="Arial" w:cs="Arial" w:eastAsia="Arial" w:hAnsi="Arial"/>
                <w:sz w:val="18"/>
                <w:szCs w:val="18"/>
                <w:color w:val="auto"/>
              </w:rPr>
              <w:t>3</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33</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BBB</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15</w:t>
            </w:r>
          </w:p>
        </w:tc>
        <w:tc>
          <w:tcPr>
            <w:tcW w:w="3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tcPr>
          <w:p>
            <w:pPr>
              <w:spacing w:after="0"/>
              <w:rPr>
                <w:sz w:val="20"/>
                <w:szCs w:val="20"/>
                <w:color w:val="auto"/>
              </w:rPr>
            </w:pPr>
            <w:r>
              <w:rPr>
                <w:rFonts w:ascii="Arial" w:cs="Arial" w:eastAsia="Arial" w:hAnsi="Arial"/>
                <w:sz w:val="18"/>
                <w:szCs w:val="18"/>
                <w:color w:val="auto"/>
              </w:rPr>
              <w:t>BB</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340"/>
              <w:spacing w:after="0"/>
              <w:rPr>
                <w:sz w:val="20"/>
                <w:szCs w:val="20"/>
                <w:color w:val="auto"/>
              </w:rPr>
            </w:pPr>
            <w:r>
              <w:rPr>
                <w:rFonts w:ascii="Arial" w:cs="Arial" w:eastAsia="Arial" w:hAnsi="Arial"/>
                <w:sz w:val="18"/>
                <w:szCs w:val="18"/>
                <w:color w:val="auto"/>
              </w:rPr>
              <w:t>25</w:t>
            </w:r>
          </w:p>
        </w:tc>
        <w:tc>
          <w:tcPr>
            <w:tcW w:w="36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37</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28</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2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8040" w:type="dxa"/>
            <w:vAlign w:val="bottom"/>
            <w:gridSpan w:val="2"/>
          </w:tcPr>
          <w:p>
            <w:pPr>
              <w:spacing w:after="0"/>
              <w:rPr>
                <w:sz w:val="20"/>
                <w:szCs w:val="20"/>
                <w:color w:val="auto"/>
              </w:rPr>
            </w:pPr>
            <w:r>
              <w:rPr>
                <w:rFonts w:ascii="Arial" w:cs="Arial" w:eastAsia="Arial" w:hAnsi="Arial"/>
                <w:sz w:val="18"/>
                <w:szCs w:val="18"/>
                <w:color w:val="auto"/>
              </w:rPr>
              <w:t>CCC and lower</w:t>
            </w:r>
          </w:p>
        </w:tc>
        <w:tc>
          <w:tcPr>
            <w:tcW w:w="12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w:t>
            </w:r>
          </w:p>
        </w:tc>
        <w:tc>
          <w:tcPr>
            <w:tcW w:w="340" w:type="dxa"/>
            <w:vAlign w:val="bottom"/>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w:t>
            </w:r>
          </w:p>
        </w:tc>
        <w:tc>
          <w:tcPr>
            <w:tcW w:w="3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340" w:type="dxa"/>
            <w:vAlign w:val="bottom"/>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w:t>
            </w:r>
          </w:p>
        </w:tc>
        <w:tc>
          <w:tcPr>
            <w:tcW w:w="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sub-prime securities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6"/>
              </w:rPr>
              <w:t>149</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5"/>
              </w:rPr>
              <w:t>$</w:t>
            </w:r>
            <w:r>
              <w:rPr>
                <w:rFonts w:ascii="Arial" w:cs="Arial" w:eastAsia="Arial" w:hAnsi="Arial"/>
                <w:sz w:val="18"/>
                <w:szCs w:val="18"/>
                <w:color w:val="auto"/>
                <w:w w:val="75"/>
              </w:rPr>
              <w:t xml:space="preserve"> 118</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434</w:t>
            </w:r>
          </w:p>
        </w:tc>
        <w:tc>
          <w:tcPr>
            <w:tcW w:w="2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7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09"/>
        </w:numPr>
        <w:rPr>
          <w:rFonts w:ascii="Arial" w:cs="Arial" w:eastAsia="Arial" w:hAnsi="Arial"/>
          <w:sz w:val="22"/>
          <w:szCs w:val="22"/>
          <w:color w:val="auto"/>
          <w:vertAlign w:val="superscript"/>
        </w:rPr>
      </w:pPr>
      <w:r>
        <w:rPr>
          <w:rFonts w:ascii="Arial" w:cs="Arial" w:eastAsia="Arial" w:hAnsi="Arial"/>
          <w:sz w:val="18"/>
          <w:szCs w:val="18"/>
          <w:color w:val="auto"/>
        </w:rPr>
        <w:t>Based on ratings as of June 30,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6"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The fair value of our mortgage-backed and asset-backed securities collateralized by sub-prime residential mortgage loans by rating and vintage was as follows as of December 31, 2009:</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40" w:type="dxa"/>
            <w:vAlign w:val="bottom"/>
          </w:tcPr>
          <w:p>
            <w:pPr>
              <w:jc w:val="right"/>
              <w:ind w:right="74"/>
              <w:spacing w:after="0"/>
              <w:rPr>
                <w:sz w:val="20"/>
                <w:szCs w:val="20"/>
                <w:color w:val="auto"/>
              </w:rPr>
            </w:pPr>
            <w:r>
              <w:rPr>
                <w:rFonts w:ascii="Arial" w:cs="Arial" w:eastAsia="Arial" w:hAnsi="Arial"/>
                <w:sz w:val="14"/>
                <w:szCs w:val="14"/>
                <w:b w:val="1"/>
                <w:bCs w:val="1"/>
                <w:color w:val="auto"/>
                <w:w w:val="83"/>
              </w:rPr>
              <w:t>2004</w:t>
            </w:r>
          </w:p>
        </w:tc>
        <w:tc>
          <w:tcPr>
            <w:tcW w:w="3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61"/>
        </w:trPr>
        <w:tc>
          <w:tcPr>
            <w:tcW w:w="806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560" w:type="dxa"/>
            <w:vAlign w:val="bottom"/>
            <w:gridSpan w:val="2"/>
          </w:tcPr>
          <w:p>
            <w:pPr>
              <w:spacing w:after="0"/>
              <w:rPr>
                <w:sz w:val="20"/>
                <w:szCs w:val="20"/>
                <w:color w:val="auto"/>
              </w:rPr>
            </w:pPr>
            <w:r>
              <w:rPr>
                <w:rFonts w:ascii="Arial" w:cs="Arial" w:eastAsia="Arial" w:hAnsi="Arial"/>
                <w:sz w:val="14"/>
                <w:szCs w:val="14"/>
                <w:b w:val="1"/>
                <w:bCs w:val="1"/>
                <w:color w:val="auto"/>
                <w:w w:val="88"/>
              </w:rPr>
              <w:t>and prior</w:t>
            </w:r>
          </w:p>
        </w:tc>
        <w:tc>
          <w:tcPr>
            <w:tcW w:w="70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2005</w:t>
            </w:r>
          </w:p>
        </w:tc>
        <w:tc>
          <w:tcPr>
            <w:tcW w:w="340" w:type="dxa"/>
            <w:vAlign w:val="bottom"/>
          </w:tcPr>
          <w:p>
            <w:pPr>
              <w:spacing w:after="0"/>
              <w:rPr>
                <w:sz w:val="14"/>
                <w:szCs w:val="14"/>
                <w:color w:val="auto"/>
              </w:rPr>
            </w:pP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w w:val="89"/>
              </w:rPr>
              <w:t>2006</w:t>
            </w:r>
          </w:p>
        </w:tc>
        <w:tc>
          <w:tcPr>
            <w:tcW w:w="700" w:type="dxa"/>
            <w:vAlign w:val="bottom"/>
            <w:gridSpan w:val="3"/>
          </w:tcPr>
          <w:p>
            <w:pPr>
              <w:jc w:val="center"/>
              <w:ind w:left="259"/>
              <w:spacing w:after="0"/>
              <w:rPr>
                <w:sz w:val="20"/>
                <w:szCs w:val="20"/>
                <w:color w:val="auto"/>
              </w:rPr>
            </w:pPr>
            <w:r>
              <w:rPr>
                <w:rFonts w:ascii="Arial" w:cs="Arial" w:eastAsia="Arial" w:hAnsi="Arial"/>
                <w:sz w:val="14"/>
                <w:szCs w:val="14"/>
                <w:b w:val="1"/>
                <w:bCs w:val="1"/>
                <w:color w:val="auto"/>
                <w:w w:val="89"/>
              </w:rPr>
              <w:t>2007</w:t>
            </w:r>
          </w:p>
        </w:tc>
        <w:tc>
          <w:tcPr>
            <w:tcW w:w="340" w:type="dxa"/>
            <w:vAlign w:val="bottom"/>
          </w:tcPr>
          <w:p>
            <w:pPr>
              <w:spacing w:after="0"/>
              <w:rPr>
                <w:sz w:val="14"/>
                <w:szCs w:val="14"/>
                <w:color w:val="auto"/>
              </w:rPr>
            </w:pPr>
          </w:p>
        </w:tc>
        <w:tc>
          <w:tcPr>
            <w:tcW w:w="380" w:type="dxa"/>
            <w:vAlign w:val="bottom"/>
            <w:gridSpan w:val="2"/>
          </w:tcPr>
          <w:p>
            <w:pPr>
              <w:ind w:left="40"/>
              <w:spacing w:after="0"/>
              <w:rPr>
                <w:sz w:val="20"/>
                <w:szCs w:val="20"/>
                <w:color w:val="auto"/>
              </w:rPr>
            </w:pPr>
            <w:r>
              <w:rPr>
                <w:rFonts w:ascii="Arial" w:cs="Arial" w:eastAsia="Arial" w:hAnsi="Arial"/>
                <w:sz w:val="14"/>
                <w:szCs w:val="14"/>
                <w:b w:val="1"/>
                <w:bCs w:val="1"/>
                <w:color w:val="auto"/>
                <w:w w:val="95"/>
              </w:rPr>
              <w:t>Total</w:t>
            </w: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 xml:space="preserve">Ratings </w:t>
            </w:r>
            <w:r>
              <w:rPr>
                <w:rFonts w:ascii="Arial" w:cs="Arial" w:eastAsia="Arial" w:hAnsi="Arial"/>
                <w:sz w:val="11"/>
                <w:szCs w:val="11"/>
                <w:color w:val="auto"/>
              </w:rPr>
              <w:t>(1)</w:t>
            </w:r>
            <w:r>
              <w:rPr>
                <w:rFonts w:ascii="Arial" w:cs="Arial" w:eastAsia="Arial" w:hAnsi="Arial"/>
                <w:sz w:val="18"/>
                <w:szCs w:val="18"/>
                <w:color w:val="auto"/>
              </w:rPr>
              <w:t xml:space="preserve"> :</w:t>
            </w:r>
          </w:p>
        </w:tc>
        <w:tc>
          <w:tcPr>
            <w:tcW w:w="67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tcPr>
          <w:p>
            <w:pPr>
              <w:spacing w:after="0"/>
              <w:rPr>
                <w:sz w:val="20"/>
                <w:szCs w:val="20"/>
                <w:color w:val="auto"/>
              </w:rPr>
            </w:pPr>
            <w:r>
              <w:rPr>
                <w:rFonts w:ascii="Arial" w:cs="Arial" w:eastAsia="Arial" w:hAnsi="Arial"/>
                <w:sz w:val="18"/>
                <w:szCs w:val="18"/>
                <w:color w:val="auto"/>
              </w:rPr>
              <w:t>AAA</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42</w:t>
            </w:r>
          </w:p>
        </w:tc>
        <w:tc>
          <w:tcPr>
            <w:tcW w:w="1040" w:type="dxa"/>
            <w:vAlign w:val="bottom"/>
            <w:gridSpan w:val="3"/>
          </w:tcPr>
          <w:p>
            <w:pPr>
              <w:jc w:val="right"/>
              <w:ind w:right="340"/>
              <w:spacing w:after="0"/>
              <w:rPr>
                <w:sz w:val="20"/>
                <w:szCs w:val="20"/>
                <w:color w:val="auto"/>
              </w:rPr>
            </w:pPr>
            <w:r>
              <w:rPr>
                <w:rFonts w:ascii="Arial" w:cs="Arial" w:eastAsia="Arial" w:hAnsi="Arial"/>
                <w:sz w:val="18"/>
                <w:szCs w:val="18"/>
                <w:color w:val="auto"/>
              </w:rPr>
              <w:t>$ 12</w:t>
            </w:r>
          </w:p>
        </w:tc>
        <w:tc>
          <w:tcPr>
            <w:tcW w:w="360" w:type="dxa"/>
            <w:vAlign w:val="bottom"/>
          </w:tcPr>
          <w:p>
            <w:pPr>
              <w:jc w:val="right"/>
              <w:ind w:right="14"/>
              <w:spacing w:after="0"/>
              <w:rPr>
                <w:sz w:val="20"/>
                <w:szCs w:val="20"/>
                <w:color w:val="auto"/>
              </w:rPr>
            </w:pPr>
            <w:r>
              <w:rPr>
                <w:rFonts w:ascii="Arial" w:cs="Arial" w:eastAsia="Arial" w:hAnsi="Arial"/>
                <w:sz w:val="18"/>
                <w:szCs w:val="18"/>
                <w:color w:val="auto"/>
                <w:w w:val="85"/>
              </w:rPr>
              <w:t>$—</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$ 54</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AA</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0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20</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tcPr>
          <w:p>
            <w:pPr>
              <w:spacing w:after="0"/>
              <w:rPr>
                <w:sz w:val="20"/>
                <w:szCs w:val="20"/>
                <w:color w:val="auto"/>
              </w:rPr>
            </w:pPr>
            <w:r>
              <w:rPr>
                <w:rFonts w:ascii="Arial" w:cs="Arial" w:eastAsia="Arial" w:hAnsi="Arial"/>
                <w:sz w:val="18"/>
                <w:szCs w:val="18"/>
                <w:color w:val="auto"/>
              </w:rPr>
              <w:t>A</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17</w:t>
            </w:r>
          </w:p>
        </w:tc>
        <w:tc>
          <w:tcPr>
            <w:tcW w:w="1040" w:type="dxa"/>
            <w:vAlign w:val="bottom"/>
            <w:gridSpan w:val="3"/>
          </w:tcPr>
          <w:p>
            <w:pPr>
              <w:jc w:val="right"/>
              <w:ind w:right="340"/>
              <w:spacing w:after="0"/>
              <w:rPr>
                <w:sz w:val="20"/>
                <w:szCs w:val="20"/>
                <w:color w:val="auto"/>
              </w:rPr>
            </w:pPr>
            <w:r>
              <w:rPr>
                <w:rFonts w:ascii="Arial" w:cs="Arial" w:eastAsia="Arial" w:hAnsi="Arial"/>
                <w:sz w:val="18"/>
                <w:szCs w:val="18"/>
                <w:color w:val="auto"/>
              </w:rPr>
              <w:t>47</w:t>
            </w:r>
          </w:p>
        </w:tc>
        <w:tc>
          <w:tcPr>
            <w:tcW w:w="360" w:type="dxa"/>
            <w:vAlign w:val="bottom"/>
          </w:tcPr>
          <w:p>
            <w:pPr>
              <w:jc w:val="right"/>
              <w:spacing w:after="0"/>
              <w:rPr>
                <w:sz w:val="20"/>
                <w:szCs w:val="20"/>
                <w:color w:val="auto"/>
              </w:rPr>
            </w:pPr>
            <w:r>
              <w:rPr>
                <w:rFonts w:ascii="Arial" w:cs="Arial" w:eastAsia="Arial" w:hAnsi="Arial"/>
                <w:sz w:val="18"/>
                <w:szCs w:val="18"/>
                <w:color w:val="auto"/>
              </w:rPr>
              <w:t>4</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68</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BBB</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6</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tcPr>
          <w:p>
            <w:pPr>
              <w:spacing w:after="0"/>
              <w:rPr>
                <w:sz w:val="20"/>
                <w:szCs w:val="20"/>
                <w:color w:val="auto"/>
              </w:rPr>
            </w:pPr>
            <w:r>
              <w:rPr>
                <w:rFonts w:ascii="Arial" w:cs="Arial" w:eastAsia="Arial" w:hAnsi="Arial"/>
                <w:sz w:val="18"/>
                <w:szCs w:val="18"/>
                <w:color w:val="auto"/>
              </w:rPr>
              <w:t>BB</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8</w:t>
            </w:r>
          </w:p>
        </w:tc>
        <w:tc>
          <w:tcPr>
            <w:tcW w:w="1040" w:type="dxa"/>
            <w:vAlign w:val="bottom"/>
            <w:gridSpan w:val="3"/>
          </w:tcPr>
          <w:p>
            <w:pPr>
              <w:jc w:val="right"/>
              <w:ind w:right="340"/>
              <w:spacing w:after="0"/>
              <w:rPr>
                <w:sz w:val="20"/>
                <w:szCs w:val="20"/>
                <w:color w:val="auto"/>
              </w:rPr>
            </w:pPr>
            <w:r>
              <w:rPr>
                <w:rFonts w:ascii="Arial" w:cs="Arial" w:eastAsia="Arial" w:hAnsi="Arial"/>
                <w:sz w:val="18"/>
                <w:szCs w:val="18"/>
                <w:color w:val="auto"/>
              </w:rPr>
              <w:t>13</w:t>
            </w:r>
          </w:p>
        </w:tc>
        <w:tc>
          <w:tcPr>
            <w:tcW w:w="360" w:type="dxa"/>
            <w:vAlign w:val="bottom"/>
          </w:tcPr>
          <w:p>
            <w:pPr>
              <w:jc w:val="right"/>
              <w:spacing w:after="0"/>
              <w:rPr>
                <w:sz w:val="20"/>
                <w:szCs w:val="20"/>
                <w:color w:val="auto"/>
              </w:rPr>
            </w:pPr>
            <w:r>
              <w:rPr>
                <w:rFonts w:ascii="Arial" w:cs="Arial" w:eastAsia="Arial" w:hAnsi="Arial"/>
                <w:sz w:val="18"/>
                <w:szCs w:val="18"/>
                <w:color w:val="auto"/>
              </w:rPr>
              <w:t>27</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48</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24</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2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8040" w:type="dxa"/>
            <w:vAlign w:val="bottom"/>
            <w:gridSpan w:val="2"/>
          </w:tcPr>
          <w:p>
            <w:pPr>
              <w:spacing w:after="0"/>
              <w:rPr>
                <w:sz w:val="20"/>
                <w:szCs w:val="20"/>
                <w:color w:val="auto"/>
              </w:rPr>
            </w:pPr>
            <w:r>
              <w:rPr>
                <w:rFonts w:ascii="Arial" w:cs="Arial" w:eastAsia="Arial" w:hAnsi="Arial"/>
                <w:sz w:val="18"/>
                <w:szCs w:val="18"/>
                <w:color w:val="auto"/>
              </w:rPr>
              <w:t>CCC and lower</w:t>
            </w:r>
          </w:p>
        </w:tc>
        <w:tc>
          <w:tcPr>
            <w:tcW w:w="12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w:t>
            </w:r>
          </w:p>
        </w:tc>
        <w:tc>
          <w:tcPr>
            <w:tcW w:w="320" w:type="dxa"/>
            <w:vAlign w:val="bottom"/>
          </w:tcPr>
          <w:p>
            <w:pPr>
              <w:spacing w:after="0"/>
              <w:rPr>
                <w:sz w:val="19"/>
                <w:szCs w:val="19"/>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340" w:type="dxa"/>
            <w:vAlign w:val="bottom"/>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w:t>
            </w:r>
          </w:p>
        </w:tc>
        <w:tc>
          <w:tcPr>
            <w:tcW w:w="3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340" w:type="dxa"/>
            <w:vAlign w:val="bottom"/>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116</w:t>
            </w:r>
          </w:p>
        </w:tc>
        <w:tc>
          <w:tcPr>
            <w:tcW w:w="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0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sub-prime securities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w:t>
            </w:r>
          </w:p>
        </w:tc>
        <w:tc>
          <w:tcPr>
            <w:tcW w:w="10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138</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120</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422</w:t>
            </w:r>
          </w:p>
        </w:tc>
        <w:tc>
          <w:tcPr>
            <w:tcW w:w="2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7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10"/>
        </w:numPr>
        <w:rPr>
          <w:rFonts w:ascii="Arial" w:cs="Arial" w:eastAsia="Arial" w:hAnsi="Arial"/>
          <w:sz w:val="22"/>
          <w:szCs w:val="22"/>
          <w:color w:val="auto"/>
          <w:vertAlign w:val="superscript"/>
        </w:rPr>
      </w:pPr>
      <w:r>
        <w:rPr>
          <w:rFonts w:ascii="Arial" w:cs="Arial" w:eastAsia="Arial" w:hAnsi="Arial"/>
          <w:sz w:val="18"/>
          <w:szCs w:val="18"/>
          <w:color w:val="auto"/>
        </w:rPr>
        <w:t>Based on ratings as of December 31,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6"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fair value of our mortgage-backed and asset-backed securities collateralized by Alt-A residential mortgage loans by rating and vintage was as follows as of June 30, 2010:</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0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Pr>
          <w:p>
            <w:pPr>
              <w:jc w:val="right"/>
              <w:ind w:right="94"/>
              <w:spacing w:after="0"/>
              <w:rPr>
                <w:sz w:val="20"/>
                <w:szCs w:val="20"/>
                <w:color w:val="auto"/>
              </w:rPr>
            </w:pPr>
            <w:r>
              <w:rPr>
                <w:rFonts w:ascii="Arial" w:cs="Arial" w:eastAsia="Arial" w:hAnsi="Arial"/>
                <w:sz w:val="14"/>
                <w:szCs w:val="14"/>
                <w:b w:val="1"/>
                <w:bCs w:val="1"/>
                <w:color w:val="auto"/>
                <w:w w:val="89"/>
              </w:rPr>
              <w:t>2004</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638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740" w:type="dxa"/>
            <w:vAlign w:val="bottom"/>
            <w:gridSpan w:val="3"/>
          </w:tcPr>
          <w:p>
            <w:pPr>
              <w:ind w:left="40"/>
              <w:spacing w:after="0"/>
              <w:rPr>
                <w:sz w:val="20"/>
                <w:szCs w:val="20"/>
                <w:color w:val="auto"/>
              </w:rPr>
            </w:pPr>
            <w:r>
              <w:rPr>
                <w:rFonts w:ascii="Arial" w:cs="Arial" w:eastAsia="Arial" w:hAnsi="Arial"/>
                <w:sz w:val="14"/>
                <w:szCs w:val="14"/>
                <w:b w:val="1"/>
                <w:bCs w:val="1"/>
                <w:color w:val="auto"/>
              </w:rPr>
              <w:t>and prior</w:t>
            </w:r>
          </w:p>
        </w:tc>
        <w:tc>
          <w:tcPr>
            <w:tcW w:w="500" w:type="dxa"/>
            <w:vAlign w:val="bottom"/>
            <w:gridSpan w:val="3"/>
          </w:tcPr>
          <w:p>
            <w:pPr>
              <w:jc w:val="right"/>
              <w:spacing w:after="0"/>
              <w:rPr>
                <w:sz w:val="20"/>
                <w:szCs w:val="20"/>
                <w:color w:val="auto"/>
              </w:rPr>
            </w:pPr>
            <w:r>
              <w:rPr>
                <w:rFonts w:ascii="Arial" w:cs="Arial" w:eastAsia="Arial" w:hAnsi="Arial"/>
                <w:sz w:val="14"/>
                <w:szCs w:val="14"/>
                <w:b w:val="1"/>
                <w:bCs w:val="1"/>
                <w:color w:val="auto"/>
              </w:rPr>
              <w:t>2005</w:t>
            </w:r>
          </w:p>
        </w:tc>
        <w:tc>
          <w:tcPr>
            <w:tcW w:w="620" w:type="dxa"/>
            <w:vAlign w:val="bottom"/>
            <w:gridSpan w:val="3"/>
          </w:tcPr>
          <w:p>
            <w:pPr>
              <w:jc w:val="right"/>
              <w:spacing w:after="0"/>
              <w:rPr>
                <w:sz w:val="20"/>
                <w:szCs w:val="20"/>
                <w:color w:val="auto"/>
              </w:rPr>
            </w:pPr>
            <w:r>
              <w:rPr>
                <w:rFonts w:ascii="Arial" w:cs="Arial" w:eastAsia="Arial" w:hAnsi="Arial"/>
                <w:sz w:val="14"/>
                <w:szCs w:val="14"/>
                <w:b w:val="1"/>
                <w:bCs w:val="1"/>
                <w:color w:val="auto"/>
              </w:rPr>
              <w:t>2006</w:t>
            </w:r>
          </w:p>
        </w:tc>
        <w:tc>
          <w:tcPr>
            <w:tcW w:w="100" w:type="dxa"/>
            <w:vAlign w:val="bottom"/>
          </w:tcPr>
          <w:p>
            <w:pPr>
              <w:spacing w:after="0"/>
              <w:rPr>
                <w:sz w:val="14"/>
                <w:szCs w:val="14"/>
                <w:color w:val="auto"/>
              </w:rPr>
            </w:pPr>
          </w:p>
        </w:tc>
        <w:tc>
          <w:tcPr>
            <w:tcW w:w="520" w:type="dxa"/>
            <w:vAlign w:val="bottom"/>
            <w:gridSpan w:val="3"/>
          </w:tcPr>
          <w:p>
            <w:pPr>
              <w:jc w:val="right"/>
              <w:spacing w:after="0"/>
              <w:rPr>
                <w:sz w:val="20"/>
                <w:szCs w:val="20"/>
                <w:color w:val="auto"/>
              </w:rPr>
            </w:pPr>
            <w:r>
              <w:rPr>
                <w:rFonts w:ascii="Arial" w:cs="Arial" w:eastAsia="Arial" w:hAnsi="Arial"/>
                <w:sz w:val="14"/>
                <w:szCs w:val="14"/>
                <w:b w:val="1"/>
                <w:bCs w:val="1"/>
                <w:color w:val="auto"/>
              </w:rPr>
              <w:t>2007</w:t>
            </w:r>
          </w:p>
        </w:tc>
        <w:tc>
          <w:tcPr>
            <w:tcW w:w="64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2008</w:t>
            </w:r>
          </w:p>
        </w:tc>
        <w:tc>
          <w:tcPr>
            <w:tcW w:w="64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2009</w:t>
            </w:r>
          </w:p>
        </w:tc>
        <w:tc>
          <w:tcPr>
            <w:tcW w:w="640" w:type="dxa"/>
            <w:vAlign w:val="bottom"/>
            <w:gridSpan w:val="3"/>
          </w:tcPr>
          <w:p>
            <w:pPr>
              <w:jc w:val="right"/>
              <w:spacing w:after="0"/>
              <w:rPr>
                <w:sz w:val="20"/>
                <w:szCs w:val="20"/>
                <w:color w:val="auto"/>
              </w:rPr>
            </w:pPr>
            <w:r>
              <w:rPr>
                <w:rFonts w:ascii="Arial" w:cs="Arial" w:eastAsia="Arial" w:hAnsi="Arial"/>
                <w:sz w:val="14"/>
                <w:szCs w:val="14"/>
                <w:b w:val="1"/>
                <w:bCs w:val="1"/>
                <w:color w:val="auto"/>
              </w:rPr>
              <w:t>2010</w:t>
            </w:r>
          </w:p>
        </w:tc>
        <w:tc>
          <w:tcPr>
            <w:tcW w:w="200" w:type="dxa"/>
            <w:vAlign w:val="bottom"/>
          </w:tcPr>
          <w:p>
            <w:pPr>
              <w:spacing w:after="0"/>
              <w:rPr>
                <w:sz w:val="14"/>
                <w:szCs w:val="14"/>
                <w:color w:val="auto"/>
              </w:rPr>
            </w:pPr>
          </w:p>
        </w:tc>
        <w:tc>
          <w:tcPr>
            <w:tcW w:w="460" w:type="dxa"/>
            <w:vAlign w:val="bottom"/>
            <w:gridSpan w:val="3"/>
          </w:tcPr>
          <w:p>
            <w:pPr>
              <w:ind w:left="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 xml:space="preserve">Ratings </w:t>
            </w:r>
            <w:r>
              <w:rPr>
                <w:rFonts w:ascii="Arial" w:cs="Arial" w:eastAsia="Arial" w:hAnsi="Arial"/>
                <w:sz w:val="11"/>
                <w:szCs w:val="11"/>
                <w:color w:val="auto"/>
              </w:rPr>
              <w:t>(1)</w:t>
            </w:r>
            <w:r>
              <w:rPr>
                <w:rFonts w:ascii="Arial" w:cs="Arial" w:eastAsia="Arial" w:hAnsi="Arial"/>
                <w:sz w:val="18"/>
                <w:szCs w:val="18"/>
                <w:color w:val="auto"/>
              </w:rPr>
              <w:t xml:space="preserve"> :</w:t>
            </w:r>
          </w:p>
        </w:tc>
        <w:tc>
          <w:tcPr>
            <w:tcW w:w="50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gridSpan w:val="2"/>
          </w:tcPr>
          <w:p>
            <w:pPr>
              <w:spacing w:after="0"/>
              <w:rPr>
                <w:sz w:val="20"/>
                <w:szCs w:val="20"/>
                <w:color w:val="auto"/>
              </w:rPr>
            </w:pPr>
            <w:r>
              <w:rPr>
                <w:rFonts w:ascii="Arial" w:cs="Arial" w:eastAsia="Arial" w:hAnsi="Arial"/>
                <w:sz w:val="18"/>
                <w:szCs w:val="18"/>
                <w:color w:val="auto"/>
              </w:rPr>
              <w:t>AAA</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43</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300" w:type="dxa"/>
            <w:vAlign w:val="bottom"/>
          </w:tcPr>
          <w:p>
            <w:pPr>
              <w:jc w:val="right"/>
              <w:spacing w:after="0"/>
              <w:rPr>
                <w:sz w:val="20"/>
                <w:szCs w:val="20"/>
                <w:color w:val="auto"/>
              </w:rPr>
            </w:pPr>
            <w:r>
              <w:rPr>
                <w:rFonts w:ascii="Arial" w:cs="Arial" w:eastAsia="Arial" w:hAnsi="Arial"/>
                <w:sz w:val="18"/>
                <w:szCs w:val="18"/>
                <w:color w:val="auto"/>
              </w:rPr>
              <w:t>18</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99"/>
              </w:rPr>
              <w:t>—</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96"/>
              </w:rPr>
              <w:t>$ —</w:t>
            </w:r>
          </w:p>
        </w:tc>
        <w:tc>
          <w:tcPr>
            <w:tcW w:w="640" w:type="dxa"/>
            <w:vAlign w:val="bottom"/>
            <w:gridSpan w:val="2"/>
          </w:tcPr>
          <w:p>
            <w:pPr>
              <w:jc w:val="right"/>
              <w:ind w:right="12"/>
              <w:spacing w:after="0"/>
              <w:rPr>
                <w:sz w:val="20"/>
                <w:szCs w:val="20"/>
                <w:color w:val="auto"/>
              </w:rPr>
            </w:pPr>
            <w:r>
              <w:rPr>
                <w:rFonts w:ascii="Arial" w:cs="Arial" w:eastAsia="Arial" w:hAnsi="Arial"/>
                <w:sz w:val="18"/>
                <w:szCs w:val="18"/>
                <w:color w:val="auto"/>
              </w:rPr>
              <w:t>$ —</w:t>
            </w:r>
          </w:p>
        </w:tc>
        <w:tc>
          <w:tcPr>
            <w:tcW w:w="3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7</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300" w:type="dxa"/>
            <w:vAlign w:val="bottom"/>
          </w:tcPr>
          <w:p>
            <w:pPr>
              <w:jc w:val="right"/>
              <w:spacing w:after="0"/>
              <w:rPr>
                <w:sz w:val="20"/>
                <w:szCs w:val="20"/>
                <w:color w:val="auto"/>
              </w:rPr>
            </w:pPr>
            <w:r>
              <w:rPr>
                <w:rFonts w:ascii="Arial" w:cs="Arial" w:eastAsia="Arial" w:hAnsi="Arial"/>
                <w:sz w:val="18"/>
                <w:szCs w:val="18"/>
                <w:color w:val="auto"/>
              </w:rPr>
              <w:t>68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AA</w:t>
            </w: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9"/>
              </w:rPr>
              <w:t>—</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gridSpan w:val="2"/>
          </w:tcPr>
          <w:p>
            <w:pPr>
              <w:spacing w:after="0"/>
              <w:rPr>
                <w:sz w:val="20"/>
                <w:szCs w:val="20"/>
                <w:color w:val="auto"/>
              </w:rPr>
            </w:pPr>
            <w:r>
              <w:rPr>
                <w:rFonts w:ascii="Arial" w:cs="Arial" w:eastAsia="Arial" w:hAnsi="Arial"/>
                <w:sz w:val="18"/>
                <w:szCs w:val="18"/>
                <w:color w:val="auto"/>
              </w:rPr>
              <w:t>A</w:t>
            </w:r>
          </w:p>
        </w:tc>
        <w:tc>
          <w:tcPr>
            <w:tcW w:w="14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6</w:t>
            </w:r>
          </w:p>
        </w:tc>
        <w:tc>
          <w:tcPr>
            <w:tcW w:w="2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42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gridSpan w:val="2"/>
          </w:tcPr>
          <w:p>
            <w:pPr>
              <w:jc w:val="right"/>
              <w:ind w:right="300"/>
              <w:spacing w:after="0"/>
              <w:rPr>
                <w:sz w:val="20"/>
                <w:szCs w:val="20"/>
                <w:color w:val="auto"/>
              </w:rPr>
            </w:pPr>
            <w:r>
              <w:rPr>
                <w:rFonts w:ascii="Arial" w:cs="Arial" w:eastAsia="Arial" w:hAnsi="Arial"/>
                <w:sz w:val="18"/>
                <w:szCs w:val="18"/>
                <w:color w:val="auto"/>
                <w:w w:val="99"/>
              </w:rPr>
              <w:t>—</w:t>
            </w:r>
          </w:p>
        </w:tc>
        <w:tc>
          <w:tcPr>
            <w:tcW w:w="14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26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BBB</w:t>
            </w: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w w:val="99"/>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9"/>
              </w:rPr>
              <w:t>—</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gridSpan w:val="2"/>
          </w:tcPr>
          <w:p>
            <w:pPr>
              <w:spacing w:after="0"/>
              <w:rPr>
                <w:sz w:val="20"/>
                <w:szCs w:val="20"/>
                <w:color w:val="auto"/>
              </w:rPr>
            </w:pPr>
            <w:r>
              <w:rPr>
                <w:rFonts w:ascii="Arial" w:cs="Arial" w:eastAsia="Arial" w:hAnsi="Arial"/>
                <w:sz w:val="18"/>
                <w:szCs w:val="18"/>
                <w:color w:val="auto"/>
              </w:rPr>
              <w:t>BB</w:t>
            </w:r>
          </w:p>
        </w:tc>
        <w:tc>
          <w:tcPr>
            <w:tcW w:w="14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4</w:t>
            </w:r>
          </w:p>
        </w:tc>
        <w:tc>
          <w:tcPr>
            <w:tcW w:w="2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42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gridSpan w:val="2"/>
          </w:tcPr>
          <w:p>
            <w:pPr>
              <w:jc w:val="right"/>
              <w:ind w:right="300"/>
              <w:spacing w:after="0"/>
              <w:rPr>
                <w:sz w:val="20"/>
                <w:szCs w:val="20"/>
                <w:color w:val="auto"/>
              </w:rPr>
            </w:pPr>
            <w:r>
              <w:rPr>
                <w:rFonts w:ascii="Arial" w:cs="Arial" w:eastAsia="Arial" w:hAnsi="Arial"/>
                <w:sz w:val="18"/>
                <w:szCs w:val="18"/>
                <w:color w:val="auto"/>
                <w:w w:val="99"/>
              </w:rPr>
              <w:t>—</w:t>
            </w:r>
          </w:p>
        </w:tc>
        <w:tc>
          <w:tcPr>
            <w:tcW w:w="14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9"/>
              </w:rPr>
              <w:t>—</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gridSpan w:val="2"/>
          </w:tcPr>
          <w:p>
            <w:pPr>
              <w:spacing w:after="0"/>
              <w:rPr>
                <w:sz w:val="20"/>
                <w:szCs w:val="20"/>
                <w:color w:val="auto"/>
              </w:rPr>
            </w:pPr>
            <w:r>
              <w:rPr>
                <w:rFonts w:ascii="Arial" w:cs="Arial" w:eastAsia="Arial" w:hAnsi="Arial"/>
                <w:sz w:val="18"/>
                <w:szCs w:val="18"/>
                <w:color w:val="auto"/>
              </w:rPr>
              <w:t>CCC and lower</w:t>
            </w:r>
          </w:p>
        </w:tc>
        <w:tc>
          <w:tcPr>
            <w:tcW w:w="14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71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29</w:t>
            </w:r>
          </w:p>
        </w:tc>
        <w:tc>
          <w:tcPr>
            <w:tcW w:w="2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42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gridSpan w:val="2"/>
          </w:tcPr>
          <w:p>
            <w:pPr>
              <w:jc w:val="right"/>
              <w:ind w:right="300"/>
              <w:spacing w:after="0"/>
              <w:rPr>
                <w:sz w:val="20"/>
                <w:szCs w:val="20"/>
                <w:color w:val="auto"/>
              </w:rPr>
            </w:pPr>
            <w:r>
              <w:rPr>
                <w:rFonts w:ascii="Arial" w:cs="Arial" w:eastAsia="Arial" w:hAnsi="Arial"/>
                <w:sz w:val="18"/>
                <w:szCs w:val="18"/>
                <w:color w:val="auto"/>
                <w:w w:val="99"/>
              </w:rPr>
              <w:t>—</w:t>
            </w:r>
          </w:p>
        </w:tc>
        <w:tc>
          <w:tcPr>
            <w:tcW w:w="14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w w:val="93"/>
              </w:rPr>
              <w:t>135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0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Alt-A securities</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101</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142</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65</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 —</w:t>
            </w:r>
          </w:p>
        </w:tc>
        <w:tc>
          <w:tcPr>
            <w:tcW w:w="64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 —</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358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10" w:lineRule="exact"/>
        <w:rPr>
          <w:sz w:val="20"/>
          <w:szCs w:val="20"/>
          <w:color w:val="auto"/>
        </w:rPr>
      </w:pPr>
    </w:p>
    <w:p>
      <w:pPr>
        <w:ind w:left="460" w:hanging="452"/>
        <w:spacing w:after="0"/>
        <w:tabs>
          <w:tab w:leader="none" w:pos="460" w:val="left"/>
        </w:tabs>
        <w:numPr>
          <w:ilvl w:val="0"/>
          <w:numId w:val="111"/>
        </w:numPr>
        <w:rPr>
          <w:rFonts w:ascii="Arial" w:cs="Arial" w:eastAsia="Arial" w:hAnsi="Arial"/>
          <w:sz w:val="22"/>
          <w:szCs w:val="22"/>
          <w:color w:val="auto"/>
          <w:vertAlign w:val="superscript"/>
        </w:rPr>
      </w:pPr>
      <w:r>
        <w:rPr>
          <w:rFonts w:ascii="Arial" w:cs="Arial" w:eastAsia="Arial" w:hAnsi="Arial"/>
          <w:sz w:val="18"/>
          <w:szCs w:val="18"/>
          <w:color w:val="auto"/>
        </w:rPr>
        <w:t>Based on ratings of June 30,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120</w:t>
      </w:r>
    </w:p>
    <w:p>
      <w:pPr>
        <w:sectPr>
          <w:pgSz w:w="11900" w:h="16838" w:orient="portrait"/>
          <w:cols w:equalWidth="0" w:num="1">
            <w:col w:w="11420"/>
          </w:cols>
          <w:pgMar w:left="240" w:top="459" w:right="239" w:bottom="1440" w:gutter="0" w:footer="0" w:header="0"/>
        </w:sectPr>
      </w:pPr>
    </w:p>
    <w:bookmarkStart w:id="120" w:name="page121"/>
    <w:bookmarkEnd w:id="1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The fair value of our mortgage-backed and asset-backed securities collateralized by Alt-A residential mortgage loans by rating and vintage was as follows as of December 31, 2009:</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40" w:type="dxa"/>
            <w:vAlign w:val="bottom"/>
          </w:tcPr>
          <w:p>
            <w:pPr>
              <w:jc w:val="right"/>
              <w:ind w:right="54"/>
              <w:spacing w:after="0"/>
              <w:rPr>
                <w:sz w:val="20"/>
                <w:szCs w:val="20"/>
                <w:color w:val="auto"/>
              </w:rPr>
            </w:pPr>
            <w:r>
              <w:rPr>
                <w:rFonts w:ascii="Arial" w:cs="Arial" w:eastAsia="Arial" w:hAnsi="Arial"/>
                <w:sz w:val="14"/>
                <w:szCs w:val="14"/>
                <w:b w:val="1"/>
                <w:bCs w:val="1"/>
                <w:color w:val="auto"/>
                <w:w w:val="89"/>
              </w:rPr>
              <w:t>2004</w:t>
            </w:r>
          </w:p>
        </w:tc>
        <w:tc>
          <w:tcPr>
            <w:tcW w:w="3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61"/>
        </w:trPr>
        <w:tc>
          <w:tcPr>
            <w:tcW w:w="808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560" w:type="dxa"/>
            <w:vAlign w:val="bottom"/>
            <w:gridSpan w:val="2"/>
          </w:tcPr>
          <w:p>
            <w:pPr>
              <w:spacing w:after="0"/>
              <w:rPr>
                <w:sz w:val="20"/>
                <w:szCs w:val="20"/>
                <w:color w:val="auto"/>
              </w:rPr>
            </w:pPr>
            <w:r>
              <w:rPr>
                <w:rFonts w:ascii="Arial" w:cs="Arial" w:eastAsia="Arial" w:hAnsi="Arial"/>
                <w:sz w:val="14"/>
                <w:szCs w:val="14"/>
                <w:b w:val="1"/>
                <w:bCs w:val="1"/>
                <w:color w:val="auto"/>
                <w:w w:val="88"/>
              </w:rPr>
              <w:t>and prior</w:t>
            </w: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2005</w:t>
            </w:r>
          </w:p>
        </w:tc>
        <w:tc>
          <w:tcPr>
            <w:tcW w:w="700" w:type="dxa"/>
            <w:vAlign w:val="bottom"/>
            <w:gridSpan w:val="3"/>
          </w:tcPr>
          <w:p>
            <w:pPr>
              <w:jc w:val="right"/>
              <w:spacing w:after="0"/>
              <w:rPr>
                <w:sz w:val="20"/>
                <w:szCs w:val="20"/>
                <w:color w:val="auto"/>
              </w:rPr>
            </w:pPr>
            <w:r>
              <w:rPr>
                <w:rFonts w:ascii="Arial" w:cs="Arial" w:eastAsia="Arial" w:hAnsi="Arial"/>
                <w:sz w:val="14"/>
                <w:szCs w:val="14"/>
                <w:b w:val="1"/>
                <w:bCs w:val="1"/>
                <w:color w:val="auto"/>
              </w:rPr>
              <w:t>2006</w:t>
            </w:r>
          </w:p>
        </w:tc>
        <w:tc>
          <w:tcPr>
            <w:tcW w:w="700" w:type="dxa"/>
            <w:vAlign w:val="bottom"/>
            <w:gridSpan w:val="3"/>
          </w:tcPr>
          <w:p>
            <w:pPr>
              <w:jc w:val="right"/>
              <w:spacing w:after="0"/>
              <w:rPr>
                <w:sz w:val="20"/>
                <w:szCs w:val="20"/>
                <w:color w:val="auto"/>
              </w:rPr>
            </w:pPr>
            <w:r>
              <w:rPr>
                <w:rFonts w:ascii="Arial" w:cs="Arial" w:eastAsia="Arial" w:hAnsi="Arial"/>
                <w:sz w:val="14"/>
                <w:szCs w:val="14"/>
                <w:b w:val="1"/>
                <w:bCs w:val="1"/>
                <w:color w:val="auto"/>
              </w:rPr>
              <w:t>2007</w:t>
            </w:r>
          </w:p>
        </w:tc>
        <w:tc>
          <w:tcPr>
            <w:tcW w:w="340" w:type="dxa"/>
            <w:vAlign w:val="bottom"/>
          </w:tcPr>
          <w:p>
            <w:pPr>
              <w:spacing w:after="0"/>
              <w:rPr>
                <w:sz w:val="14"/>
                <w:szCs w:val="14"/>
                <w:color w:val="auto"/>
              </w:rPr>
            </w:pPr>
          </w:p>
        </w:tc>
        <w:tc>
          <w:tcPr>
            <w:tcW w:w="380" w:type="dxa"/>
            <w:vAlign w:val="bottom"/>
            <w:gridSpan w:val="2"/>
          </w:tcPr>
          <w:p>
            <w:pPr>
              <w:ind w:left="40"/>
              <w:spacing w:after="0"/>
              <w:rPr>
                <w:sz w:val="20"/>
                <w:szCs w:val="20"/>
                <w:color w:val="auto"/>
              </w:rPr>
            </w:pPr>
            <w:r>
              <w:rPr>
                <w:rFonts w:ascii="Arial" w:cs="Arial" w:eastAsia="Arial" w:hAnsi="Arial"/>
                <w:sz w:val="14"/>
                <w:szCs w:val="14"/>
                <w:b w:val="1"/>
                <w:bCs w:val="1"/>
                <w:color w:val="auto"/>
                <w:w w:val="95"/>
              </w:rPr>
              <w:t>Total</w:t>
            </w: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 xml:space="preserve">Ratings </w:t>
            </w:r>
            <w:r>
              <w:rPr>
                <w:rFonts w:ascii="Arial" w:cs="Arial" w:eastAsia="Arial" w:hAnsi="Arial"/>
                <w:sz w:val="11"/>
                <w:szCs w:val="11"/>
                <w:color w:val="auto"/>
              </w:rPr>
              <w:t>(1)</w:t>
            </w:r>
            <w:r>
              <w:rPr>
                <w:rFonts w:ascii="Arial" w:cs="Arial" w:eastAsia="Arial" w:hAnsi="Arial"/>
                <w:sz w:val="18"/>
                <w:szCs w:val="18"/>
                <w:color w:val="auto"/>
              </w:rPr>
              <w:t xml:space="preserve"> :</w:t>
            </w:r>
          </w:p>
        </w:tc>
        <w:tc>
          <w:tcPr>
            <w:tcW w:w="674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60" w:type="dxa"/>
            <w:vAlign w:val="bottom"/>
            <w:gridSpan w:val="2"/>
          </w:tcPr>
          <w:p>
            <w:pPr>
              <w:spacing w:after="0"/>
              <w:rPr>
                <w:sz w:val="20"/>
                <w:szCs w:val="20"/>
                <w:color w:val="auto"/>
              </w:rPr>
            </w:pPr>
            <w:r>
              <w:rPr>
                <w:rFonts w:ascii="Arial" w:cs="Arial" w:eastAsia="Arial" w:hAnsi="Arial"/>
                <w:sz w:val="18"/>
                <w:szCs w:val="18"/>
                <w:color w:val="auto"/>
              </w:rPr>
              <w:t>AAA</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43</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rPr>
              <w:t>1</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$ 44</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AA</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60" w:type="dxa"/>
            <w:vAlign w:val="bottom"/>
            <w:gridSpan w:val="2"/>
          </w:tcPr>
          <w:p>
            <w:pPr>
              <w:spacing w:after="0"/>
              <w:rPr>
                <w:sz w:val="20"/>
                <w:szCs w:val="20"/>
                <w:color w:val="auto"/>
              </w:rPr>
            </w:pPr>
            <w:r>
              <w:rPr>
                <w:rFonts w:ascii="Arial" w:cs="Arial" w:eastAsia="Arial" w:hAnsi="Arial"/>
                <w:sz w:val="18"/>
                <w:szCs w:val="18"/>
                <w:color w:val="auto"/>
              </w:rPr>
              <w:t>A</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17</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23</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1</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8</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49</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BBB</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60" w:type="dxa"/>
            <w:vAlign w:val="bottom"/>
            <w:gridSpan w:val="2"/>
          </w:tcPr>
          <w:p>
            <w:pPr>
              <w:spacing w:after="0"/>
              <w:rPr>
                <w:sz w:val="20"/>
                <w:szCs w:val="20"/>
                <w:color w:val="auto"/>
              </w:rPr>
            </w:pPr>
            <w:r>
              <w:rPr>
                <w:rFonts w:ascii="Arial" w:cs="Arial" w:eastAsia="Arial" w:hAnsi="Arial"/>
                <w:sz w:val="18"/>
                <w:szCs w:val="18"/>
                <w:color w:val="auto"/>
              </w:rPr>
              <w:t>BB</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25</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jc w:val="right"/>
              <w:ind w:right="12"/>
              <w:spacing w:after="0"/>
              <w:rPr>
                <w:sz w:val="20"/>
                <w:szCs w:val="20"/>
                <w:color w:val="auto"/>
              </w:rPr>
            </w:pPr>
            <w:r>
              <w:rPr>
                <w:rFonts w:ascii="Arial" w:cs="Arial" w:eastAsia="Arial" w:hAnsi="Arial"/>
                <w:sz w:val="18"/>
                <w:szCs w:val="18"/>
                <w:color w:val="auto"/>
                <w:w w:val="88"/>
              </w:rPr>
              <w:t>—</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4</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31</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0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2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8060" w:type="dxa"/>
            <w:vAlign w:val="bottom"/>
            <w:gridSpan w:val="2"/>
          </w:tcPr>
          <w:p>
            <w:pPr>
              <w:spacing w:after="0"/>
              <w:rPr>
                <w:sz w:val="20"/>
                <w:szCs w:val="20"/>
                <w:color w:val="auto"/>
              </w:rPr>
            </w:pPr>
            <w:r>
              <w:rPr>
                <w:rFonts w:ascii="Arial" w:cs="Arial" w:eastAsia="Arial" w:hAnsi="Arial"/>
                <w:sz w:val="18"/>
                <w:szCs w:val="18"/>
                <w:color w:val="auto"/>
              </w:rPr>
              <w:t>CCC and lower</w:t>
            </w:r>
          </w:p>
        </w:tc>
        <w:tc>
          <w:tcPr>
            <w:tcW w:w="12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320" w:type="dxa"/>
            <w:vAlign w:val="bottom"/>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w:t>
            </w:r>
          </w:p>
        </w:tc>
        <w:tc>
          <w:tcPr>
            <w:tcW w:w="3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w:t>
            </w:r>
          </w:p>
        </w:tc>
        <w:tc>
          <w:tcPr>
            <w:tcW w:w="3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w:t>
            </w:r>
          </w:p>
        </w:tc>
        <w:tc>
          <w:tcPr>
            <w:tcW w:w="340" w:type="dxa"/>
            <w:vAlign w:val="bottom"/>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120</w:t>
            </w:r>
          </w:p>
        </w:tc>
        <w:tc>
          <w:tcPr>
            <w:tcW w:w="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0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Alt-A securities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149</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369</w:t>
            </w:r>
          </w:p>
        </w:tc>
        <w:tc>
          <w:tcPr>
            <w:tcW w:w="2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7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12"/>
        </w:numPr>
        <w:rPr>
          <w:rFonts w:ascii="Arial" w:cs="Arial" w:eastAsia="Arial" w:hAnsi="Arial"/>
          <w:sz w:val="22"/>
          <w:szCs w:val="22"/>
          <w:color w:val="auto"/>
          <w:vertAlign w:val="superscript"/>
        </w:rPr>
      </w:pPr>
      <w:r>
        <w:rPr>
          <w:rFonts w:ascii="Arial" w:cs="Arial" w:eastAsia="Arial" w:hAnsi="Arial"/>
          <w:sz w:val="18"/>
          <w:szCs w:val="18"/>
          <w:color w:val="auto"/>
        </w:rPr>
        <w:t>Based on ratings of December 31,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-161290</wp:posOffset>
            </wp:positionV>
            <wp:extent cx="728980" cy="88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6"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Gross unrealized losses in our sub-prime and Alt-A residential mortgage-backed and asset-backed securities as of June 30, 2010 were primarily a result of credit spreads that have widened since acquisition as a result of marketplace uncertainty arising from higher defaults in sub-prime and Alt-A residential mortgage loans, partially offset by lower asset balances. Our investments in sub-prime residential mortgage-backed and asset-backed securities increased primarily attributable to tightening credit spreads, partially offset by principal payment activity. Our investments in Alt-A residential mortgage-backed and asset-backed securities decreased primarily as a result of principal payment activity, partially offset by tightening credit spreads.</w:t>
      </w:r>
    </w:p>
    <w:p>
      <w:pPr>
        <w:spacing w:after="0" w:line="1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fair value of our commercial mortgage-backed securities by rating and vintage was as follows as of June 30, 2010:</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tcPr>
          <w:p>
            <w:pPr>
              <w:jc w:val="right"/>
              <w:ind w:right="94"/>
              <w:spacing w:after="0"/>
              <w:rPr>
                <w:sz w:val="20"/>
                <w:szCs w:val="20"/>
                <w:color w:val="auto"/>
              </w:rPr>
            </w:pPr>
            <w:r>
              <w:rPr>
                <w:rFonts w:ascii="Arial" w:cs="Arial" w:eastAsia="Arial" w:hAnsi="Arial"/>
                <w:sz w:val="14"/>
                <w:szCs w:val="14"/>
                <w:b w:val="1"/>
                <w:bCs w:val="1"/>
                <w:color w:val="auto"/>
                <w:w w:val="96"/>
              </w:rPr>
              <w:t>2004</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4620" w:type="dxa"/>
            <w:vAlign w:val="bottom"/>
            <w:gridSpan w:val="5"/>
          </w:tcPr>
          <w:p>
            <w:pPr>
              <w:spacing w:after="0"/>
              <w:rPr>
                <w:sz w:val="20"/>
                <w:szCs w:val="20"/>
                <w:color w:val="auto"/>
              </w:rPr>
            </w:pPr>
            <w:r>
              <w:rPr>
                <w:rFonts w:ascii="Arial" w:cs="Arial" w:eastAsia="Arial" w:hAnsi="Arial"/>
                <w:sz w:val="14"/>
                <w:szCs w:val="14"/>
                <w:b w:val="1"/>
                <w:bCs w:val="1"/>
                <w:color w:val="auto"/>
              </w:rPr>
              <w:t>(Amounts in millions)</w:t>
            </w:r>
          </w:p>
        </w:tc>
        <w:tc>
          <w:tcPr>
            <w:tcW w:w="2100" w:type="dxa"/>
            <w:vAlign w:val="bottom"/>
          </w:tcPr>
          <w:p>
            <w:pPr>
              <w:spacing w:after="0"/>
              <w:rPr>
                <w:sz w:val="14"/>
                <w:szCs w:val="14"/>
                <w:color w:val="auto"/>
              </w:rPr>
            </w:pPr>
          </w:p>
        </w:tc>
        <w:tc>
          <w:tcPr>
            <w:tcW w:w="76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and prior</w:t>
            </w:r>
          </w:p>
        </w:tc>
        <w:tc>
          <w:tcPr>
            <w:tcW w:w="52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2005</w:t>
            </w:r>
          </w:p>
        </w:tc>
        <w:tc>
          <w:tcPr>
            <w:tcW w:w="120" w:type="dxa"/>
            <w:vAlign w:val="bottom"/>
          </w:tcPr>
          <w:p>
            <w:pPr>
              <w:spacing w:after="0"/>
              <w:rPr>
                <w:sz w:val="14"/>
                <w:szCs w:val="14"/>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2006</w:t>
            </w:r>
          </w:p>
        </w:tc>
        <w:tc>
          <w:tcPr>
            <w:tcW w:w="64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2007</w:t>
            </w:r>
          </w:p>
        </w:tc>
        <w:tc>
          <w:tcPr>
            <w:tcW w:w="120" w:type="dxa"/>
            <w:vAlign w:val="bottom"/>
          </w:tcPr>
          <w:p>
            <w:pPr>
              <w:spacing w:after="0"/>
              <w:rPr>
                <w:sz w:val="14"/>
                <w:szCs w:val="14"/>
                <w:color w:val="auto"/>
              </w:rPr>
            </w:pPr>
          </w:p>
        </w:tc>
        <w:tc>
          <w:tcPr>
            <w:tcW w:w="54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2008</w:t>
            </w:r>
          </w:p>
        </w:tc>
        <w:tc>
          <w:tcPr>
            <w:tcW w:w="640" w:type="dxa"/>
            <w:vAlign w:val="bottom"/>
            <w:gridSpan w:val="3"/>
          </w:tcPr>
          <w:p>
            <w:pPr>
              <w:jc w:val="right"/>
              <w:spacing w:after="0"/>
              <w:rPr>
                <w:sz w:val="20"/>
                <w:szCs w:val="20"/>
                <w:color w:val="auto"/>
              </w:rPr>
            </w:pPr>
            <w:r>
              <w:rPr>
                <w:rFonts w:ascii="Arial" w:cs="Arial" w:eastAsia="Arial" w:hAnsi="Arial"/>
                <w:sz w:val="14"/>
                <w:szCs w:val="14"/>
                <w:b w:val="1"/>
                <w:bCs w:val="1"/>
                <w:color w:val="auto"/>
              </w:rPr>
              <w:t>2009</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gridSpan w:val="3"/>
            <w:shd w:val="clear" w:color="auto" w:fill="CCEEFF"/>
          </w:tcPr>
          <w:p>
            <w:pPr>
              <w:spacing w:after="0"/>
              <w:rPr>
                <w:sz w:val="20"/>
                <w:szCs w:val="20"/>
                <w:color w:val="auto"/>
              </w:rPr>
            </w:pPr>
            <w:r>
              <w:rPr>
                <w:rFonts w:ascii="Arial" w:cs="Arial" w:eastAsia="Arial" w:hAnsi="Arial"/>
                <w:sz w:val="18"/>
                <w:szCs w:val="18"/>
                <w:color w:val="auto"/>
              </w:rPr>
              <w:t xml:space="preserve">Ratings </w:t>
            </w:r>
            <w:r>
              <w:rPr>
                <w:rFonts w:ascii="Arial" w:cs="Arial" w:eastAsia="Arial" w:hAnsi="Arial"/>
                <w:sz w:val="11"/>
                <w:szCs w:val="11"/>
                <w:color w:val="auto"/>
              </w:rPr>
              <w:t>(1)</w:t>
            </w:r>
            <w:r>
              <w:rPr>
                <w:rFonts w:ascii="Arial" w:cs="Arial" w:eastAsia="Arial" w:hAnsi="Arial"/>
                <w:sz w:val="18"/>
                <w:szCs w:val="18"/>
                <w:color w:val="auto"/>
              </w:rPr>
              <w:t xml:space="preserve"> :</w:t>
            </w:r>
          </w:p>
        </w:tc>
        <w:tc>
          <w:tcPr>
            <w:tcW w:w="3280" w:type="dxa"/>
            <w:vAlign w:val="bottom"/>
            <w:shd w:val="clear" w:color="auto" w:fill="CCEEFF"/>
          </w:tcPr>
          <w:p>
            <w:pPr>
              <w:spacing w:after="0"/>
              <w:rPr>
                <w:sz w:val="18"/>
                <w:szCs w:val="18"/>
                <w:color w:val="auto"/>
              </w:rPr>
            </w:pPr>
          </w:p>
        </w:tc>
        <w:tc>
          <w:tcPr>
            <w:tcW w:w="21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 w:type="dxa"/>
            <w:vAlign w:val="bottom"/>
          </w:tcPr>
          <w:p>
            <w:pPr>
              <w:spacing w:after="0"/>
              <w:rPr>
                <w:sz w:val="20"/>
                <w:szCs w:val="20"/>
                <w:color w:val="auto"/>
              </w:rPr>
            </w:pPr>
            <w:r>
              <w:rPr>
                <w:rFonts w:ascii="Arial" w:cs="Arial" w:eastAsia="Arial" w:hAnsi="Arial"/>
                <w:sz w:val="18"/>
                <w:szCs w:val="18"/>
                <w:color w:val="auto"/>
              </w:rPr>
              <w:t>AAA</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120"/>
              <w:spacing w:after="0"/>
              <w:rPr>
                <w:sz w:val="20"/>
                <w:szCs w:val="20"/>
                <w:color w:val="auto"/>
              </w:rPr>
            </w:pPr>
            <w:r>
              <w:rPr>
                <w:rFonts w:ascii="Arial" w:cs="Arial" w:eastAsia="Arial" w:hAnsi="Arial"/>
                <w:sz w:val="18"/>
                <w:szCs w:val="18"/>
                <w:color w:val="auto"/>
              </w:rPr>
              <w:t>1,942</w:t>
            </w:r>
          </w:p>
        </w:tc>
        <w:tc>
          <w:tcPr>
            <w:tcW w:w="640" w:type="dxa"/>
            <w:vAlign w:val="bottom"/>
            <w:gridSpan w:val="3"/>
          </w:tcPr>
          <w:p>
            <w:pPr>
              <w:jc w:val="right"/>
              <w:ind w:right="120"/>
              <w:spacing w:after="0"/>
              <w:rPr>
                <w:sz w:val="20"/>
                <w:szCs w:val="20"/>
                <w:color w:val="auto"/>
              </w:rPr>
            </w:pPr>
            <w:r>
              <w:rPr>
                <w:rFonts w:ascii="Arial" w:cs="Arial" w:eastAsia="Arial" w:hAnsi="Arial"/>
                <w:sz w:val="18"/>
                <w:szCs w:val="18"/>
                <w:color w:val="auto"/>
              </w:rPr>
              <w:t>$ 332</w:t>
            </w: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$ 331</w:t>
            </w:r>
          </w:p>
        </w:tc>
        <w:tc>
          <w:tcPr>
            <w:tcW w:w="760" w:type="dxa"/>
            <w:vAlign w:val="bottom"/>
            <w:gridSpan w:val="3"/>
          </w:tcPr>
          <w:p>
            <w:pPr>
              <w:jc w:val="right"/>
              <w:ind w:right="120"/>
              <w:spacing w:after="0"/>
              <w:rPr>
                <w:sz w:val="20"/>
                <w:szCs w:val="20"/>
                <w:color w:val="auto"/>
              </w:rPr>
            </w:pPr>
            <w:r>
              <w:rPr>
                <w:rFonts w:ascii="Arial" w:cs="Arial" w:eastAsia="Arial" w:hAnsi="Arial"/>
                <w:sz w:val="18"/>
                <w:szCs w:val="18"/>
                <w:color w:val="auto"/>
              </w:rPr>
              <w:t>$ 118</w:t>
            </w:r>
          </w:p>
        </w:tc>
        <w:tc>
          <w:tcPr>
            <w:tcW w:w="540" w:type="dxa"/>
            <w:vAlign w:val="bottom"/>
            <w:gridSpan w:val="2"/>
          </w:tcPr>
          <w:p>
            <w:pPr>
              <w:jc w:val="right"/>
              <w:ind w:right="12"/>
              <w:spacing w:after="0"/>
              <w:rPr>
                <w:sz w:val="20"/>
                <w:szCs w:val="20"/>
                <w:color w:val="auto"/>
              </w:rPr>
            </w:pPr>
            <w:r>
              <w:rPr>
                <w:rFonts w:ascii="Arial" w:cs="Arial" w:eastAsia="Arial" w:hAnsi="Arial"/>
                <w:sz w:val="18"/>
                <w:szCs w:val="18"/>
                <w:color w:val="auto"/>
              </w:rPr>
              <w:t>$ —</w:t>
            </w:r>
          </w:p>
        </w:tc>
        <w:tc>
          <w:tcPr>
            <w:tcW w:w="3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300" w:type="dxa"/>
            <w:vAlign w:val="bottom"/>
          </w:tcPr>
          <w:p>
            <w:pPr>
              <w:jc w:val="right"/>
              <w:spacing w:after="0"/>
              <w:rPr>
                <w:sz w:val="20"/>
                <w:szCs w:val="20"/>
                <w:color w:val="auto"/>
              </w:rPr>
            </w:pPr>
            <w:r>
              <w:rPr>
                <w:rFonts w:ascii="Arial" w:cs="Arial" w:eastAsia="Arial" w:hAnsi="Arial"/>
                <w:sz w:val="18"/>
                <w:szCs w:val="18"/>
                <w:color w:val="auto"/>
              </w:rPr>
              <w:t>29</w:t>
            </w:r>
          </w:p>
        </w:tc>
        <w:tc>
          <w:tcPr>
            <w:tcW w:w="3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2,752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 w:type="dxa"/>
            <w:vAlign w:val="bottom"/>
            <w:shd w:val="clear" w:color="auto" w:fill="CCEEFF"/>
          </w:tcPr>
          <w:p>
            <w:pPr>
              <w:spacing w:after="0"/>
              <w:rPr>
                <w:sz w:val="20"/>
                <w:szCs w:val="20"/>
                <w:color w:val="auto"/>
              </w:rPr>
            </w:pPr>
            <w:r>
              <w:rPr>
                <w:rFonts w:ascii="Arial" w:cs="Arial" w:eastAsia="Arial" w:hAnsi="Arial"/>
                <w:sz w:val="18"/>
                <w:szCs w:val="18"/>
                <w:color w:val="auto"/>
              </w:rPr>
              <w:t>AA</w:t>
            </w: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80" w:type="dxa"/>
            <w:vAlign w:val="bottom"/>
            <w:shd w:val="clear" w:color="auto" w:fill="CCEEFF"/>
          </w:tcPr>
          <w:p>
            <w:pPr>
              <w:spacing w:after="0"/>
              <w:rPr>
                <w:sz w:val="18"/>
                <w:szCs w:val="18"/>
                <w:color w:val="auto"/>
              </w:rPr>
            </w:pPr>
          </w:p>
        </w:tc>
        <w:tc>
          <w:tcPr>
            <w:tcW w:w="2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45</w:t>
            </w:r>
          </w:p>
        </w:tc>
        <w:tc>
          <w:tcPr>
            <w:tcW w:w="6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46</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109</w:t>
            </w:r>
          </w:p>
        </w:tc>
        <w:tc>
          <w:tcPr>
            <w:tcW w:w="7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61</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 w:type="dxa"/>
            <w:vAlign w:val="bottom"/>
          </w:tcPr>
          <w:p>
            <w:pPr>
              <w:spacing w:after="0"/>
              <w:rPr>
                <w:sz w:val="20"/>
                <w:szCs w:val="20"/>
                <w:color w:val="auto"/>
              </w:rPr>
            </w:pPr>
            <w:r>
              <w:rPr>
                <w:rFonts w:ascii="Arial" w:cs="Arial" w:eastAsia="Arial" w:hAnsi="Arial"/>
                <w:sz w:val="18"/>
                <w:szCs w:val="18"/>
                <w:color w:val="auto"/>
              </w:rPr>
              <w:t>A</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Arial" w:cs="Arial" w:eastAsia="Arial" w:hAnsi="Arial"/>
                <w:sz w:val="18"/>
                <w:szCs w:val="18"/>
                <w:color w:val="auto"/>
              </w:rPr>
              <w:t>49</w:t>
            </w:r>
          </w:p>
        </w:tc>
        <w:tc>
          <w:tcPr>
            <w:tcW w:w="640" w:type="dxa"/>
            <w:vAlign w:val="bottom"/>
            <w:gridSpan w:val="3"/>
          </w:tcPr>
          <w:p>
            <w:pPr>
              <w:jc w:val="right"/>
              <w:ind w:right="120"/>
              <w:spacing w:after="0"/>
              <w:rPr>
                <w:sz w:val="20"/>
                <w:szCs w:val="20"/>
                <w:color w:val="auto"/>
              </w:rPr>
            </w:pPr>
            <w:r>
              <w:rPr>
                <w:rFonts w:ascii="Arial" w:cs="Arial" w:eastAsia="Arial" w:hAnsi="Arial"/>
                <w:sz w:val="18"/>
                <w:szCs w:val="18"/>
                <w:color w:val="auto"/>
              </w:rPr>
              <w:t>26</w:t>
            </w: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78</w:t>
            </w:r>
          </w:p>
        </w:tc>
        <w:tc>
          <w:tcPr>
            <w:tcW w:w="760" w:type="dxa"/>
            <w:vAlign w:val="bottom"/>
            <w:gridSpan w:val="3"/>
          </w:tcPr>
          <w:p>
            <w:pPr>
              <w:jc w:val="right"/>
              <w:ind w:right="120"/>
              <w:spacing w:after="0"/>
              <w:rPr>
                <w:sz w:val="20"/>
                <w:szCs w:val="20"/>
                <w:color w:val="auto"/>
              </w:rPr>
            </w:pPr>
            <w:r>
              <w:rPr>
                <w:rFonts w:ascii="Arial" w:cs="Arial" w:eastAsia="Arial" w:hAnsi="Arial"/>
                <w:sz w:val="18"/>
                <w:szCs w:val="18"/>
                <w:color w:val="auto"/>
              </w:rPr>
              <w:t>107</w:t>
            </w:r>
          </w:p>
        </w:tc>
        <w:tc>
          <w:tcPr>
            <w:tcW w:w="100" w:type="dxa"/>
            <w:vAlign w:val="bottom"/>
          </w:tcPr>
          <w:p>
            <w:pPr>
              <w:spacing w:after="0"/>
              <w:rPr>
                <w:sz w:val="18"/>
                <w:szCs w:val="18"/>
                <w:color w:val="auto"/>
              </w:rPr>
            </w:pPr>
          </w:p>
        </w:tc>
        <w:tc>
          <w:tcPr>
            <w:tcW w:w="4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260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 w:type="dxa"/>
            <w:vAlign w:val="bottom"/>
            <w:shd w:val="clear" w:color="auto" w:fill="CCEEFF"/>
          </w:tcPr>
          <w:p>
            <w:pPr>
              <w:spacing w:after="0"/>
              <w:rPr>
                <w:sz w:val="20"/>
                <w:szCs w:val="20"/>
                <w:color w:val="auto"/>
              </w:rPr>
            </w:pPr>
            <w:r>
              <w:rPr>
                <w:rFonts w:ascii="Arial" w:cs="Arial" w:eastAsia="Arial" w:hAnsi="Arial"/>
                <w:sz w:val="18"/>
                <w:szCs w:val="18"/>
                <w:color w:val="auto"/>
              </w:rPr>
              <w:t>BBB</w:t>
            </w: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80" w:type="dxa"/>
            <w:vAlign w:val="bottom"/>
            <w:shd w:val="clear" w:color="auto" w:fill="CCEEFF"/>
          </w:tcPr>
          <w:p>
            <w:pPr>
              <w:spacing w:after="0"/>
              <w:rPr>
                <w:sz w:val="18"/>
                <w:szCs w:val="18"/>
                <w:color w:val="auto"/>
              </w:rPr>
            </w:pPr>
          </w:p>
        </w:tc>
        <w:tc>
          <w:tcPr>
            <w:tcW w:w="2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w:t>
            </w:r>
          </w:p>
        </w:tc>
        <w:tc>
          <w:tcPr>
            <w:tcW w:w="6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17</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7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47</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 w:type="dxa"/>
            <w:vAlign w:val="bottom"/>
          </w:tcPr>
          <w:p>
            <w:pPr>
              <w:spacing w:after="0"/>
              <w:rPr>
                <w:sz w:val="20"/>
                <w:szCs w:val="20"/>
                <w:color w:val="auto"/>
              </w:rPr>
            </w:pPr>
            <w:r>
              <w:rPr>
                <w:rFonts w:ascii="Arial" w:cs="Arial" w:eastAsia="Arial" w:hAnsi="Arial"/>
                <w:sz w:val="18"/>
                <w:szCs w:val="18"/>
                <w:color w:val="auto"/>
              </w:rPr>
              <w:t>BB</w:t>
            </w: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Arial" w:cs="Arial" w:eastAsia="Arial" w:hAnsi="Arial"/>
                <w:sz w:val="18"/>
                <w:szCs w:val="18"/>
                <w:color w:val="auto"/>
              </w:rPr>
              <w:t>33</w:t>
            </w:r>
          </w:p>
        </w:tc>
        <w:tc>
          <w:tcPr>
            <w:tcW w:w="640" w:type="dxa"/>
            <w:vAlign w:val="bottom"/>
            <w:gridSpan w:val="3"/>
          </w:tcPr>
          <w:p>
            <w:pPr>
              <w:jc w:val="right"/>
              <w:ind w:right="120"/>
              <w:spacing w:after="0"/>
              <w:rPr>
                <w:sz w:val="20"/>
                <w:szCs w:val="20"/>
                <w:color w:val="auto"/>
              </w:rPr>
            </w:pPr>
            <w:r>
              <w:rPr>
                <w:rFonts w:ascii="Arial" w:cs="Arial" w:eastAsia="Arial" w:hAnsi="Arial"/>
                <w:sz w:val="18"/>
                <w:szCs w:val="18"/>
                <w:color w:val="auto"/>
              </w:rPr>
              <w:t>7</w:t>
            </w: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47</w:t>
            </w:r>
          </w:p>
        </w:tc>
        <w:tc>
          <w:tcPr>
            <w:tcW w:w="760" w:type="dxa"/>
            <w:vAlign w:val="bottom"/>
            <w:gridSpan w:val="3"/>
          </w:tcPr>
          <w:p>
            <w:pPr>
              <w:jc w:val="right"/>
              <w:ind w:right="120"/>
              <w:spacing w:after="0"/>
              <w:rPr>
                <w:sz w:val="20"/>
                <w:szCs w:val="20"/>
                <w:color w:val="auto"/>
              </w:rPr>
            </w:pPr>
            <w:r>
              <w:rPr>
                <w:rFonts w:ascii="Arial" w:cs="Arial" w:eastAsia="Arial" w:hAnsi="Arial"/>
                <w:sz w:val="18"/>
                <w:szCs w:val="18"/>
                <w:color w:val="auto"/>
              </w:rPr>
              <w:t>75</w:t>
            </w:r>
          </w:p>
        </w:tc>
        <w:tc>
          <w:tcPr>
            <w:tcW w:w="100" w:type="dxa"/>
            <w:vAlign w:val="bottom"/>
          </w:tcPr>
          <w:p>
            <w:pPr>
              <w:spacing w:after="0"/>
              <w:rPr>
                <w:sz w:val="18"/>
                <w:szCs w:val="18"/>
                <w:color w:val="auto"/>
              </w:rPr>
            </w:pPr>
          </w:p>
        </w:tc>
        <w:tc>
          <w:tcPr>
            <w:tcW w:w="4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162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 w:type="dxa"/>
            <w:vAlign w:val="bottom"/>
            <w:shd w:val="clear" w:color="auto" w:fill="CCEEFF"/>
          </w:tcPr>
          <w:p>
            <w:pPr>
              <w:spacing w:after="0"/>
              <w:rPr>
                <w:sz w:val="20"/>
                <w:szCs w:val="20"/>
                <w:color w:val="auto"/>
              </w:rPr>
            </w:pPr>
            <w:r>
              <w:rPr>
                <w:rFonts w:ascii="Arial" w:cs="Arial" w:eastAsia="Arial" w:hAnsi="Arial"/>
                <w:sz w:val="18"/>
                <w:szCs w:val="18"/>
                <w:color w:val="auto"/>
              </w:rPr>
              <w:t>B</w:t>
            </w: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80" w:type="dxa"/>
            <w:vAlign w:val="bottom"/>
            <w:shd w:val="clear" w:color="auto" w:fill="CCEEFF"/>
          </w:tcPr>
          <w:p>
            <w:pPr>
              <w:spacing w:after="0"/>
              <w:rPr>
                <w:sz w:val="18"/>
                <w:szCs w:val="18"/>
                <w:color w:val="auto"/>
              </w:rPr>
            </w:pPr>
          </w:p>
        </w:tc>
        <w:tc>
          <w:tcPr>
            <w:tcW w:w="2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7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21</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4"/>
          </w:tcPr>
          <w:p>
            <w:pPr>
              <w:spacing w:after="0"/>
              <w:rPr>
                <w:sz w:val="20"/>
                <w:szCs w:val="20"/>
                <w:color w:val="auto"/>
              </w:rPr>
            </w:pPr>
            <w:r>
              <w:rPr>
                <w:rFonts w:ascii="Arial" w:cs="Arial" w:eastAsia="Arial" w:hAnsi="Arial"/>
                <w:sz w:val="18"/>
                <w:szCs w:val="18"/>
                <w:color w:val="auto"/>
              </w:rPr>
              <w:t>CCC and lower</w:t>
            </w:r>
          </w:p>
        </w:tc>
        <w:tc>
          <w:tcPr>
            <w:tcW w:w="2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Arial" w:cs="Arial" w:eastAsia="Arial" w:hAnsi="Arial"/>
                <w:sz w:val="18"/>
                <w:szCs w:val="18"/>
                <w:color w:val="auto"/>
              </w:rPr>
              <w:t>15</w:t>
            </w:r>
          </w:p>
        </w:tc>
        <w:tc>
          <w:tcPr>
            <w:tcW w:w="640" w:type="dxa"/>
            <w:vAlign w:val="bottom"/>
            <w:gridSpan w:val="3"/>
          </w:tcPr>
          <w:p>
            <w:pPr>
              <w:jc w:val="right"/>
              <w:ind w:right="120"/>
              <w:spacing w:after="0"/>
              <w:rPr>
                <w:sz w:val="20"/>
                <w:szCs w:val="20"/>
                <w:color w:val="auto"/>
              </w:rPr>
            </w:pPr>
            <w:r>
              <w:rPr>
                <w:rFonts w:ascii="Arial" w:cs="Arial" w:eastAsia="Arial" w:hAnsi="Arial"/>
                <w:sz w:val="18"/>
                <w:szCs w:val="18"/>
                <w:color w:val="auto"/>
              </w:rPr>
              <w:t>6</w:t>
            </w: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60</w:t>
            </w:r>
          </w:p>
        </w:tc>
        <w:tc>
          <w:tcPr>
            <w:tcW w:w="760" w:type="dxa"/>
            <w:vAlign w:val="bottom"/>
            <w:gridSpan w:val="3"/>
          </w:tcPr>
          <w:p>
            <w:pPr>
              <w:jc w:val="right"/>
              <w:ind w:right="12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8"/>
                <w:szCs w:val="18"/>
                <w:color w:val="auto"/>
              </w:rPr>
            </w:pPr>
          </w:p>
        </w:tc>
        <w:tc>
          <w:tcPr>
            <w:tcW w:w="4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86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20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Total commercial mortgage-backed securities</w:t>
            </w:r>
          </w:p>
        </w:tc>
        <w:tc>
          <w:tcPr>
            <w:tcW w:w="21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2,153</w:t>
            </w:r>
          </w:p>
        </w:tc>
        <w:tc>
          <w:tcPr>
            <w:tcW w:w="6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$ 434</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$ 676</w:t>
            </w:r>
          </w:p>
        </w:tc>
        <w:tc>
          <w:tcPr>
            <w:tcW w:w="7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$ 434</w:t>
            </w:r>
          </w:p>
        </w:tc>
        <w:tc>
          <w:tcPr>
            <w:tcW w:w="54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 —</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3,726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vMerge w:val="restart"/>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740" w:type="dxa"/>
            <w:vAlign w:val="bottom"/>
            <w:tcBorders>
              <w:bottom w:val="single" w:sz="8" w:color="auto"/>
            </w:tcBorders>
          </w:tcPr>
          <w:p>
            <w:pPr>
              <w:spacing w:after="0"/>
              <w:rPr>
                <w:sz w:val="8"/>
                <w:szCs w:val="8"/>
                <w:color w:val="auto"/>
              </w:rPr>
            </w:pPr>
          </w:p>
        </w:tc>
        <w:tc>
          <w:tcPr>
            <w:tcW w:w="180" w:type="dxa"/>
            <w:vAlign w:val="bottom"/>
          </w:tcPr>
          <w:p>
            <w:pPr>
              <w:spacing w:after="0"/>
              <w:rPr>
                <w:sz w:val="8"/>
                <w:szCs w:val="8"/>
                <w:color w:val="auto"/>
              </w:rPr>
            </w:pPr>
          </w:p>
        </w:tc>
        <w:tc>
          <w:tcPr>
            <w:tcW w:w="3280" w:type="dxa"/>
            <w:vAlign w:val="bottom"/>
          </w:tcPr>
          <w:p>
            <w:pPr>
              <w:spacing w:after="0"/>
              <w:rPr>
                <w:sz w:val="8"/>
                <w:szCs w:val="8"/>
                <w:color w:val="auto"/>
              </w:rPr>
            </w:pPr>
          </w:p>
        </w:tc>
        <w:tc>
          <w:tcPr>
            <w:tcW w:w="2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20" w:type="dxa"/>
            <w:vAlign w:val="bottom"/>
          </w:tcPr>
          <w:p>
            <w:pPr>
              <w:spacing w:after="0"/>
              <w:rPr>
                <w:sz w:val="8"/>
                <w:szCs w:val="8"/>
                <w:color w:val="auto"/>
              </w:rPr>
            </w:pPr>
          </w:p>
        </w:tc>
        <w:tc>
          <w:tcPr>
            <w:tcW w:w="220" w:type="dxa"/>
            <w:vAlign w:val="bottom"/>
          </w:tcPr>
          <w:p>
            <w:pPr>
              <w:spacing w:after="0"/>
              <w:rPr>
                <w:sz w:val="8"/>
                <w:szCs w:val="8"/>
                <w:color w:val="auto"/>
              </w:rPr>
            </w:pPr>
          </w:p>
        </w:tc>
        <w:tc>
          <w:tcPr>
            <w:tcW w:w="4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3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20" w:type="dxa"/>
            <w:vAlign w:val="bottom"/>
            <w:vMerge w:val="continue"/>
          </w:tcPr>
          <w:p>
            <w:pPr>
              <w:spacing w:after="0"/>
              <w:rPr>
                <w:sz w:val="11"/>
                <w:szCs w:val="11"/>
                <w:color w:val="auto"/>
              </w:rPr>
            </w:pPr>
          </w:p>
        </w:tc>
        <w:tc>
          <w:tcPr>
            <w:tcW w:w="400" w:type="dxa"/>
            <w:vAlign w:val="bottom"/>
          </w:tcPr>
          <w:p>
            <w:pPr>
              <w:spacing w:after="0"/>
              <w:rPr>
                <w:sz w:val="20"/>
                <w:szCs w:val="20"/>
                <w:color w:val="auto"/>
              </w:rPr>
            </w:pPr>
            <w:r>
              <w:rPr>
                <w:rFonts w:ascii="Arial" w:cs="Arial" w:eastAsia="Arial" w:hAnsi="Arial"/>
                <w:sz w:val="11"/>
                <w:szCs w:val="11"/>
                <w:color w:val="auto"/>
              </w:rPr>
              <w:t>(1)</w:t>
            </w:r>
          </w:p>
        </w:tc>
        <w:tc>
          <w:tcPr>
            <w:tcW w:w="4200" w:type="dxa"/>
            <w:vAlign w:val="bottom"/>
            <w:gridSpan w:val="3"/>
            <w:vMerge w:val="restart"/>
          </w:tcPr>
          <w:p>
            <w:pPr>
              <w:ind w:left="40"/>
              <w:spacing w:after="0"/>
              <w:rPr>
                <w:sz w:val="20"/>
                <w:szCs w:val="20"/>
                <w:color w:val="auto"/>
              </w:rPr>
            </w:pPr>
            <w:r>
              <w:rPr>
                <w:rFonts w:ascii="Arial" w:cs="Arial" w:eastAsia="Arial" w:hAnsi="Arial"/>
                <w:sz w:val="18"/>
                <w:szCs w:val="18"/>
                <w:color w:val="auto"/>
              </w:rPr>
              <w:t>Based on ratings as of June 30, 2010.</w:t>
            </w:r>
          </w:p>
        </w:tc>
        <w:tc>
          <w:tcPr>
            <w:tcW w:w="2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400" w:type="dxa"/>
            <w:vAlign w:val="bottom"/>
          </w:tcPr>
          <w:p>
            <w:pPr>
              <w:spacing w:after="0"/>
              <w:rPr>
                <w:sz w:val="8"/>
                <w:szCs w:val="8"/>
                <w:color w:val="auto"/>
              </w:rPr>
            </w:pPr>
          </w:p>
        </w:tc>
        <w:tc>
          <w:tcPr>
            <w:tcW w:w="4200" w:type="dxa"/>
            <w:vAlign w:val="bottom"/>
            <w:gridSpan w:val="3"/>
            <w:vMerge w:val="continue"/>
          </w:tcPr>
          <w:p>
            <w:pPr>
              <w:spacing w:after="0"/>
              <w:rPr>
                <w:sz w:val="8"/>
                <w:szCs w:val="8"/>
                <w:color w:val="auto"/>
              </w:rPr>
            </w:pPr>
          </w:p>
        </w:tc>
        <w:tc>
          <w:tcPr>
            <w:tcW w:w="2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20" w:type="dxa"/>
            <w:vAlign w:val="bottom"/>
          </w:tcPr>
          <w:p>
            <w:pPr>
              <w:spacing w:after="0"/>
              <w:rPr>
                <w:sz w:val="8"/>
                <w:szCs w:val="8"/>
                <w:color w:val="auto"/>
              </w:rPr>
            </w:pPr>
          </w:p>
        </w:tc>
        <w:tc>
          <w:tcPr>
            <w:tcW w:w="220" w:type="dxa"/>
            <w:vAlign w:val="bottom"/>
          </w:tcPr>
          <w:p>
            <w:pPr>
              <w:spacing w:after="0"/>
              <w:rPr>
                <w:sz w:val="8"/>
                <w:szCs w:val="8"/>
                <w:color w:val="auto"/>
              </w:rPr>
            </w:pPr>
          </w:p>
        </w:tc>
        <w:tc>
          <w:tcPr>
            <w:tcW w:w="4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3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2100" w:type="dxa"/>
            <w:vAlign w:val="bottom"/>
          </w:tcPr>
          <w:p>
            <w:pPr>
              <w:jc w:val="right"/>
              <w:ind w:right="792"/>
              <w:spacing w:after="0"/>
              <w:rPr>
                <w:sz w:val="20"/>
                <w:szCs w:val="20"/>
                <w:color w:val="auto"/>
              </w:rPr>
            </w:pPr>
            <w:r>
              <w:rPr>
                <w:rFonts w:ascii="Arial" w:cs="Arial" w:eastAsia="Arial" w:hAnsi="Arial"/>
                <w:sz w:val="18"/>
                <w:szCs w:val="18"/>
                <w:color w:val="auto"/>
              </w:rPr>
              <w:t>121</w:t>
            </w: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21" w:name="page122"/>
    <w:bookmarkEnd w:id="1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fair value of our commercial mortgage-backed securities by rating and vintage was as follows as of December 31, 2009:</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3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tcPr>
          <w:p>
            <w:pPr>
              <w:jc w:val="right"/>
              <w:ind w:right="94"/>
              <w:spacing w:after="0"/>
              <w:rPr>
                <w:sz w:val="20"/>
                <w:szCs w:val="20"/>
                <w:color w:val="auto"/>
              </w:rPr>
            </w:pPr>
            <w:r>
              <w:rPr>
                <w:rFonts w:ascii="Arial" w:cs="Arial" w:eastAsia="Arial" w:hAnsi="Arial"/>
                <w:sz w:val="14"/>
                <w:szCs w:val="14"/>
                <w:b w:val="1"/>
                <w:bCs w:val="1"/>
                <w:color w:val="auto"/>
                <w:w w:val="96"/>
              </w:rPr>
              <w:t>2004</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672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76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and prior</w:t>
            </w:r>
          </w:p>
        </w:tc>
        <w:tc>
          <w:tcPr>
            <w:tcW w:w="52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2005</w:t>
            </w:r>
          </w:p>
        </w:tc>
        <w:tc>
          <w:tcPr>
            <w:tcW w:w="120" w:type="dxa"/>
            <w:vAlign w:val="bottom"/>
          </w:tcPr>
          <w:p>
            <w:pPr>
              <w:spacing w:after="0"/>
              <w:rPr>
                <w:sz w:val="14"/>
                <w:szCs w:val="14"/>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2006</w:t>
            </w:r>
          </w:p>
        </w:tc>
        <w:tc>
          <w:tcPr>
            <w:tcW w:w="22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4"/>
                <w:szCs w:val="14"/>
                <w:b w:val="1"/>
                <w:bCs w:val="1"/>
                <w:color w:val="auto"/>
              </w:rPr>
              <w:t>2007</w:t>
            </w:r>
          </w:p>
        </w:tc>
        <w:tc>
          <w:tcPr>
            <w:tcW w:w="120" w:type="dxa"/>
            <w:vAlign w:val="bottom"/>
          </w:tcPr>
          <w:p>
            <w:pPr>
              <w:spacing w:after="0"/>
              <w:rPr>
                <w:sz w:val="14"/>
                <w:szCs w:val="14"/>
                <w:color w:val="auto"/>
              </w:rPr>
            </w:pPr>
          </w:p>
        </w:tc>
        <w:tc>
          <w:tcPr>
            <w:tcW w:w="54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2008</w:t>
            </w:r>
          </w:p>
        </w:tc>
        <w:tc>
          <w:tcPr>
            <w:tcW w:w="640" w:type="dxa"/>
            <w:vAlign w:val="bottom"/>
            <w:gridSpan w:val="3"/>
          </w:tcPr>
          <w:p>
            <w:pPr>
              <w:jc w:val="right"/>
              <w:spacing w:after="0"/>
              <w:rPr>
                <w:sz w:val="20"/>
                <w:szCs w:val="20"/>
                <w:color w:val="auto"/>
              </w:rPr>
            </w:pPr>
            <w:r>
              <w:rPr>
                <w:rFonts w:ascii="Arial" w:cs="Arial" w:eastAsia="Arial" w:hAnsi="Arial"/>
                <w:sz w:val="14"/>
                <w:szCs w:val="14"/>
                <w:b w:val="1"/>
                <w:bCs w:val="1"/>
                <w:color w:val="auto"/>
              </w:rPr>
              <w:t>2009</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 xml:space="preserve">Ratings </w:t>
            </w:r>
            <w:r>
              <w:rPr>
                <w:rFonts w:ascii="Arial" w:cs="Arial" w:eastAsia="Arial" w:hAnsi="Arial"/>
                <w:sz w:val="11"/>
                <w:szCs w:val="11"/>
                <w:color w:val="auto"/>
              </w:rPr>
              <w:t>(1)</w:t>
            </w:r>
            <w:r>
              <w:rPr>
                <w:rFonts w:ascii="Arial" w:cs="Arial" w:eastAsia="Arial" w:hAnsi="Arial"/>
                <w:sz w:val="18"/>
                <w:szCs w:val="18"/>
                <w:color w:val="auto"/>
              </w:rPr>
              <w:t xml:space="preserve"> :</w:t>
            </w:r>
          </w:p>
        </w:tc>
        <w:tc>
          <w:tcPr>
            <w:tcW w:w="53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00" w:type="dxa"/>
            <w:vAlign w:val="bottom"/>
            <w:gridSpan w:val="2"/>
          </w:tcPr>
          <w:p>
            <w:pPr>
              <w:spacing w:after="0"/>
              <w:rPr>
                <w:sz w:val="20"/>
                <w:szCs w:val="20"/>
                <w:color w:val="auto"/>
              </w:rPr>
            </w:pPr>
            <w:r>
              <w:rPr>
                <w:rFonts w:ascii="Arial" w:cs="Arial" w:eastAsia="Arial" w:hAnsi="Arial"/>
                <w:sz w:val="18"/>
                <w:szCs w:val="18"/>
                <w:color w:val="auto"/>
              </w:rPr>
              <w:t>AAA</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120"/>
              <w:spacing w:after="0"/>
              <w:rPr>
                <w:sz w:val="20"/>
                <w:szCs w:val="20"/>
                <w:color w:val="auto"/>
              </w:rPr>
            </w:pPr>
            <w:r>
              <w:rPr>
                <w:rFonts w:ascii="Arial" w:cs="Arial" w:eastAsia="Arial" w:hAnsi="Arial"/>
                <w:sz w:val="18"/>
                <w:szCs w:val="18"/>
                <w:color w:val="auto"/>
              </w:rPr>
              <w:t>1,943</w:t>
            </w:r>
          </w:p>
        </w:tc>
        <w:tc>
          <w:tcPr>
            <w:tcW w:w="640" w:type="dxa"/>
            <w:vAlign w:val="bottom"/>
            <w:gridSpan w:val="3"/>
          </w:tcPr>
          <w:p>
            <w:pPr>
              <w:jc w:val="right"/>
              <w:ind w:right="120"/>
              <w:spacing w:after="0"/>
              <w:rPr>
                <w:sz w:val="20"/>
                <w:szCs w:val="20"/>
                <w:color w:val="auto"/>
              </w:rPr>
            </w:pPr>
            <w:r>
              <w:rPr>
                <w:rFonts w:ascii="Arial" w:cs="Arial" w:eastAsia="Arial" w:hAnsi="Arial"/>
                <w:sz w:val="18"/>
                <w:szCs w:val="18"/>
                <w:color w:val="auto"/>
              </w:rPr>
              <w:t>$ 338</w:t>
            </w: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$ 336</w:t>
            </w:r>
          </w:p>
        </w:tc>
        <w:tc>
          <w:tcPr>
            <w:tcW w:w="220" w:type="dxa"/>
            <w:vAlign w:val="bottom"/>
          </w:tcPr>
          <w:p>
            <w:pPr>
              <w:spacing w:after="0"/>
              <w:rPr>
                <w:sz w:val="18"/>
                <w:szCs w:val="18"/>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w w:val="88"/>
              </w:rPr>
              <w:t>$ 120</w:t>
            </w:r>
          </w:p>
        </w:tc>
        <w:tc>
          <w:tcPr>
            <w:tcW w:w="540" w:type="dxa"/>
            <w:vAlign w:val="bottom"/>
            <w:gridSpan w:val="2"/>
          </w:tcPr>
          <w:p>
            <w:pPr>
              <w:jc w:val="right"/>
              <w:ind w:right="12"/>
              <w:spacing w:after="0"/>
              <w:rPr>
                <w:sz w:val="20"/>
                <w:szCs w:val="20"/>
                <w:color w:val="auto"/>
              </w:rPr>
            </w:pPr>
            <w:r>
              <w:rPr>
                <w:rFonts w:ascii="Arial" w:cs="Arial" w:eastAsia="Arial" w:hAnsi="Arial"/>
                <w:sz w:val="18"/>
                <w:szCs w:val="18"/>
                <w:color w:val="auto"/>
              </w:rPr>
              <w:t>$ —</w:t>
            </w:r>
          </w:p>
        </w:tc>
        <w:tc>
          <w:tcPr>
            <w:tcW w:w="3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300" w:type="dxa"/>
            <w:vAlign w:val="bottom"/>
          </w:tcPr>
          <w:p>
            <w:pPr>
              <w:jc w:val="right"/>
              <w:spacing w:after="0"/>
              <w:rPr>
                <w:sz w:val="20"/>
                <w:szCs w:val="20"/>
                <w:color w:val="auto"/>
              </w:rPr>
            </w:pPr>
            <w:r>
              <w:rPr>
                <w:rFonts w:ascii="Arial" w:cs="Arial" w:eastAsia="Arial" w:hAnsi="Arial"/>
                <w:sz w:val="18"/>
                <w:szCs w:val="18"/>
                <w:color w:val="auto"/>
              </w:rPr>
              <w:t>20</w:t>
            </w:r>
          </w:p>
        </w:tc>
        <w:tc>
          <w:tcPr>
            <w:tcW w:w="3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2,757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AA</w:t>
            </w: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w:t>
            </w:r>
          </w:p>
        </w:tc>
        <w:tc>
          <w:tcPr>
            <w:tcW w:w="6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63</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22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127</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00" w:type="dxa"/>
            <w:vAlign w:val="bottom"/>
            <w:gridSpan w:val="2"/>
          </w:tcPr>
          <w:p>
            <w:pPr>
              <w:spacing w:after="0"/>
              <w:rPr>
                <w:sz w:val="20"/>
                <w:szCs w:val="20"/>
                <w:color w:val="auto"/>
              </w:rPr>
            </w:pPr>
            <w:r>
              <w:rPr>
                <w:rFonts w:ascii="Arial" w:cs="Arial" w:eastAsia="Arial" w:hAnsi="Arial"/>
                <w:sz w:val="18"/>
                <w:szCs w:val="18"/>
                <w:color w:val="auto"/>
              </w:rPr>
              <w:t>A</w:t>
            </w:r>
          </w:p>
        </w:tc>
        <w:tc>
          <w:tcPr>
            <w:tcW w:w="14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Arial" w:cs="Arial" w:eastAsia="Arial" w:hAnsi="Arial"/>
                <w:sz w:val="18"/>
                <w:szCs w:val="18"/>
                <w:color w:val="auto"/>
              </w:rPr>
              <w:t>69</w:t>
            </w:r>
          </w:p>
        </w:tc>
        <w:tc>
          <w:tcPr>
            <w:tcW w:w="640" w:type="dxa"/>
            <w:vAlign w:val="bottom"/>
            <w:gridSpan w:val="3"/>
          </w:tcPr>
          <w:p>
            <w:pPr>
              <w:jc w:val="right"/>
              <w:ind w:right="120"/>
              <w:spacing w:after="0"/>
              <w:rPr>
                <w:sz w:val="20"/>
                <w:szCs w:val="20"/>
                <w:color w:val="auto"/>
              </w:rPr>
            </w:pPr>
            <w:r>
              <w:rPr>
                <w:rFonts w:ascii="Arial" w:cs="Arial" w:eastAsia="Arial" w:hAnsi="Arial"/>
                <w:sz w:val="18"/>
                <w:szCs w:val="18"/>
                <w:color w:val="auto"/>
              </w:rPr>
              <w:t>36</w:t>
            </w: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54</w:t>
            </w:r>
          </w:p>
        </w:tc>
        <w:tc>
          <w:tcPr>
            <w:tcW w:w="220" w:type="dxa"/>
            <w:vAlign w:val="bottom"/>
          </w:tcPr>
          <w:p>
            <w:pPr>
              <w:spacing w:after="0"/>
              <w:rPr>
                <w:sz w:val="18"/>
                <w:szCs w:val="18"/>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18"/>
                <w:szCs w:val="18"/>
                <w:color w:val="auto"/>
              </w:rPr>
            </w:pPr>
          </w:p>
        </w:tc>
        <w:tc>
          <w:tcPr>
            <w:tcW w:w="4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BBB</w:t>
            </w: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w:t>
            </w:r>
          </w:p>
        </w:tc>
        <w:tc>
          <w:tcPr>
            <w:tcW w:w="6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12</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22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00" w:type="dxa"/>
            <w:vAlign w:val="bottom"/>
            <w:gridSpan w:val="2"/>
          </w:tcPr>
          <w:p>
            <w:pPr>
              <w:spacing w:after="0"/>
              <w:rPr>
                <w:sz w:val="20"/>
                <w:szCs w:val="20"/>
                <w:color w:val="auto"/>
              </w:rPr>
            </w:pPr>
            <w:r>
              <w:rPr>
                <w:rFonts w:ascii="Arial" w:cs="Arial" w:eastAsia="Arial" w:hAnsi="Arial"/>
                <w:sz w:val="18"/>
                <w:szCs w:val="18"/>
                <w:color w:val="auto"/>
              </w:rPr>
              <w:t>BB</w:t>
            </w:r>
          </w:p>
        </w:tc>
        <w:tc>
          <w:tcPr>
            <w:tcW w:w="14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Arial" w:cs="Arial" w:eastAsia="Arial" w:hAnsi="Arial"/>
                <w:sz w:val="18"/>
                <w:szCs w:val="18"/>
                <w:color w:val="auto"/>
              </w:rPr>
              <w:t>30</w:t>
            </w:r>
          </w:p>
        </w:tc>
        <w:tc>
          <w:tcPr>
            <w:tcW w:w="640" w:type="dxa"/>
            <w:vAlign w:val="bottom"/>
            <w:gridSpan w:val="3"/>
          </w:tcPr>
          <w:p>
            <w:pPr>
              <w:jc w:val="right"/>
              <w:ind w:right="120"/>
              <w:spacing w:after="0"/>
              <w:rPr>
                <w:sz w:val="20"/>
                <w:szCs w:val="20"/>
                <w:color w:val="auto"/>
              </w:rPr>
            </w:pPr>
            <w:r>
              <w:rPr>
                <w:rFonts w:ascii="Arial" w:cs="Arial" w:eastAsia="Arial" w:hAnsi="Arial"/>
                <w:sz w:val="18"/>
                <w:szCs w:val="18"/>
                <w:color w:val="auto"/>
              </w:rPr>
              <w:t>6</w:t>
            </w: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33</w:t>
            </w:r>
          </w:p>
        </w:tc>
        <w:tc>
          <w:tcPr>
            <w:tcW w:w="220" w:type="dxa"/>
            <w:vAlign w:val="bottom"/>
          </w:tcPr>
          <w:p>
            <w:pPr>
              <w:spacing w:after="0"/>
              <w:rPr>
                <w:sz w:val="18"/>
                <w:szCs w:val="18"/>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18"/>
                <w:szCs w:val="18"/>
                <w:color w:val="auto"/>
              </w:rPr>
            </w:pPr>
          </w:p>
        </w:tc>
        <w:tc>
          <w:tcPr>
            <w:tcW w:w="4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2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00" w:type="dxa"/>
            <w:vAlign w:val="bottom"/>
            <w:gridSpan w:val="2"/>
          </w:tcPr>
          <w:p>
            <w:pPr>
              <w:spacing w:after="0"/>
              <w:rPr>
                <w:sz w:val="20"/>
                <w:szCs w:val="20"/>
                <w:color w:val="auto"/>
              </w:rPr>
            </w:pPr>
            <w:r>
              <w:rPr>
                <w:rFonts w:ascii="Arial" w:cs="Arial" w:eastAsia="Arial" w:hAnsi="Arial"/>
                <w:sz w:val="18"/>
                <w:szCs w:val="18"/>
                <w:color w:val="auto"/>
              </w:rPr>
              <w:t>CCC and lower</w:t>
            </w:r>
          </w:p>
        </w:tc>
        <w:tc>
          <w:tcPr>
            <w:tcW w:w="14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Arial" w:cs="Arial" w:eastAsia="Arial" w:hAnsi="Arial"/>
                <w:sz w:val="18"/>
                <w:szCs w:val="18"/>
                <w:color w:val="auto"/>
              </w:rPr>
              <w:t>10</w:t>
            </w:r>
          </w:p>
        </w:tc>
        <w:tc>
          <w:tcPr>
            <w:tcW w:w="640" w:type="dxa"/>
            <w:vAlign w:val="bottom"/>
            <w:gridSpan w:val="3"/>
          </w:tcPr>
          <w:p>
            <w:pPr>
              <w:jc w:val="right"/>
              <w:ind w:right="120"/>
              <w:spacing w:after="0"/>
              <w:rPr>
                <w:sz w:val="20"/>
                <w:szCs w:val="20"/>
                <w:color w:val="auto"/>
              </w:rPr>
            </w:pPr>
            <w:r>
              <w:rPr>
                <w:rFonts w:ascii="Arial" w:cs="Arial" w:eastAsia="Arial" w:hAnsi="Arial"/>
                <w:sz w:val="18"/>
                <w:szCs w:val="18"/>
                <w:color w:val="auto"/>
              </w:rPr>
              <w:t>4</w:t>
            </w:r>
          </w:p>
        </w:tc>
        <w:tc>
          <w:tcPr>
            <w:tcW w:w="740" w:type="dxa"/>
            <w:vAlign w:val="bottom"/>
            <w:gridSpan w:val="3"/>
          </w:tcPr>
          <w:p>
            <w:pPr>
              <w:jc w:val="right"/>
              <w:ind w:right="220"/>
              <w:spacing w:after="0"/>
              <w:rPr>
                <w:sz w:val="20"/>
                <w:szCs w:val="20"/>
                <w:color w:val="auto"/>
              </w:rPr>
            </w:pPr>
            <w:r>
              <w:rPr>
                <w:rFonts w:ascii="Arial" w:cs="Arial" w:eastAsia="Arial" w:hAnsi="Arial"/>
                <w:sz w:val="18"/>
                <w:szCs w:val="18"/>
                <w:color w:val="auto"/>
              </w:rPr>
              <w:t>11</w:t>
            </w:r>
          </w:p>
        </w:tc>
        <w:tc>
          <w:tcPr>
            <w:tcW w:w="5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4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3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7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commercial mortgage-backed securities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2,171</w:t>
            </w:r>
          </w:p>
        </w:tc>
        <w:tc>
          <w:tcPr>
            <w:tcW w:w="6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$ 459</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$ 570</w:t>
            </w:r>
          </w:p>
        </w:tc>
        <w:tc>
          <w:tcPr>
            <w:tcW w:w="22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8"/>
              </w:rPr>
              <w:t>$ 397</w:t>
            </w:r>
          </w:p>
        </w:tc>
        <w:tc>
          <w:tcPr>
            <w:tcW w:w="54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 —</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3,617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3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13"/>
        </w:numPr>
        <w:rPr>
          <w:rFonts w:ascii="Arial" w:cs="Arial" w:eastAsia="Arial" w:hAnsi="Arial"/>
          <w:sz w:val="22"/>
          <w:szCs w:val="22"/>
          <w:color w:val="auto"/>
          <w:vertAlign w:val="superscript"/>
        </w:rPr>
      </w:pPr>
      <w:r>
        <w:rPr>
          <w:rFonts w:ascii="Arial" w:cs="Arial" w:eastAsia="Arial" w:hAnsi="Arial"/>
          <w:sz w:val="18"/>
          <w:szCs w:val="18"/>
          <w:color w:val="auto"/>
        </w:rPr>
        <w:t>Based on ratings as of December 31, 2009.</w:t>
      </w:r>
    </w:p>
    <w:p>
      <w:pPr>
        <w:spacing w:after="0" w:line="236" w:lineRule="exact"/>
        <w:rPr>
          <w:rFonts w:ascii="Arial" w:cs="Arial" w:eastAsia="Arial" w:hAnsi="Arial"/>
          <w:sz w:val="22"/>
          <w:szCs w:val="22"/>
          <w:color w:val="auto"/>
          <w:vertAlign w:val="superscript"/>
        </w:rPr>
      </w:pPr>
    </w:p>
    <w:p>
      <w:pPr>
        <w:ind w:left="460"/>
        <w:spacing w:after="0"/>
        <w:rPr>
          <w:rFonts w:ascii="Arial" w:cs="Arial" w:eastAsia="Arial" w:hAnsi="Arial"/>
          <w:sz w:val="22"/>
          <w:szCs w:val="22"/>
          <w:color w:val="auto"/>
          <w:vertAlign w:val="superscript"/>
        </w:rPr>
      </w:pPr>
      <w:r>
        <w:rPr>
          <w:rFonts w:ascii="Arial" w:cs="Arial" w:eastAsia="Arial" w:hAnsi="Arial"/>
          <w:sz w:val="18"/>
          <w:szCs w:val="18"/>
          <w:i w:val="1"/>
          <w:iCs w:val="1"/>
          <w:color w:val="auto"/>
        </w:rPr>
        <w:t>Commercial mortgage loans</w:t>
      </w:r>
    </w:p>
    <w:p>
      <w:pPr>
        <w:spacing w:after="0" w:line="90" w:lineRule="exact"/>
        <w:rPr>
          <w:rFonts w:ascii="Arial" w:cs="Arial" w:eastAsia="Arial" w:hAnsi="Arial"/>
          <w:sz w:val="22"/>
          <w:szCs w:val="22"/>
          <w:color w:val="auto"/>
          <w:vertAlign w:val="superscript"/>
        </w:rPr>
      </w:pPr>
    </w:p>
    <w:p>
      <w:pPr>
        <w:ind w:left="460"/>
        <w:spacing w:after="0"/>
        <w:rPr>
          <w:rFonts w:ascii="Arial" w:cs="Arial" w:eastAsia="Arial" w:hAnsi="Arial"/>
          <w:sz w:val="22"/>
          <w:szCs w:val="22"/>
          <w:color w:val="auto"/>
          <w:vertAlign w:val="superscript"/>
        </w:rPr>
      </w:pPr>
      <w:r>
        <w:rPr>
          <w:rFonts w:ascii="Arial" w:cs="Arial" w:eastAsia="Arial" w:hAnsi="Arial"/>
          <w:sz w:val="18"/>
          <w:szCs w:val="18"/>
          <w:color w:val="auto"/>
        </w:rPr>
        <w:t>The following tables set forth additional information regarding our commercial mortgage loans as of the dates indicated: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-631190</wp:posOffset>
            </wp:positionV>
            <wp:extent cx="728980"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3"/>
          </w:tcPr>
          <w:p>
            <w:pPr>
              <w:jc w:val="right"/>
              <w:ind w:right="480"/>
              <w:spacing w:after="0"/>
              <w:rPr>
                <w:sz w:val="20"/>
                <w:szCs w:val="20"/>
                <w:color w:val="auto"/>
              </w:rPr>
            </w:pPr>
            <w:r>
              <w:rPr>
                <w:rFonts w:ascii="Arial" w:cs="Arial" w:eastAsia="Arial" w:hAnsi="Arial"/>
                <w:sz w:val="14"/>
                <w:szCs w:val="14"/>
                <w:b w:val="1"/>
                <w:bCs w:val="1"/>
                <w:color w:val="auto"/>
              </w:rPr>
              <w:t>June 30, 2010</w:t>
            </w:r>
          </w:p>
        </w:tc>
        <w:tc>
          <w:tcPr>
            <w:tcW w:w="6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3700" w:type="dxa"/>
            <w:vAlign w:val="bottom"/>
          </w:tcPr>
          <w:p>
            <w:pPr>
              <w:spacing w:after="0"/>
              <w:rPr>
                <w:sz w:val="12"/>
                <w:szCs w:val="12"/>
                <w:color w:val="auto"/>
              </w:rPr>
            </w:pPr>
          </w:p>
        </w:tc>
        <w:tc>
          <w:tcPr>
            <w:tcW w:w="5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84"/>
              </w:rPr>
              <w:t>Total loan</w:t>
            </w: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60" w:type="dxa"/>
            <w:vAlign w:val="bottom"/>
            <w:gridSpan w:val="2"/>
          </w:tcPr>
          <w:p>
            <w:pPr>
              <w:jc w:val="center"/>
              <w:ind w:right="600"/>
              <w:spacing w:after="0" w:line="142" w:lineRule="exact"/>
              <w:rPr>
                <w:sz w:val="20"/>
                <w:szCs w:val="20"/>
                <w:color w:val="auto"/>
              </w:rPr>
            </w:pPr>
            <w:r>
              <w:rPr>
                <w:rFonts w:ascii="Arial" w:cs="Arial" w:eastAsia="Arial" w:hAnsi="Arial"/>
                <w:sz w:val="14"/>
                <w:szCs w:val="14"/>
                <w:b w:val="1"/>
                <w:bCs w:val="1"/>
                <w:color w:val="auto"/>
                <w:w w:val="88"/>
              </w:rPr>
              <w:t>Number of</w:t>
            </w: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(Loan amounts in millions)</w:t>
            </w:r>
          </w:p>
        </w:tc>
        <w:tc>
          <w:tcPr>
            <w:tcW w:w="5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1"/>
              </w:rPr>
              <w:t>balance</w:t>
            </w:r>
          </w:p>
        </w:tc>
        <w:tc>
          <w:tcPr>
            <w:tcW w:w="620" w:type="dxa"/>
            <w:vAlign w:val="bottom"/>
          </w:tcPr>
          <w:p>
            <w:pPr>
              <w:spacing w:after="0"/>
              <w:rPr>
                <w:sz w:val="12"/>
                <w:szCs w:val="12"/>
                <w:color w:val="auto"/>
              </w:rPr>
            </w:pPr>
          </w:p>
        </w:tc>
        <w:tc>
          <w:tcPr>
            <w:tcW w:w="1040" w:type="dxa"/>
            <w:vAlign w:val="bottom"/>
            <w:gridSpan w:val="3"/>
          </w:tcPr>
          <w:p>
            <w:pPr>
              <w:jc w:val="right"/>
              <w:ind w:right="360"/>
              <w:spacing w:after="0" w:line="149" w:lineRule="exact"/>
              <w:rPr>
                <w:sz w:val="20"/>
                <w:szCs w:val="20"/>
                <w:color w:val="auto"/>
              </w:rPr>
            </w:pPr>
            <w:r>
              <w:rPr>
                <w:rFonts w:ascii="Arial" w:cs="Arial" w:eastAsia="Arial" w:hAnsi="Arial"/>
                <w:sz w:val="14"/>
                <w:szCs w:val="14"/>
                <w:b w:val="1"/>
                <w:bCs w:val="1"/>
                <w:color w:val="auto"/>
                <w:w w:val="91"/>
              </w:rPr>
              <w:t>Delinquent</w:t>
            </w:r>
          </w:p>
        </w:tc>
        <w:tc>
          <w:tcPr>
            <w:tcW w:w="300" w:type="dxa"/>
            <w:vAlign w:val="bottom"/>
          </w:tcPr>
          <w:p>
            <w:pPr>
              <w:spacing w:after="0"/>
              <w:rPr>
                <w:sz w:val="12"/>
                <w:szCs w:val="12"/>
                <w:color w:val="auto"/>
              </w:rPr>
            </w:pPr>
          </w:p>
        </w:tc>
        <w:tc>
          <w:tcPr>
            <w:tcW w:w="1260" w:type="dxa"/>
            <w:vAlign w:val="bottom"/>
            <w:gridSpan w:val="2"/>
          </w:tcPr>
          <w:p>
            <w:pPr>
              <w:jc w:val="right"/>
              <w:ind w:right="620"/>
              <w:spacing w:after="0" w:line="149" w:lineRule="exact"/>
              <w:rPr>
                <w:sz w:val="20"/>
                <w:szCs w:val="20"/>
                <w:color w:val="auto"/>
              </w:rPr>
            </w:pPr>
            <w:r>
              <w:rPr>
                <w:rFonts w:ascii="Arial" w:cs="Arial" w:eastAsia="Arial" w:hAnsi="Arial"/>
                <w:sz w:val="14"/>
                <w:szCs w:val="14"/>
                <w:b w:val="1"/>
                <w:bCs w:val="1"/>
                <w:color w:val="auto"/>
                <w:w w:val="88"/>
              </w:rPr>
              <w:t>Number of</w:t>
            </w:r>
          </w:p>
        </w:tc>
        <w:tc>
          <w:tcPr>
            <w:tcW w:w="1260" w:type="dxa"/>
            <w:vAlign w:val="bottom"/>
            <w:gridSpan w:val="2"/>
          </w:tcPr>
          <w:p>
            <w:pPr>
              <w:jc w:val="center"/>
              <w:ind w:right="620"/>
              <w:spacing w:after="0" w:line="149" w:lineRule="exact"/>
              <w:rPr>
                <w:sz w:val="20"/>
                <w:szCs w:val="20"/>
                <w:color w:val="auto"/>
              </w:rPr>
            </w:pPr>
            <w:r>
              <w:rPr>
                <w:rFonts w:ascii="Arial" w:cs="Arial" w:eastAsia="Arial" w:hAnsi="Arial"/>
                <w:sz w:val="14"/>
                <w:szCs w:val="14"/>
                <w:b w:val="1"/>
                <w:bCs w:val="1"/>
                <w:color w:val="auto"/>
                <w:w w:val="84"/>
              </w:rPr>
              <w:t>delinquent</w:t>
            </w:r>
          </w:p>
        </w:tc>
        <w:tc>
          <w:tcPr>
            <w:tcW w:w="100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w w:val="84"/>
              </w:rPr>
              <w:t>Average loan-</w:t>
            </w:r>
          </w:p>
        </w:tc>
        <w:tc>
          <w:tcPr>
            <w:tcW w:w="0" w:type="dxa"/>
            <w:vAlign w:val="bottom"/>
          </w:tcPr>
          <w:p>
            <w:pPr>
              <w:spacing w:after="0"/>
              <w:rPr>
                <w:sz w:val="1"/>
                <w:szCs w:val="1"/>
                <w:color w:val="auto"/>
              </w:rPr>
            </w:pPr>
          </w:p>
        </w:tc>
      </w:tr>
      <w:tr>
        <w:trPr>
          <w:trHeight w:val="149"/>
        </w:trPr>
        <w:tc>
          <w:tcPr>
            <w:tcW w:w="536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440" w:type="dxa"/>
            <w:vAlign w:val="bottom"/>
          </w:tcPr>
          <w:p>
            <w:pPr>
              <w:jc w:val="right"/>
              <w:ind w:right="136"/>
              <w:spacing w:after="0"/>
              <w:rPr>
                <w:sz w:val="20"/>
                <w:szCs w:val="20"/>
                <w:color w:val="auto"/>
              </w:rPr>
            </w:pPr>
            <w:r>
              <w:rPr>
                <w:rFonts w:ascii="Arial" w:cs="Arial" w:eastAsia="Arial" w:hAnsi="Arial"/>
                <w:sz w:val="11"/>
                <w:szCs w:val="11"/>
                <w:color w:val="auto"/>
              </w:rPr>
              <w:t>(1)</w:t>
            </w:r>
          </w:p>
        </w:tc>
        <w:tc>
          <w:tcPr>
            <w:tcW w:w="620" w:type="dxa"/>
            <w:vAlign w:val="bottom"/>
          </w:tcPr>
          <w:p>
            <w:pPr>
              <w:spacing w:after="0"/>
              <w:rPr>
                <w:sz w:val="12"/>
                <w:szCs w:val="12"/>
                <w:color w:val="auto"/>
              </w:rPr>
            </w:pPr>
          </w:p>
        </w:tc>
        <w:tc>
          <w:tcPr>
            <w:tcW w:w="10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loan balance</w:t>
            </w:r>
          </w:p>
        </w:tc>
        <w:tc>
          <w:tcPr>
            <w:tcW w:w="300" w:type="dxa"/>
            <w:vAlign w:val="bottom"/>
          </w:tcPr>
          <w:p>
            <w:pPr>
              <w:spacing w:after="0"/>
              <w:rPr>
                <w:sz w:val="12"/>
                <w:szCs w:val="12"/>
                <w:color w:val="auto"/>
              </w:rPr>
            </w:pPr>
          </w:p>
        </w:tc>
        <w:tc>
          <w:tcPr>
            <w:tcW w:w="1260" w:type="dxa"/>
            <w:vAlign w:val="bottom"/>
            <w:gridSpan w:val="2"/>
          </w:tcPr>
          <w:p>
            <w:pPr>
              <w:jc w:val="right"/>
              <w:ind w:right="780"/>
              <w:spacing w:after="0" w:line="149" w:lineRule="exact"/>
              <w:rPr>
                <w:sz w:val="20"/>
                <w:szCs w:val="20"/>
                <w:color w:val="auto"/>
              </w:rPr>
            </w:pPr>
            <w:r>
              <w:rPr>
                <w:rFonts w:ascii="Arial" w:cs="Arial" w:eastAsia="Arial" w:hAnsi="Arial"/>
                <w:sz w:val="14"/>
                <w:szCs w:val="14"/>
                <w:b w:val="1"/>
                <w:bCs w:val="1"/>
                <w:color w:val="auto"/>
              </w:rPr>
              <w:t>loans</w:t>
            </w:r>
          </w:p>
        </w:tc>
        <w:tc>
          <w:tcPr>
            <w:tcW w:w="1260" w:type="dxa"/>
            <w:vAlign w:val="bottom"/>
            <w:gridSpan w:val="2"/>
          </w:tcPr>
          <w:p>
            <w:pPr>
              <w:jc w:val="center"/>
              <w:ind w:right="600"/>
              <w:spacing w:after="0" w:line="149" w:lineRule="exact"/>
              <w:rPr>
                <w:sz w:val="20"/>
                <w:szCs w:val="20"/>
                <w:color w:val="auto"/>
              </w:rPr>
            </w:pPr>
            <w:r>
              <w:rPr>
                <w:rFonts w:ascii="Arial" w:cs="Arial" w:eastAsia="Arial" w:hAnsi="Arial"/>
                <w:sz w:val="14"/>
                <w:szCs w:val="14"/>
                <w:b w:val="1"/>
                <w:bCs w:val="1"/>
                <w:color w:val="auto"/>
                <w:w w:val="81"/>
              </w:rPr>
              <w:t>loans</w:t>
            </w:r>
          </w:p>
        </w:tc>
        <w:tc>
          <w:tcPr>
            <w:tcW w:w="1000" w:type="dxa"/>
            <w:vAlign w:val="bottom"/>
            <w:gridSpan w:val="2"/>
          </w:tcPr>
          <w:p>
            <w:pPr>
              <w:jc w:val="right"/>
              <w:ind w:right="280"/>
              <w:spacing w:after="0" w:line="149" w:lineRule="exact"/>
              <w:rPr>
                <w:sz w:val="20"/>
                <w:szCs w:val="20"/>
                <w:color w:val="auto"/>
              </w:rPr>
            </w:pPr>
            <w:r>
              <w:rPr>
                <w:rFonts w:ascii="Arial" w:cs="Arial" w:eastAsia="Arial" w:hAnsi="Arial"/>
                <w:sz w:val="11"/>
                <w:szCs w:val="11"/>
                <w:b w:val="1"/>
                <w:bCs w:val="1"/>
                <w:color w:val="auto"/>
              </w:rPr>
              <w:t xml:space="preserve">to-value </w:t>
            </w:r>
            <w:r>
              <w:rPr>
                <w:rFonts w:ascii="Arial" w:cs="Arial" w:eastAsia="Arial" w:hAnsi="Arial"/>
                <w:sz w:val="17"/>
                <w:szCs w:val="17"/>
                <w:color w:val="auto"/>
                <w:vertAlign w:val="superscript"/>
              </w:rPr>
              <w:t>(2)</w:t>
            </w:r>
          </w:p>
        </w:tc>
        <w:tc>
          <w:tcPr>
            <w:tcW w:w="0" w:type="dxa"/>
            <w:vAlign w:val="bottom"/>
          </w:tcPr>
          <w:p>
            <w:pPr>
              <w:spacing w:after="0"/>
              <w:rPr>
                <w:sz w:val="1"/>
                <w:szCs w:val="1"/>
                <w:color w:val="auto"/>
              </w:rPr>
            </w:pPr>
          </w:p>
        </w:tc>
      </w:tr>
      <w:tr>
        <w:trPr>
          <w:trHeight w:val="142"/>
        </w:trPr>
        <w:tc>
          <w:tcPr>
            <w:tcW w:w="1660" w:type="dxa"/>
            <w:vAlign w:val="bottom"/>
            <w:tcBorders>
              <w:top w:val="single" w:sz="8" w:color="auto"/>
            </w:tcBorders>
            <w:gridSpan w:val="3"/>
          </w:tcPr>
          <w:p>
            <w:pPr>
              <w:spacing w:after="0" w:line="142" w:lineRule="exact"/>
              <w:rPr>
                <w:sz w:val="20"/>
                <w:szCs w:val="20"/>
                <w:color w:val="auto"/>
              </w:rPr>
            </w:pPr>
            <w:r>
              <w:rPr>
                <w:rFonts w:ascii="Arial" w:cs="Arial" w:eastAsia="Arial" w:hAnsi="Arial"/>
                <w:sz w:val="14"/>
                <w:szCs w:val="14"/>
                <w:b w:val="1"/>
                <w:bCs w:val="1"/>
                <w:color w:val="auto"/>
              </w:rPr>
              <w:t>Loan Year</w:t>
            </w:r>
          </w:p>
        </w:tc>
        <w:tc>
          <w:tcPr>
            <w:tcW w:w="370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620" w:type="dxa"/>
            <w:vAlign w:val="bottom"/>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62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2004 and prior</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2,470</w:t>
            </w:r>
          </w:p>
        </w:tc>
        <w:tc>
          <w:tcPr>
            <w:tcW w:w="90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18</w:t>
            </w:r>
          </w:p>
        </w:tc>
        <w:tc>
          <w:tcPr>
            <w:tcW w:w="156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989</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8</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tcPr>
          <w:p>
            <w:pPr>
              <w:spacing w:after="0"/>
              <w:rPr>
                <w:sz w:val="20"/>
                <w:szCs w:val="20"/>
                <w:color w:val="auto"/>
              </w:rPr>
            </w:pPr>
            <w:r>
              <w:rPr>
                <w:rFonts w:ascii="Arial" w:cs="Arial" w:eastAsia="Arial" w:hAnsi="Arial"/>
                <w:sz w:val="18"/>
                <w:szCs w:val="18"/>
                <w:color w:val="auto"/>
              </w:rPr>
              <w:t>2005</w:t>
            </w:r>
          </w:p>
        </w:tc>
        <w:tc>
          <w:tcPr>
            <w:tcW w:w="100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1,564</w:t>
            </w:r>
          </w:p>
        </w:tc>
        <w:tc>
          <w:tcPr>
            <w:tcW w:w="6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560" w:type="dxa"/>
            <w:vAlign w:val="bottom"/>
            <w:gridSpan w:val="3"/>
          </w:tcPr>
          <w:p>
            <w:pPr>
              <w:jc w:val="right"/>
              <w:ind w:right="620"/>
              <w:spacing w:after="0"/>
              <w:rPr>
                <w:sz w:val="20"/>
                <w:szCs w:val="20"/>
                <w:color w:val="auto"/>
              </w:rPr>
            </w:pPr>
            <w:r>
              <w:rPr>
                <w:rFonts w:ascii="Arial" w:cs="Arial" w:eastAsia="Arial" w:hAnsi="Arial"/>
                <w:sz w:val="18"/>
                <w:szCs w:val="18"/>
                <w:color w:val="auto"/>
              </w:rPr>
              <w:t>319</w:t>
            </w:r>
          </w:p>
        </w:tc>
        <w:tc>
          <w:tcPr>
            <w:tcW w:w="126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shd w:val="clear" w:color="auto" w:fill="CCEEFF"/>
          </w:tcPr>
          <w:p>
            <w:pPr>
              <w:spacing w:after="0"/>
              <w:rPr>
                <w:sz w:val="20"/>
                <w:szCs w:val="20"/>
                <w:color w:val="auto"/>
              </w:rPr>
            </w:pPr>
            <w:r>
              <w:rPr>
                <w:rFonts w:ascii="Arial" w:cs="Arial" w:eastAsia="Arial" w:hAnsi="Arial"/>
                <w:sz w:val="18"/>
                <w:szCs w:val="18"/>
                <w:color w:val="auto"/>
              </w:rPr>
              <w:t>2006</w:t>
            </w:r>
          </w:p>
        </w:tc>
        <w:tc>
          <w:tcPr>
            <w:tcW w:w="1000" w:type="dxa"/>
            <w:vAlign w:val="bottom"/>
            <w:shd w:val="clear" w:color="auto" w:fill="CCEEFF"/>
          </w:tcPr>
          <w:p>
            <w:pPr>
              <w:spacing w:after="0"/>
              <w:rPr>
                <w:sz w:val="18"/>
                <w:szCs w:val="18"/>
                <w:color w:val="auto"/>
              </w:rPr>
            </w:pPr>
          </w:p>
        </w:tc>
        <w:tc>
          <w:tcPr>
            <w:tcW w:w="3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1,497</w:t>
            </w:r>
          </w:p>
        </w:tc>
        <w:tc>
          <w:tcPr>
            <w:tcW w:w="6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w:t>
            </w:r>
          </w:p>
        </w:tc>
        <w:tc>
          <w:tcPr>
            <w:tcW w:w="156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288</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tcPr>
          <w:p>
            <w:pPr>
              <w:spacing w:after="0"/>
              <w:rPr>
                <w:sz w:val="20"/>
                <w:szCs w:val="20"/>
                <w:color w:val="auto"/>
              </w:rPr>
            </w:pPr>
            <w:r>
              <w:rPr>
                <w:rFonts w:ascii="Arial" w:cs="Arial" w:eastAsia="Arial" w:hAnsi="Arial"/>
                <w:sz w:val="18"/>
                <w:szCs w:val="18"/>
                <w:color w:val="auto"/>
              </w:rPr>
              <w:t>2007</w:t>
            </w:r>
          </w:p>
        </w:tc>
        <w:tc>
          <w:tcPr>
            <w:tcW w:w="100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1,435</w:t>
            </w:r>
          </w:p>
        </w:tc>
        <w:tc>
          <w:tcPr>
            <w:tcW w:w="6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320"/>
              <w:spacing w:after="0"/>
              <w:rPr>
                <w:sz w:val="20"/>
                <w:szCs w:val="20"/>
                <w:color w:val="auto"/>
              </w:rPr>
            </w:pPr>
            <w:r>
              <w:rPr>
                <w:rFonts w:ascii="Arial" w:cs="Arial" w:eastAsia="Arial" w:hAnsi="Arial"/>
                <w:sz w:val="18"/>
                <w:szCs w:val="18"/>
                <w:color w:val="auto"/>
              </w:rPr>
              <w:t>14</w:t>
            </w:r>
          </w:p>
        </w:tc>
        <w:tc>
          <w:tcPr>
            <w:tcW w:w="1560" w:type="dxa"/>
            <w:vAlign w:val="bottom"/>
            <w:gridSpan w:val="3"/>
          </w:tcPr>
          <w:p>
            <w:pPr>
              <w:jc w:val="right"/>
              <w:ind w:right="620"/>
              <w:spacing w:after="0"/>
              <w:rPr>
                <w:sz w:val="20"/>
                <w:szCs w:val="20"/>
                <w:color w:val="auto"/>
              </w:rPr>
            </w:pPr>
            <w:r>
              <w:rPr>
                <w:rFonts w:ascii="Arial" w:cs="Arial" w:eastAsia="Arial" w:hAnsi="Arial"/>
                <w:sz w:val="18"/>
                <w:szCs w:val="18"/>
                <w:color w:val="auto"/>
              </w:rPr>
              <w:t>199</w:t>
            </w: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4</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shd w:val="clear" w:color="auto" w:fill="CCEEFF"/>
          </w:tcPr>
          <w:p>
            <w:pPr>
              <w:spacing w:after="0"/>
              <w:rPr>
                <w:sz w:val="20"/>
                <w:szCs w:val="20"/>
                <w:color w:val="auto"/>
              </w:rPr>
            </w:pPr>
            <w:r>
              <w:rPr>
                <w:rFonts w:ascii="Arial" w:cs="Arial" w:eastAsia="Arial" w:hAnsi="Arial"/>
                <w:sz w:val="18"/>
                <w:szCs w:val="18"/>
                <w:color w:val="auto"/>
              </w:rPr>
              <w:t>2008</w:t>
            </w:r>
          </w:p>
        </w:tc>
        <w:tc>
          <w:tcPr>
            <w:tcW w:w="1000" w:type="dxa"/>
            <w:vAlign w:val="bottom"/>
            <w:shd w:val="clear" w:color="auto" w:fill="CCEEFF"/>
          </w:tcPr>
          <w:p>
            <w:pPr>
              <w:spacing w:after="0"/>
              <w:rPr>
                <w:sz w:val="18"/>
                <w:szCs w:val="18"/>
                <w:color w:val="auto"/>
              </w:rPr>
            </w:pPr>
          </w:p>
        </w:tc>
        <w:tc>
          <w:tcPr>
            <w:tcW w:w="3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288</w:t>
            </w:r>
          </w:p>
        </w:tc>
        <w:tc>
          <w:tcPr>
            <w:tcW w:w="6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9</w:t>
            </w:r>
          </w:p>
        </w:tc>
        <w:tc>
          <w:tcPr>
            <w:tcW w:w="156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59</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tcPr>
          <w:p>
            <w:pPr>
              <w:spacing w:after="0"/>
              <w:rPr>
                <w:sz w:val="20"/>
                <w:szCs w:val="20"/>
                <w:color w:val="auto"/>
              </w:rPr>
            </w:pPr>
            <w:r>
              <w:rPr>
                <w:rFonts w:ascii="Arial" w:cs="Arial" w:eastAsia="Arial" w:hAnsi="Arial"/>
                <w:sz w:val="18"/>
                <w:szCs w:val="18"/>
                <w:color w:val="auto"/>
              </w:rPr>
              <w:t>2009</w:t>
            </w:r>
          </w:p>
        </w:tc>
        <w:tc>
          <w:tcPr>
            <w:tcW w:w="100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jc w:val="right"/>
              <w:ind w:right="16"/>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1260" w:type="dxa"/>
            <w:vAlign w:val="bottom"/>
            <w:gridSpan w:val="2"/>
          </w:tcPr>
          <w:p>
            <w:pPr>
              <w:jc w:val="right"/>
              <w:ind w:right="700"/>
              <w:spacing w:after="0"/>
              <w:rPr>
                <w:sz w:val="20"/>
                <w:szCs w:val="20"/>
                <w:color w:val="auto"/>
              </w:rPr>
            </w:pPr>
            <w:r>
              <w:rPr>
                <w:rFonts w:ascii="Arial" w:cs="Arial" w:eastAsia="Arial" w:hAnsi="Arial"/>
                <w:sz w:val="18"/>
                <w:szCs w:val="18"/>
                <w:color w:val="auto"/>
              </w:rPr>
              <w:t>—</w:t>
            </w:r>
          </w:p>
        </w:tc>
        <w:tc>
          <w:tcPr>
            <w:tcW w:w="126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shd w:val="clear" w:color="auto" w:fill="CCEEFF"/>
          </w:tcPr>
          <w:p>
            <w:pPr>
              <w:spacing w:after="0"/>
              <w:rPr>
                <w:sz w:val="20"/>
                <w:szCs w:val="20"/>
                <w:color w:val="auto"/>
              </w:rPr>
            </w:pPr>
            <w:r>
              <w:rPr>
                <w:rFonts w:ascii="Arial" w:cs="Arial" w:eastAsia="Arial" w:hAnsi="Arial"/>
                <w:sz w:val="18"/>
                <w:szCs w:val="18"/>
                <w:color w:val="auto"/>
              </w:rPr>
              <w:t>2010</w:t>
            </w:r>
          </w:p>
        </w:tc>
        <w:tc>
          <w:tcPr>
            <w:tcW w:w="1000" w:type="dxa"/>
            <w:vAlign w:val="bottom"/>
            <w:shd w:val="clear" w:color="auto" w:fill="CCEEFF"/>
          </w:tcPr>
          <w:p>
            <w:pPr>
              <w:spacing w:after="0"/>
              <w:rPr>
                <w:sz w:val="18"/>
                <w:szCs w:val="18"/>
                <w:color w:val="auto"/>
              </w:rPr>
            </w:pPr>
          </w:p>
        </w:tc>
        <w:tc>
          <w:tcPr>
            <w:tcW w:w="3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6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4</w:t>
            </w:r>
          </w:p>
        </w:tc>
        <w:tc>
          <w:tcPr>
            <w:tcW w:w="126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0"/>
        </w:trPr>
        <w:tc>
          <w:tcPr>
            <w:tcW w:w="5360" w:type="dxa"/>
            <w:vAlign w:val="bottom"/>
            <w:gridSpan w:val="4"/>
            <w:vMerge w:val="restart"/>
          </w:tcPr>
          <w:p>
            <w:pPr>
              <w:spacing w:after="0"/>
              <w:rPr>
                <w:sz w:val="20"/>
                <w:szCs w:val="20"/>
                <w:color w:val="auto"/>
              </w:rPr>
            </w:pPr>
            <w:r>
              <w:rPr>
                <w:rFonts w:ascii="Arial" w:cs="Arial" w:eastAsia="Arial" w:hAnsi="Arial"/>
                <w:sz w:val="18"/>
                <w:szCs w:val="18"/>
                <w:color w:val="auto"/>
              </w:rPr>
              <w:t>Total</w:t>
            </w:r>
          </w:p>
        </w:tc>
        <w:tc>
          <w:tcPr>
            <w:tcW w:w="1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0" w:type="dxa"/>
            <w:vAlign w:val="bottom"/>
            <w:gridSpan w:val="2"/>
            <w:vMerge w:val="restart"/>
          </w:tcPr>
          <w:p>
            <w:pPr>
              <w:jc w:val="right"/>
              <w:ind w:right="60"/>
              <w:spacing w:after="0"/>
              <w:rPr>
                <w:sz w:val="20"/>
                <w:szCs w:val="20"/>
                <w:color w:val="auto"/>
              </w:rPr>
            </w:pPr>
            <w:r>
              <w:rPr>
                <w:rFonts w:ascii="Arial" w:cs="Arial" w:eastAsia="Arial" w:hAnsi="Arial"/>
                <w:sz w:val="18"/>
                <w:szCs w:val="18"/>
                <w:color w:val="auto"/>
              </w:rPr>
              <w:t>65%</w:t>
            </w:r>
          </w:p>
        </w:tc>
        <w:tc>
          <w:tcPr>
            <w:tcW w:w="0" w:type="dxa"/>
            <w:vAlign w:val="bottom"/>
          </w:tcPr>
          <w:p>
            <w:pPr>
              <w:spacing w:after="0" w:line="20" w:lineRule="exact"/>
              <w:rPr>
                <w:sz w:val="1"/>
                <w:szCs w:val="1"/>
                <w:color w:val="auto"/>
              </w:rPr>
            </w:pPr>
          </w:p>
        </w:tc>
      </w:tr>
      <w:tr>
        <w:trPr>
          <w:trHeight w:val="222"/>
        </w:trPr>
        <w:tc>
          <w:tcPr>
            <w:tcW w:w="5360" w:type="dxa"/>
            <w:vAlign w:val="bottom"/>
            <w:gridSpan w:val="4"/>
            <w:vMerge w:val="continue"/>
          </w:tcPr>
          <w:p>
            <w:pPr>
              <w:spacing w:after="0"/>
              <w:rPr>
                <w:sz w:val="19"/>
                <w:szCs w:val="19"/>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w w:val="93"/>
              </w:rPr>
              <w:t>7,277</w:t>
            </w:r>
          </w:p>
        </w:tc>
        <w:tc>
          <w:tcPr>
            <w:tcW w:w="90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320"/>
              <w:spacing w:after="0"/>
              <w:rPr>
                <w:sz w:val="20"/>
                <w:szCs w:val="20"/>
                <w:color w:val="auto"/>
              </w:rPr>
            </w:pPr>
            <w:r>
              <w:rPr>
                <w:rFonts w:ascii="Arial" w:cs="Arial" w:eastAsia="Arial" w:hAnsi="Arial"/>
                <w:sz w:val="18"/>
                <w:szCs w:val="18"/>
                <w:color w:val="auto"/>
              </w:rPr>
              <w:t>52</w:t>
            </w:r>
          </w:p>
        </w:tc>
        <w:tc>
          <w:tcPr>
            <w:tcW w:w="1560" w:type="dxa"/>
            <w:vAlign w:val="bottom"/>
            <w:gridSpan w:val="3"/>
          </w:tcPr>
          <w:p>
            <w:pPr>
              <w:jc w:val="right"/>
              <w:ind w:right="620"/>
              <w:spacing w:after="0"/>
              <w:rPr>
                <w:sz w:val="20"/>
                <w:szCs w:val="20"/>
                <w:color w:val="auto"/>
              </w:rPr>
            </w:pPr>
            <w:r>
              <w:rPr>
                <w:rFonts w:ascii="Arial" w:cs="Arial" w:eastAsia="Arial" w:hAnsi="Arial"/>
                <w:sz w:val="18"/>
                <w:szCs w:val="18"/>
                <w:color w:val="auto"/>
              </w:rPr>
              <w:t>1,858</w:t>
            </w: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16</w:t>
            </w:r>
          </w:p>
        </w:tc>
        <w:tc>
          <w:tcPr>
            <w:tcW w:w="10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14"/>
        </w:numPr>
        <w:rPr>
          <w:rFonts w:ascii="Arial" w:cs="Arial" w:eastAsia="Arial" w:hAnsi="Arial"/>
          <w:sz w:val="22"/>
          <w:szCs w:val="22"/>
          <w:color w:val="auto"/>
          <w:vertAlign w:val="superscript"/>
        </w:rPr>
      </w:pPr>
      <w:r>
        <w:rPr>
          <w:rFonts w:ascii="Arial" w:cs="Arial" w:eastAsia="Arial" w:hAnsi="Arial"/>
          <w:sz w:val="18"/>
          <w:szCs w:val="18"/>
          <w:color w:val="auto"/>
        </w:rPr>
        <w:t>Does not include $4 million of premium.</w:t>
      </w:r>
    </w:p>
    <w:p>
      <w:pPr>
        <w:spacing w:after="0" w:line="7"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114"/>
        </w:numPr>
        <w:rPr>
          <w:rFonts w:ascii="Arial" w:cs="Arial" w:eastAsia="Arial" w:hAnsi="Arial"/>
          <w:sz w:val="22"/>
          <w:szCs w:val="22"/>
          <w:color w:val="auto"/>
          <w:vertAlign w:val="superscript"/>
        </w:rPr>
      </w:pPr>
      <w:r>
        <w:rPr>
          <w:rFonts w:ascii="Arial" w:cs="Arial" w:eastAsia="Arial" w:hAnsi="Arial"/>
          <w:sz w:val="18"/>
          <w:szCs w:val="18"/>
          <w:color w:val="auto"/>
        </w:rPr>
        <w:t>Represents loan-to-value as of June 30,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-297815</wp:posOffset>
            </wp:positionV>
            <wp:extent cx="728980"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3"/>
          </w:tcPr>
          <w:p>
            <w:pPr>
              <w:jc w:val="right"/>
              <w:ind w:right="320"/>
              <w:spacing w:after="0"/>
              <w:rPr>
                <w:sz w:val="20"/>
                <w:szCs w:val="20"/>
                <w:color w:val="auto"/>
              </w:rPr>
            </w:pPr>
            <w:r>
              <w:rPr>
                <w:rFonts w:ascii="Arial" w:cs="Arial" w:eastAsia="Arial" w:hAnsi="Arial"/>
                <w:sz w:val="14"/>
                <w:szCs w:val="14"/>
                <w:b w:val="1"/>
                <w:bCs w:val="1"/>
                <w:color w:val="auto"/>
              </w:rPr>
              <w:t>December 31, 2009</w:t>
            </w:r>
          </w:p>
        </w:tc>
        <w:tc>
          <w:tcPr>
            <w:tcW w:w="6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37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60" w:type="dxa"/>
            <w:vAlign w:val="bottom"/>
            <w:gridSpan w:val="2"/>
          </w:tcPr>
          <w:p>
            <w:pPr>
              <w:jc w:val="right"/>
              <w:ind w:right="620"/>
              <w:spacing w:after="0" w:line="129" w:lineRule="exact"/>
              <w:rPr>
                <w:sz w:val="20"/>
                <w:szCs w:val="20"/>
                <w:color w:val="auto"/>
              </w:rPr>
            </w:pPr>
            <w:r>
              <w:rPr>
                <w:rFonts w:ascii="Arial" w:cs="Arial" w:eastAsia="Arial" w:hAnsi="Arial"/>
                <w:sz w:val="14"/>
                <w:szCs w:val="14"/>
                <w:b w:val="1"/>
                <w:bCs w:val="1"/>
                <w:color w:val="auto"/>
                <w:w w:val="88"/>
              </w:rPr>
              <w:t>Number of</w:t>
            </w: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3700" w:type="dxa"/>
            <w:vAlign w:val="bottom"/>
          </w:tcPr>
          <w:p>
            <w:pPr>
              <w:spacing w:after="0"/>
              <w:rPr>
                <w:sz w:val="11"/>
                <w:szCs w:val="11"/>
                <w:color w:val="auto"/>
              </w:rPr>
            </w:pPr>
          </w:p>
        </w:tc>
        <w:tc>
          <w:tcPr>
            <w:tcW w:w="580" w:type="dxa"/>
            <w:vAlign w:val="bottom"/>
            <w:gridSpan w:val="2"/>
          </w:tcPr>
          <w:p>
            <w:pPr>
              <w:spacing w:after="0" w:line="135" w:lineRule="exact"/>
              <w:rPr>
                <w:sz w:val="20"/>
                <w:szCs w:val="20"/>
                <w:color w:val="auto"/>
              </w:rPr>
            </w:pPr>
            <w:r>
              <w:rPr>
                <w:rFonts w:ascii="Arial" w:cs="Arial" w:eastAsia="Arial" w:hAnsi="Arial"/>
                <w:sz w:val="14"/>
                <w:szCs w:val="14"/>
                <w:b w:val="1"/>
                <w:bCs w:val="1"/>
                <w:color w:val="auto"/>
                <w:w w:val="84"/>
              </w:rPr>
              <w:t>Total loan</w:t>
            </w:r>
          </w:p>
        </w:tc>
        <w:tc>
          <w:tcPr>
            <w:tcW w:w="620" w:type="dxa"/>
            <w:vAlign w:val="bottom"/>
          </w:tcPr>
          <w:p>
            <w:pPr>
              <w:spacing w:after="0"/>
              <w:rPr>
                <w:sz w:val="11"/>
                <w:szCs w:val="11"/>
                <w:color w:val="auto"/>
              </w:rPr>
            </w:pPr>
          </w:p>
        </w:tc>
        <w:tc>
          <w:tcPr>
            <w:tcW w:w="960" w:type="dxa"/>
            <w:vAlign w:val="bottom"/>
            <w:gridSpan w:val="3"/>
          </w:tcPr>
          <w:p>
            <w:pPr>
              <w:jc w:val="right"/>
              <w:ind w:right="280"/>
              <w:spacing w:after="0" w:line="135" w:lineRule="exact"/>
              <w:rPr>
                <w:sz w:val="20"/>
                <w:szCs w:val="20"/>
                <w:color w:val="auto"/>
              </w:rPr>
            </w:pPr>
            <w:r>
              <w:rPr>
                <w:rFonts w:ascii="Arial" w:cs="Arial" w:eastAsia="Arial" w:hAnsi="Arial"/>
                <w:sz w:val="14"/>
                <w:szCs w:val="14"/>
                <w:b w:val="1"/>
                <w:bCs w:val="1"/>
                <w:color w:val="auto"/>
                <w:w w:val="91"/>
              </w:rPr>
              <w:t>Delinquent</w:t>
            </w:r>
          </w:p>
        </w:tc>
        <w:tc>
          <w:tcPr>
            <w:tcW w:w="380" w:type="dxa"/>
            <w:vAlign w:val="bottom"/>
          </w:tcPr>
          <w:p>
            <w:pPr>
              <w:spacing w:after="0"/>
              <w:rPr>
                <w:sz w:val="11"/>
                <w:szCs w:val="11"/>
                <w:color w:val="auto"/>
              </w:rPr>
            </w:pPr>
          </w:p>
        </w:tc>
        <w:tc>
          <w:tcPr>
            <w:tcW w:w="1260" w:type="dxa"/>
            <w:vAlign w:val="bottom"/>
            <w:gridSpan w:val="2"/>
          </w:tcPr>
          <w:p>
            <w:pPr>
              <w:jc w:val="right"/>
              <w:ind w:right="620"/>
              <w:spacing w:after="0" w:line="135" w:lineRule="exact"/>
              <w:rPr>
                <w:sz w:val="20"/>
                <w:szCs w:val="20"/>
                <w:color w:val="auto"/>
              </w:rPr>
            </w:pPr>
            <w:r>
              <w:rPr>
                <w:rFonts w:ascii="Arial" w:cs="Arial" w:eastAsia="Arial" w:hAnsi="Arial"/>
                <w:sz w:val="14"/>
                <w:szCs w:val="14"/>
                <w:b w:val="1"/>
                <w:bCs w:val="1"/>
                <w:color w:val="auto"/>
                <w:w w:val="88"/>
              </w:rPr>
              <w:t>Number of</w:t>
            </w:r>
          </w:p>
        </w:tc>
        <w:tc>
          <w:tcPr>
            <w:tcW w:w="1260" w:type="dxa"/>
            <w:vAlign w:val="bottom"/>
            <w:gridSpan w:val="2"/>
          </w:tcPr>
          <w:p>
            <w:pPr>
              <w:jc w:val="right"/>
              <w:ind w:right="640"/>
              <w:spacing w:after="0" w:line="135" w:lineRule="exact"/>
              <w:rPr>
                <w:sz w:val="20"/>
                <w:szCs w:val="20"/>
                <w:color w:val="auto"/>
              </w:rPr>
            </w:pPr>
            <w:r>
              <w:rPr>
                <w:rFonts w:ascii="Arial" w:cs="Arial" w:eastAsia="Arial" w:hAnsi="Arial"/>
                <w:sz w:val="14"/>
                <w:szCs w:val="14"/>
                <w:b w:val="1"/>
                <w:bCs w:val="1"/>
                <w:color w:val="auto"/>
                <w:w w:val="84"/>
              </w:rPr>
              <w:t>delinquent</w:t>
            </w:r>
          </w:p>
        </w:tc>
        <w:tc>
          <w:tcPr>
            <w:tcW w:w="1000" w:type="dxa"/>
            <w:vAlign w:val="bottom"/>
            <w:gridSpan w:val="2"/>
          </w:tcPr>
          <w:p>
            <w:pPr>
              <w:jc w:val="right"/>
              <w:ind w:right="200"/>
              <w:spacing w:after="0" w:line="135" w:lineRule="exact"/>
              <w:rPr>
                <w:sz w:val="20"/>
                <w:szCs w:val="20"/>
                <w:color w:val="auto"/>
              </w:rPr>
            </w:pPr>
            <w:r>
              <w:rPr>
                <w:rFonts w:ascii="Arial" w:cs="Arial" w:eastAsia="Arial" w:hAnsi="Arial"/>
                <w:sz w:val="14"/>
                <w:szCs w:val="14"/>
                <w:b w:val="1"/>
                <w:bCs w:val="1"/>
                <w:color w:val="auto"/>
                <w:w w:val="84"/>
              </w:rPr>
              <w:t>Average loan-</w:t>
            </w:r>
          </w:p>
        </w:tc>
        <w:tc>
          <w:tcPr>
            <w:tcW w:w="0" w:type="dxa"/>
            <w:vAlign w:val="bottom"/>
          </w:tcPr>
          <w:p>
            <w:pPr>
              <w:spacing w:after="0"/>
              <w:rPr>
                <w:sz w:val="1"/>
                <w:szCs w:val="1"/>
                <w:color w:val="auto"/>
              </w:rPr>
            </w:pPr>
          </w:p>
        </w:tc>
      </w:tr>
      <w:tr>
        <w:trPr>
          <w:trHeight w:val="176"/>
        </w:trPr>
        <w:tc>
          <w:tcPr>
            <w:tcW w:w="5360" w:type="dxa"/>
            <w:vAlign w:val="bottom"/>
            <w:gridSpan w:val="4"/>
          </w:tcPr>
          <w:p>
            <w:pPr>
              <w:spacing w:after="0"/>
              <w:rPr>
                <w:sz w:val="20"/>
                <w:szCs w:val="20"/>
                <w:color w:val="auto"/>
              </w:rPr>
            </w:pPr>
            <w:r>
              <w:rPr>
                <w:rFonts w:ascii="Arial" w:cs="Arial" w:eastAsia="Arial" w:hAnsi="Arial"/>
                <w:sz w:val="14"/>
                <w:szCs w:val="14"/>
                <w:b w:val="1"/>
                <w:bCs w:val="1"/>
                <w:color w:val="auto"/>
              </w:rPr>
              <w:t>(Loan amounts in millions)</w:t>
            </w:r>
          </w:p>
        </w:tc>
        <w:tc>
          <w:tcPr>
            <w:tcW w:w="580" w:type="dxa"/>
            <w:vAlign w:val="bottom"/>
            <w:gridSpan w:val="2"/>
          </w:tcPr>
          <w:p>
            <w:pPr>
              <w:jc w:val="right"/>
              <w:spacing w:after="0"/>
              <w:rPr>
                <w:sz w:val="20"/>
                <w:szCs w:val="20"/>
                <w:color w:val="auto"/>
              </w:rPr>
            </w:pPr>
            <w:r>
              <w:rPr>
                <w:rFonts w:ascii="Arial" w:cs="Arial" w:eastAsia="Arial" w:hAnsi="Arial"/>
                <w:sz w:val="14"/>
                <w:szCs w:val="14"/>
                <w:b w:val="1"/>
                <w:bCs w:val="1"/>
                <w:color w:val="auto"/>
                <w:w w:val="91"/>
              </w:rPr>
              <w:t>balance</w:t>
            </w:r>
          </w:p>
        </w:tc>
        <w:tc>
          <w:tcPr>
            <w:tcW w:w="620" w:type="dxa"/>
            <w:vAlign w:val="bottom"/>
          </w:tcPr>
          <w:p>
            <w:pPr>
              <w:spacing w:after="0"/>
              <w:rPr>
                <w:sz w:val="15"/>
                <w:szCs w:val="15"/>
                <w:color w:val="auto"/>
              </w:rPr>
            </w:pPr>
          </w:p>
        </w:tc>
        <w:tc>
          <w:tcPr>
            <w:tcW w:w="960" w:type="dxa"/>
            <w:vAlign w:val="bottom"/>
            <w:gridSpan w:val="3"/>
          </w:tcPr>
          <w:p>
            <w:pPr>
              <w:spacing w:after="0"/>
              <w:rPr>
                <w:sz w:val="20"/>
                <w:szCs w:val="20"/>
                <w:color w:val="auto"/>
              </w:rPr>
            </w:pPr>
            <w:r>
              <w:rPr>
                <w:rFonts w:ascii="Arial" w:cs="Arial" w:eastAsia="Arial" w:hAnsi="Arial"/>
                <w:sz w:val="14"/>
                <w:szCs w:val="14"/>
                <w:b w:val="1"/>
                <w:bCs w:val="1"/>
                <w:color w:val="auto"/>
              </w:rPr>
              <w:t>loan balance</w:t>
            </w:r>
          </w:p>
        </w:tc>
        <w:tc>
          <w:tcPr>
            <w:tcW w:w="380" w:type="dxa"/>
            <w:vAlign w:val="bottom"/>
          </w:tcPr>
          <w:p>
            <w:pPr>
              <w:spacing w:after="0"/>
              <w:rPr>
                <w:sz w:val="15"/>
                <w:szCs w:val="15"/>
                <w:color w:val="auto"/>
              </w:rPr>
            </w:pPr>
          </w:p>
        </w:tc>
        <w:tc>
          <w:tcPr>
            <w:tcW w:w="1260" w:type="dxa"/>
            <w:vAlign w:val="bottom"/>
            <w:gridSpan w:val="2"/>
          </w:tcPr>
          <w:p>
            <w:pPr>
              <w:jc w:val="right"/>
              <w:ind w:right="780"/>
              <w:spacing w:after="0"/>
              <w:rPr>
                <w:sz w:val="20"/>
                <w:szCs w:val="20"/>
                <w:color w:val="auto"/>
              </w:rPr>
            </w:pPr>
            <w:r>
              <w:rPr>
                <w:rFonts w:ascii="Arial" w:cs="Arial" w:eastAsia="Arial" w:hAnsi="Arial"/>
                <w:sz w:val="14"/>
                <w:szCs w:val="14"/>
                <w:b w:val="1"/>
                <w:bCs w:val="1"/>
                <w:color w:val="auto"/>
              </w:rPr>
              <w:t>loans</w:t>
            </w:r>
          </w:p>
        </w:tc>
        <w:tc>
          <w:tcPr>
            <w:tcW w:w="1260" w:type="dxa"/>
            <w:vAlign w:val="bottom"/>
            <w:gridSpan w:val="2"/>
          </w:tcPr>
          <w:p>
            <w:pPr>
              <w:ind w:left="180"/>
              <w:spacing w:after="0"/>
              <w:rPr>
                <w:sz w:val="20"/>
                <w:szCs w:val="20"/>
                <w:color w:val="auto"/>
              </w:rPr>
            </w:pPr>
            <w:r>
              <w:rPr>
                <w:rFonts w:ascii="Arial" w:cs="Arial" w:eastAsia="Arial" w:hAnsi="Arial"/>
                <w:sz w:val="14"/>
                <w:szCs w:val="14"/>
                <w:b w:val="1"/>
                <w:bCs w:val="1"/>
                <w:color w:val="auto"/>
              </w:rPr>
              <w:t>loans</w:t>
            </w:r>
          </w:p>
        </w:tc>
        <w:tc>
          <w:tcPr>
            <w:tcW w:w="1000" w:type="dxa"/>
            <w:vAlign w:val="bottom"/>
            <w:gridSpan w:val="2"/>
          </w:tcPr>
          <w:p>
            <w:pPr>
              <w:jc w:val="right"/>
              <w:ind w:right="280"/>
              <w:spacing w:after="0" w:line="176" w:lineRule="exact"/>
              <w:rPr>
                <w:sz w:val="20"/>
                <w:szCs w:val="20"/>
                <w:color w:val="auto"/>
              </w:rPr>
            </w:pPr>
            <w:r>
              <w:rPr>
                <w:rFonts w:ascii="Arial" w:cs="Arial" w:eastAsia="Arial" w:hAnsi="Arial"/>
                <w:sz w:val="13"/>
                <w:szCs w:val="13"/>
                <w:b w:val="1"/>
                <w:bCs w:val="1"/>
                <w:color w:val="auto"/>
              </w:rPr>
              <w:t xml:space="preserve">to-value </w:t>
            </w:r>
            <w:r>
              <w:rPr>
                <w:rFonts w:ascii="Arial" w:cs="Arial" w:eastAsia="Arial" w:hAnsi="Arial"/>
                <w:sz w:val="20"/>
                <w:szCs w:val="20"/>
                <w:color w:val="auto"/>
                <w:vertAlign w:val="superscript"/>
              </w:rPr>
              <w:t>(1)</w:t>
            </w:r>
          </w:p>
        </w:tc>
        <w:tc>
          <w:tcPr>
            <w:tcW w:w="0" w:type="dxa"/>
            <w:vAlign w:val="bottom"/>
          </w:tcPr>
          <w:p>
            <w:pPr>
              <w:spacing w:after="0"/>
              <w:rPr>
                <w:sz w:val="1"/>
                <w:szCs w:val="1"/>
                <w:color w:val="auto"/>
              </w:rPr>
            </w:pPr>
          </w:p>
        </w:tc>
      </w:tr>
      <w:tr>
        <w:trPr>
          <w:trHeight w:val="142"/>
        </w:trPr>
        <w:tc>
          <w:tcPr>
            <w:tcW w:w="1660" w:type="dxa"/>
            <w:vAlign w:val="bottom"/>
            <w:tcBorders>
              <w:top w:val="single" w:sz="8" w:color="auto"/>
            </w:tcBorders>
            <w:gridSpan w:val="3"/>
          </w:tcPr>
          <w:p>
            <w:pPr>
              <w:spacing w:after="0" w:line="142" w:lineRule="exact"/>
              <w:rPr>
                <w:sz w:val="20"/>
                <w:szCs w:val="20"/>
                <w:color w:val="auto"/>
              </w:rPr>
            </w:pPr>
            <w:r>
              <w:rPr>
                <w:rFonts w:ascii="Arial" w:cs="Arial" w:eastAsia="Arial" w:hAnsi="Arial"/>
                <w:sz w:val="14"/>
                <w:szCs w:val="14"/>
                <w:b w:val="1"/>
                <w:bCs w:val="1"/>
                <w:color w:val="auto"/>
              </w:rPr>
              <w:t>Loan Year</w:t>
            </w:r>
          </w:p>
        </w:tc>
        <w:tc>
          <w:tcPr>
            <w:tcW w:w="370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620" w:type="dxa"/>
            <w:vAlign w:val="bottom"/>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62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2004 and prior</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2,644</w:t>
            </w:r>
          </w:p>
        </w:tc>
        <w:tc>
          <w:tcPr>
            <w:tcW w:w="90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w:t>
            </w:r>
          </w:p>
        </w:tc>
        <w:tc>
          <w:tcPr>
            <w:tcW w:w="164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1,039</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tcPr>
          <w:p>
            <w:pPr>
              <w:spacing w:after="0"/>
              <w:rPr>
                <w:sz w:val="20"/>
                <w:szCs w:val="20"/>
                <w:color w:val="auto"/>
              </w:rPr>
            </w:pPr>
            <w:r>
              <w:rPr>
                <w:rFonts w:ascii="Arial" w:cs="Arial" w:eastAsia="Arial" w:hAnsi="Arial"/>
                <w:sz w:val="18"/>
                <w:szCs w:val="18"/>
                <w:color w:val="auto"/>
              </w:rPr>
              <w:t>2005</w:t>
            </w:r>
          </w:p>
        </w:tc>
        <w:tc>
          <w:tcPr>
            <w:tcW w:w="100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1,607</w:t>
            </w:r>
          </w:p>
        </w:tc>
        <w:tc>
          <w:tcPr>
            <w:tcW w:w="6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40" w:type="dxa"/>
            <w:vAlign w:val="bottom"/>
            <w:gridSpan w:val="3"/>
          </w:tcPr>
          <w:p>
            <w:pPr>
              <w:jc w:val="right"/>
              <w:ind w:right="620"/>
              <w:spacing w:after="0"/>
              <w:rPr>
                <w:sz w:val="20"/>
                <w:szCs w:val="20"/>
                <w:color w:val="auto"/>
              </w:rPr>
            </w:pPr>
            <w:r>
              <w:rPr>
                <w:rFonts w:ascii="Arial" w:cs="Arial" w:eastAsia="Arial" w:hAnsi="Arial"/>
                <w:sz w:val="18"/>
                <w:szCs w:val="18"/>
                <w:color w:val="auto"/>
              </w:rPr>
              <w:t>320</w:t>
            </w:r>
          </w:p>
        </w:tc>
        <w:tc>
          <w:tcPr>
            <w:tcW w:w="126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shd w:val="clear" w:color="auto" w:fill="CCEEFF"/>
          </w:tcPr>
          <w:p>
            <w:pPr>
              <w:spacing w:after="0"/>
              <w:rPr>
                <w:sz w:val="20"/>
                <w:szCs w:val="20"/>
                <w:color w:val="auto"/>
              </w:rPr>
            </w:pPr>
            <w:r>
              <w:rPr>
                <w:rFonts w:ascii="Arial" w:cs="Arial" w:eastAsia="Arial" w:hAnsi="Arial"/>
                <w:sz w:val="18"/>
                <w:szCs w:val="18"/>
                <w:color w:val="auto"/>
              </w:rPr>
              <w:t>2006</w:t>
            </w:r>
          </w:p>
        </w:tc>
        <w:tc>
          <w:tcPr>
            <w:tcW w:w="1000" w:type="dxa"/>
            <w:vAlign w:val="bottom"/>
            <w:shd w:val="clear" w:color="auto" w:fill="CCEEFF"/>
          </w:tcPr>
          <w:p>
            <w:pPr>
              <w:spacing w:after="0"/>
              <w:rPr>
                <w:sz w:val="18"/>
                <w:szCs w:val="18"/>
                <w:color w:val="auto"/>
              </w:rPr>
            </w:pPr>
          </w:p>
        </w:tc>
        <w:tc>
          <w:tcPr>
            <w:tcW w:w="3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1,521</w:t>
            </w:r>
          </w:p>
        </w:tc>
        <w:tc>
          <w:tcPr>
            <w:tcW w:w="6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15</w:t>
            </w:r>
          </w:p>
        </w:tc>
        <w:tc>
          <w:tcPr>
            <w:tcW w:w="164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290</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4</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tcPr>
          <w:p>
            <w:pPr>
              <w:spacing w:after="0"/>
              <w:rPr>
                <w:sz w:val="20"/>
                <w:szCs w:val="20"/>
                <w:color w:val="auto"/>
              </w:rPr>
            </w:pPr>
            <w:r>
              <w:rPr>
                <w:rFonts w:ascii="Arial" w:cs="Arial" w:eastAsia="Arial" w:hAnsi="Arial"/>
                <w:sz w:val="18"/>
                <w:szCs w:val="18"/>
                <w:color w:val="auto"/>
              </w:rPr>
              <w:t>2007</w:t>
            </w:r>
          </w:p>
        </w:tc>
        <w:tc>
          <w:tcPr>
            <w:tcW w:w="100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1,458</w:t>
            </w:r>
          </w:p>
        </w:tc>
        <w:tc>
          <w:tcPr>
            <w:tcW w:w="6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76</w:t>
            </w:r>
          </w:p>
        </w:tc>
        <w:tc>
          <w:tcPr>
            <w:tcW w:w="1640" w:type="dxa"/>
            <w:vAlign w:val="bottom"/>
            <w:gridSpan w:val="3"/>
          </w:tcPr>
          <w:p>
            <w:pPr>
              <w:jc w:val="right"/>
              <w:ind w:right="620"/>
              <w:spacing w:after="0"/>
              <w:rPr>
                <w:sz w:val="20"/>
                <w:szCs w:val="20"/>
                <w:color w:val="auto"/>
              </w:rPr>
            </w:pPr>
            <w:r>
              <w:rPr>
                <w:rFonts w:ascii="Arial" w:cs="Arial" w:eastAsia="Arial" w:hAnsi="Arial"/>
                <w:sz w:val="18"/>
                <w:szCs w:val="18"/>
                <w:color w:val="auto"/>
              </w:rPr>
              <w:t>203</w:t>
            </w: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3</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shd w:val="clear" w:color="auto" w:fill="CCEEFF"/>
          </w:tcPr>
          <w:p>
            <w:pPr>
              <w:spacing w:after="0"/>
              <w:rPr>
                <w:sz w:val="20"/>
                <w:szCs w:val="20"/>
                <w:color w:val="auto"/>
              </w:rPr>
            </w:pPr>
            <w:r>
              <w:rPr>
                <w:rFonts w:ascii="Arial" w:cs="Arial" w:eastAsia="Arial" w:hAnsi="Arial"/>
                <w:sz w:val="18"/>
                <w:szCs w:val="18"/>
                <w:color w:val="auto"/>
              </w:rPr>
              <w:t>2008</w:t>
            </w:r>
          </w:p>
        </w:tc>
        <w:tc>
          <w:tcPr>
            <w:tcW w:w="1000" w:type="dxa"/>
            <w:vAlign w:val="bottom"/>
            <w:shd w:val="clear" w:color="auto" w:fill="CCEEFF"/>
          </w:tcPr>
          <w:p>
            <w:pPr>
              <w:spacing w:after="0"/>
              <w:rPr>
                <w:sz w:val="18"/>
                <w:szCs w:val="18"/>
                <w:color w:val="auto"/>
              </w:rPr>
            </w:pPr>
          </w:p>
        </w:tc>
        <w:tc>
          <w:tcPr>
            <w:tcW w:w="3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295</w:t>
            </w:r>
          </w:p>
        </w:tc>
        <w:tc>
          <w:tcPr>
            <w:tcW w:w="6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4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61</w:t>
            </w:r>
          </w:p>
        </w:tc>
        <w:tc>
          <w:tcPr>
            <w:tcW w:w="126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tcPr>
          <w:p>
            <w:pPr>
              <w:spacing w:after="0"/>
              <w:rPr>
                <w:sz w:val="20"/>
                <w:szCs w:val="20"/>
                <w:color w:val="auto"/>
              </w:rPr>
            </w:pPr>
            <w:r>
              <w:rPr>
                <w:rFonts w:ascii="Arial" w:cs="Arial" w:eastAsia="Arial" w:hAnsi="Arial"/>
                <w:sz w:val="18"/>
                <w:szCs w:val="18"/>
                <w:color w:val="auto"/>
              </w:rPr>
              <w:t xml:space="preserve">2009 </w:t>
            </w:r>
            <w:r>
              <w:rPr>
                <w:rFonts w:ascii="Arial" w:cs="Arial" w:eastAsia="Arial" w:hAnsi="Arial"/>
                <w:sz w:val="11"/>
                <w:szCs w:val="11"/>
                <w:color w:val="auto"/>
              </w:rPr>
              <w:t>(2)</w:t>
            </w:r>
          </w:p>
        </w:tc>
        <w:tc>
          <w:tcPr>
            <w:tcW w:w="100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16</w:t>
            </w:r>
          </w:p>
        </w:tc>
        <w:tc>
          <w:tcPr>
            <w:tcW w:w="6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518</w:t>
            </w:r>
          </w:p>
        </w:tc>
        <w:tc>
          <w:tcPr>
            <w:tcW w:w="126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7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8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7,541</w:t>
            </w:r>
          </w:p>
        </w:tc>
        <w:tc>
          <w:tcPr>
            <w:tcW w:w="90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96</w:t>
            </w:r>
          </w:p>
        </w:tc>
        <w:tc>
          <w:tcPr>
            <w:tcW w:w="164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2,431</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9</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10" w:lineRule="exact"/>
        <w:rPr>
          <w:sz w:val="20"/>
          <w:szCs w:val="20"/>
          <w:color w:val="auto"/>
        </w:rPr>
      </w:pPr>
    </w:p>
    <w:p>
      <w:pPr>
        <w:ind w:left="460" w:hanging="452"/>
        <w:spacing w:after="0"/>
        <w:tabs>
          <w:tab w:leader="none" w:pos="460" w:val="left"/>
        </w:tabs>
        <w:numPr>
          <w:ilvl w:val="0"/>
          <w:numId w:val="115"/>
        </w:numPr>
        <w:rPr>
          <w:rFonts w:ascii="Arial" w:cs="Arial" w:eastAsia="Arial" w:hAnsi="Arial"/>
          <w:sz w:val="22"/>
          <w:szCs w:val="22"/>
          <w:color w:val="auto"/>
          <w:vertAlign w:val="superscript"/>
        </w:rPr>
      </w:pPr>
      <w:r>
        <w:rPr>
          <w:rFonts w:ascii="Arial" w:cs="Arial" w:eastAsia="Arial" w:hAnsi="Arial"/>
          <w:sz w:val="18"/>
          <w:szCs w:val="18"/>
          <w:color w:val="auto"/>
        </w:rPr>
        <w:t>Represents loan-to-value as of December 31, 2009.</w:t>
      </w:r>
    </w:p>
    <w:p>
      <w:pPr>
        <w:spacing w:after="0" w:line="7" w:lineRule="exact"/>
        <w:rPr>
          <w:rFonts w:ascii="Arial" w:cs="Arial" w:eastAsia="Arial" w:hAnsi="Arial"/>
          <w:sz w:val="22"/>
          <w:szCs w:val="22"/>
          <w:color w:val="auto"/>
          <w:vertAlign w:val="superscript"/>
        </w:rPr>
      </w:pPr>
    </w:p>
    <w:p>
      <w:pPr>
        <w:ind w:left="460" w:right="520" w:hanging="452"/>
        <w:spacing w:after="0" w:line="233" w:lineRule="auto"/>
        <w:tabs>
          <w:tab w:leader="none" w:pos="460" w:val="left"/>
        </w:tabs>
        <w:numPr>
          <w:ilvl w:val="0"/>
          <w:numId w:val="115"/>
        </w:numPr>
        <w:rPr>
          <w:rFonts w:ascii="Arial" w:cs="Arial" w:eastAsia="Arial" w:hAnsi="Arial"/>
          <w:sz w:val="21"/>
          <w:szCs w:val="21"/>
          <w:color w:val="auto"/>
          <w:vertAlign w:val="superscript"/>
        </w:rPr>
      </w:pPr>
      <w:r>
        <w:rPr>
          <w:rFonts w:ascii="Arial" w:cs="Arial" w:eastAsia="Arial" w:hAnsi="Arial"/>
          <w:sz w:val="17"/>
          <w:szCs w:val="17"/>
          <w:color w:val="auto"/>
        </w:rPr>
        <w:t>Loan balance represents reverse mortgage originations not sold as of December 31, 2009 and number of loans represents total reverse mortgage loan originations for 2009. In the first quarter of 2010, we began reporting reverse mortgages in other invested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-434975</wp:posOffset>
            </wp:positionV>
            <wp:extent cx="728980"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122</w:t>
      </w:r>
    </w:p>
    <w:p>
      <w:pPr>
        <w:sectPr>
          <w:pgSz w:w="11900" w:h="16838" w:orient="portrait"/>
          <w:cols w:equalWidth="0" w:num="1">
            <w:col w:w="11420"/>
          </w:cols>
          <w:pgMar w:left="240" w:top="459" w:right="239" w:bottom="1440" w:gutter="0" w:footer="0" w:header="0"/>
        </w:sectPr>
      </w:pPr>
    </w:p>
    <w:bookmarkStart w:id="122" w:name="page123"/>
    <w:bookmarkEnd w:id="1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presents the activity in the allowance for losses during the periods indicated:</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7020" w:type="dxa"/>
            <w:vAlign w:val="bottom"/>
          </w:tcPr>
          <w:p>
            <w:pPr>
              <w:spacing w:after="0"/>
              <w:rPr>
                <w:sz w:val="14"/>
                <w:szCs w:val="14"/>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b w:val="1"/>
                <w:bCs w:val="1"/>
                <w:color w:val="auto"/>
                <w:w w:val="85"/>
              </w:rPr>
              <w:t>As of or for the</w:t>
            </w:r>
          </w:p>
        </w:tc>
        <w:tc>
          <w:tcPr>
            <w:tcW w:w="1300" w:type="dxa"/>
            <w:vAlign w:val="bottom"/>
          </w:tcPr>
          <w:p>
            <w:pPr>
              <w:spacing w:after="0"/>
              <w:rPr>
                <w:sz w:val="14"/>
                <w:szCs w:val="14"/>
                <w:color w:val="auto"/>
              </w:rPr>
            </w:pPr>
          </w:p>
        </w:tc>
        <w:tc>
          <w:tcPr>
            <w:tcW w:w="900" w:type="dxa"/>
            <w:vAlign w:val="bottom"/>
            <w:gridSpan w:val="3"/>
          </w:tcPr>
          <w:p>
            <w:pPr>
              <w:jc w:val="right"/>
              <w:ind w:right="20"/>
              <w:spacing w:after="0"/>
              <w:rPr>
                <w:sz w:val="20"/>
                <w:szCs w:val="20"/>
                <w:color w:val="auto"/>
              </w:rPr>
            </w:pPr>
            <w:r>
              <w:rPr>
                <w:rFonts w:ascii="Arial" w:cs="Arial" w:eastAsia="Arial" w:hAnsi="Arial"/>
                <w:sz w:val="14"/>
                <w:szCs w:val="14"/>
                <w:b w:val="1"/>
                <w:bCs w:val="1"/>
                <w:color w:val="auto"/>
                <w:w w:val="85"/>
              </w:rPr>
              <w:t>As of or for the</w:t>
            </w: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7020" w:type="dxa"/>
            <w:vAlign w:val="bottom"/>
          </w:tcPr>
          <w:p>
            <w:pPr>
              <w:spacing w:after="0"/>
              <w:rPr>
                <w:sz w:val="12"/>
                <w:szCs w:val="12"/>
                <w:color w:val="auto"/>
              </w:rPr>
            </w:pPr>
          </w:p>
        </w:tc>
        <w:tc>
          <w:tcPr>
            <w:tcW w:w="8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3"/>
              </w:rPr>
              <w:t>three months</w:t>
            </w:r>
          </w:p>
        </w:tc>
        <w:tc>
          <w:tcPr>
            <w:tcW w:w="1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3"/>
              </w:rPr>
              <w:t>six months</w:t>
            </w:r>
          </w:p>
        </w:tc>
      </w:tr>
      <w:tr>
        <w:trPr>
          <w:trHeight w:val="149"/>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70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jc w:val="center"/>
              <w:ind w:right="76"/>
              <w:spacing w:after="0" w:line="149" w:lineRule="exact"/>
              <w:rPr>
                <w:sz w:val="20"/>
                <w:szCs w:val="20"/>
                <w:color w:val="auto"/>
              </w:rPr>
            </w:pPr>
            <w:r>
              <w:rPr>
                <w:rFonts w:ascii="Arial" w:cs="Arial" w:eastAsia="Arial" w:hAnsi="Arial"/>
                <w:sz w:val="14"/>
                <w:szCs w:val="14"/>
                <w:b w:val="1"/>
                <w:bCs w:val="1"/>
                <w:color w:val="auto"/>
                <w:w w:val="82"/>
              </w:rPr>
              <w:t>ended</w:t>
            </w:r>
          </w:p>
        </w:tc>
        <w:tc>
          <w:tcPr>
            <w:tcW w:w="1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ended</w:t>
            </w:r>
          </w:p>
        </w:tc>
      </w:tr>
      <w:tr>
        <w:trPr>
          <w:trHeight w:val="161"/>
        </w:trPr>
        <w:tc>
          <w:tcPr>
            <w:tcW w:w="1340" w:type="dxa"/>
            <w:vAlign w:val="bottom"/>
            <w:gridSpan w:val="2"/>
          </w:tcPr>
          <w:p>
            <w:pPr>
              <w:spacing w:after="0"/>
              <w:rPr>
                <w:sz w:val="20"/>
                <w:szCs w:val="20"/>
                <w:color w:val="auto"/>
              </w:rPr>
            </w:pPr>
            <w:r>
              <w:rPr>
                <w:rFonts w:ascii="Arial" w:cs="Arial" w:eastAsia="Arial" w:hAnsi="Arial"/>
                <w:sz w:val="14"/>
                <w:szCs w:val="14"/>
                <w:b w:val="1"/>
                <w:bCs w:val="1"/>
                <w:color w:val="auto"/>
                <w:w w:val="92"/>
              </w:rPr>
              <w:t>(Amounts in millions)</w:t>
            </w:r>
          </w:p>
        </w:tc>
        <w:tc>
          <w:tcPr>
            <w:tcW w:w="7020" w:type="dxa"/>
            <w:vAlign w:val="bottom"/>
          </w:tcPr>
          <w:p>
            <w:pPr>
              <w:spacing w:after="0"/>
              <w:rPr>
                <w:sz w:val="14"/>
                <w:szCs w:val="14"/>
                <w:color w:val="auto"/>
              </w:rPr>
            </w:pPr>
          </w:p>
        </w:tc>
        <w:tc>
          <w:tcPr>
            <w:tcW w:w="8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June 30, 2010</w:t>
            </w:r>
          </w:p>
        </w:tc>
        <w:tc>
          <w:tcPr>
            <w:tcW w:w="1300" w:type="dxa"/>
            <w:vAlign w:val="bottom"/>
          </w:tcPr>
          <w:p>
            <w:pPr>
              <w:spacing w:after="0"/>
              <w:rPr>
                <w:sz w:val="14"/>
                <w:szCs w:val="14"/>
                <w:color w:val="auto"/>
              </w:rPr>
            </w:pPr>
          </w:p>
        </w:tc>
        <w:tc>
          <w:tcPr>
            <w:tcW w:w="90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87"/>
              </w:rPr>
              <w:t>June 30, 2010</w:t>
            </w:r>
          </w:p>
        </w:tc>
      </w:tr>
      <w:tr>
        <w:trPr>
          <w:trHeight w:val="210"/>
        </w:trPr>
        <w:tc>
          <w:tcPr>
            <w:tcW w:w="20" w:type="dxa"/>
            <w:vAlign w:val="bottom"/>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87"/>
              </w:rPr>
              <w:t>Beginning balance</w:t>
            </w:r>
          </w:p>
        </w:tc>
        <w:tc>
          <w:tcPr>
            <w:tcW w:w="70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7"/>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3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320" w:type="dxa"/>
            <w:vAlign w:val="bottom"/>
          </w:tcPr>
          <w:p>
            <w:pPr>
              <w:spacing w:after="0"/>
              <w:rPr>
                <w:sz w:val="20"/>
                <w:szCs w:val="20"/>
                <w:color w:val="auto"/>
              </w:rPr>
            </w:pPr>
            <w:r>
              <w:rPr>
                <w:rFonts w:ascii="Arial" w:cs="Arial" w:eastAsia="Arial" w:hAnsi="Arial"/>
                <w:sz w:val="18"/>
                <w:szCs w:val="18"/>
                <w:color w:val="auto"/>
              </w:rPr>
              <w:t xml:space="preserve">Provision </w:t>
            </w:r>
            <w:r>
              <w:rPr>
                <w:rFonts w:ascii="Arial" w:cs="Arial" w:eastAsia="Arial" w:hAnsi="Arial"/>
                <w:sz w:val="11"/>
                <w:szCs w:val="11"/>
                <w:color w:val="auto"/>
              </w:rPr>
              <w:t>(1)</w:t>
            </w:r>
          </w:p>
        </w:tc>
        <w:tc>
          <w:tcPr>
            <w:tcW w:w="7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18</w:t>
            </w: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22</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20"/>
                <w:szCs w:val="20"/>
                <w:color w:val="auto"/>
              </w:rPr>
            </w:pPr>
            <w:r>
              <w:rPr>
                <w:rFonts w:ascii="Arial" w:cs="Arial" w:eastAsia="Arial" w:hAnsi="Arial"/>
                <w:sz w:val="18"/>
                <w:szCs w:val="18"/>
                <w:color w:val="auto"/>
              </w:rPr>
              <w:t>Release</w:t>
            </w:r>
          </w:p>
        </w:tc>
        <w:tc>
          <w:tcPr>
            <w:tcW w:w="70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22"/>
        </w:trPr>
        <w:tc>
          <w:tcPr>
            <w:tcW w:w="1340" w:type="dxa"/>
            <w:vAlign w:val="bottom"/>
            <w:gridSpan w:val="2"/>
          </w:tcPr>
          <w:p>
            <w:pPr>
              <w:spacing w:after="0"/>
              <w:rPr>
                <w:sz w:val="20"/>
                <w:szCs w:val="20"/>
                <w:color w:val="auto"/>
              </w:rPr>
            </w:pPr>
            <w:r>
              <w:rPr>
                <w:rFonts w:ascii="Arial" w:cs="Arial" w:eastAsia="Arial" w:hAnsi="Arial"/>
                <w:sz w:val="18"/>
                <w:szCs w:val="18"/>
                <w:color w:val="auto"/>
              </w:rPr>
              <w:t>Ending balance</w:t>
            </w:r>
          </w:p>
        </w:tc>
        <w:tc>
          <w:tcPr>
            <w:tcW w:w="720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70</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70</w:t>
            </w: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70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16"/>
        </w:numPr>
        <w:rPr>
          <w:rFonts w:ascii="Arial" w:cs="Arial" w:eastAsia="Arial" w:hAnsi="Arial"/>
          <w:sz w:val="22"/>
          <w:szCs w:val="22"/>
          <w:color w:val="auto"/>
          <w:vertAlign w:val="superscript"/>
        </w:rPr>
      </w:pPr>
      <w:r>
        <w:rPr>
          <w:rFonts w:ascii="Arial" w:cs="Arial" w:eastAsia="Arial" w:hAnsi="Arial"/>
          <w:sz w:val="18"/>
          <w:szCs w:val="18"/>
          <w:color w:val="auto"/>
        </w:rPr>
        <w:t>Included $13 million related to held-for-sale commercial mortgage loans.</w:t>
      </w:r>
    </w:p>
    <w:p>
      <w:pPr>
        <w:spacing w:after="0" w:line="155" w:lineRule="exact"/>
        <w:rPr>
          <w:rFonts w:ascii="Arial" w:cs="Arial" w:eastAsia="Arial" w:hAnsi="Arial"/>
          <w:sz w:val="22"/>
          <w:szCs w:val="22"/>
          <w:color w:val="auto"/>
          <w:vertAlign w:val="superscript"/>
        </w:rPr>
      </w:pPr>
    </w:p>
    <w:p>
      <w:pPr>
        <w:ind w:left="460" w:right="1560"/>
        <w:spacing w:after="0" w:line="438" w:lineRule="auto"/>
        <w:rPr>
          <w:rFonts w:ascii="Arial" w:cs="Arial" w:eastAsia="Arial" w:hAnsi="Arial"/>
          <w:sz w:val="22"/>
          <w:szCs w:val="22"/>
          <w:color w:val="auto"/>
          <w:vertAlign w:val="superscript"/>
        </w:rPr>
      </w:pPr>
      <w:r>
        <w:rPr>
          <w:rFonts w:ascii="Arial" w:cs="Arial" w:eastAsia="Arial" w:hAnsi="Arial"/>
          <w:sz w:val="18"/>
          <w:szCs w:val="18"/>
          <w:color w:val="auto"/>
        </w:rPr>
        <w:t xml:space="preserve">The increase in the provision during 2010 was related to a change in reserving assumptions to reflect the current market environment. </w:t>
      </w:r>
      <w:r>
        <w:rPr>
          <w:rFonts w:ascii="Arial" w:cs="Arial" w:eastAsia="Arial" w:hAnsi="Arial"/>
          <w:sz w:val="18"/>
          <w:szCs w:val="18"/>
          <w:i w:val="1"/>
          <w:iCs w:val="1"/>
          <w:color w:val="auto"/>
        </w:rPr>
        <w:t>Restricted commercial mortgage loans related to securitization entities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-739775</wp:posOffset>
            </wp:positionV>
            <wp:extent cx="728980"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ind w:right="360" w:firstLine="456"/>
        <w:spacing w:after="0" w:line="268" w:lineRule="auto"/>
        <w:rPr>
          <w:sz w:val="20"/>
          <w:szCs w:val="20"/>
          <w:color w:val="auto"/>
        </w:rPr>
      </w:pPr>
      <w:r>
        <w:rPr>
          <w:rFonts w:ascii="Arial" w:cs="Arial" w:eastAsia="Arial" w:hAnsi="Arial"/>
          <w:sz w:val="18"/>
          <w:szCs w:val="18"/>
          <w:color w:val="auto"/>
        </w:rPr>
        <w:t>The following table sets forth additional information regarding our restricted commercial mortgage loans related to securitization entities as of the date indicated: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7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3"/>
          </w:tcPr>
          <w:p>
            <w:pPr>
              <w:ind w:left="600"/>
              <w:spacing w:after="0"/>
              <w:rPr>
                <w:sz w:val="20"/>
                <w:szCs w:val="20"/>
                <w:color w:val="auto"/>
              </w:rPr>
            </w:pPr>
            <w:r>
              <w:rPr>
                <w:rFonts w:ascii="Arial" w:cs="Arial" w:eastAsia="Arial" w:hAnsi="Arial"/>
                <w:sz w:val="14"/>
                <w:szCs w:val="14"/>
                <w:b w:val="1"/>
                <w:bCs w:val="1"/>
                <w:color w:val="auto"/>
              </w:rPr>
              <w:t>June 30, 2010</w:t>
            </w:r>
          </w:p>
        </w:tc>
        <w:tc>
          <w:tcPr>
            <w:tcW w:w="6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3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Number of</w:t>
            </w: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3760" w:type="dxa"/>
            <w:vAlign w:val="bottom"/>
          </w:tcPr>
          <w:p>
            <w:pPr>
              <w:spacing w:after="0"/>
              <w:rPr>
                <w:sz w:val="11"/>
                <w:szCs w:val="11"/>
                <w:color w:val="auto"/>
              </w:rPr>
            </w:pPr>
          </w:p>
        </w:tc>
        <w:tc>
          <w:tcPr>
            <w:tcW w:w="580" w:type="dxa"/>
            <w:vAlign w:val="bottom"/>
            <w:gridSpan w:val="2"/>
          </w:tcPr>
          <w:p>
            <w:pPr>
              <w:spacing w:after="0" w:line="135" w:lineRule="exact"/>
              <w:rPr>
                <w:sz w:val="20"/>
                <w:szCs w:val="20"/>
                <w:color w:val="auto"/>
              </w:rPr>
            </w:pPr>
            <w:r>
              <w:rPr>
                <w:rFonts w:ascii="Arial" w:cs="Arial" w:eastAsia="Arial" w:hAnsi="Arial"/>
                <w:sz w:val="14"/>
                <w:szCs w:val="14"/>
                <w:b w:val="1"/>
                <w:bCs w:val="1"/>
                <w:color w:val="auto"/>
                <w:w w:val="84"/>
              </w:rPr>
              <w:t>Total loan</w:t>
            </w:r>
          </w:p>
        </w:tc>
        <w:tc>
          <w:tcPr>
            <w:tcW w:w="600" w:type="dxa"/>
            <w:vAlign w:val="bottom"/>
          </w:tcPr>
          <w:p>
            <w:pPr>
              <w:spacing w:after="0"/>
              <w:rPr>
                <w:sz w:val="11"/>
                <w:szCs w:val="11"/>
                <w:color w:val="auto"/>
              </w:rPr>
            </w:pPr>
          </w:p>
        </w:tc>
        <w:tc>
          <w:tcPr>
            <w:tcW w:w="720" w:type="dxa"/>
            <w:vAlign w:val="bottom"/>
            <w:gridSpan w:val="2"/>
          </w:tcPr>
          <w:p>
            <w:pPr>
              <w:ind w:left="40"/>
              <w:spacing w:after="0" w:line="135" w:lineRule="exact"/>
              <w:rPr>
                <w:sz w:val="20"/>
                <w:szCs w:val="20"/>
                <w:color w:val="auto"/>
              </w:rPr>
            </w:pPr>
            <w:r>
              <w:rPr>
                <w:rFonts w:ascii="Arial" w:cs="Arial" w:eastAsia="Arial" w:hAnsi="Arial"/>
                <w:sz w:val="14"/>
                <w:szCs w:val="14"/>
                <w:b w:val="1"/>
                <w:bCs w:val="1"/>
                <w:color w:val="auto"/>
                <w:w w:val="91"/>
              </w:rPr>
              <w:t>Delinquent</w:t>
            </w:r>
          </w:p>
        </w:tc>
        <w:tc>
          <w:tcPr>
            <w:tcW w:w="620" w:type="dxa"/>
            <w:vAlign w:val="bottom"/>
          </w:tcPr>
          <w:p>
            <w:pPr>
              <w:spacing w:after="0"/>
              <w:rPr>
                <w:sz w:val="11"/>
                <w:szCs w:val="11"/>
                <w:color w:val="auto"/>
              </w:rPr>
            </w:pPr>
          </w:p>
        </w:tc>
        <w:tc>
          <w:tcPr>
            <w:tcW w:w="1240" w:type="dxa"/>
            <w:vAlign w:val="bottom"/>
            <w:gridSpan w:val="2"/>
          </w:tcPr>
          <w:p>
            <w:pPr>
              <w:jc w:val="right"/>
              <w:ind w:right="620"/>
              <w:spacing w:after="0" w:line="135" w:lineRule="exact"/>
              <w:rPr>
                <w:sz w:val="20"/>
                <w:szCs w:val="20"/>
                <w:color w:val="auto"/>
              </w:rPr>
            </w:pPr>
            <w:r>
              <w:rPr>
                <w:rFonts w:ascii="Arial" w:cs="Arial" w:eastAsia="Arial" w:hAnsi="Arial"/>
                <w:sz w:val="14"/>
                <w:szCs w:val="14"/>
                <w:b w:val="1"/>
                <w:bCs w:val="1"/>
                <w:color w:val="auto"/>
                <w:w w:val="85"/>
              </w:rPr>
              <w:t>Number of</w:t>
            </w:r>
          </w:p>
        </w:tc>
        <w:tc>
          <w:tcPr>
            <w:tcW w:w="6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7"/>
              </w:rPr>
              <w:t>delinquent</w:t>
            </w:r>
          </w:p>
        </w:tc>
        <w:tc>
          <w:tcPr>
            <w:tcW w:w="600" w:type="dxa"/>
            <w:vAlign w:val="bottom"/>
          </w:tcPr>
          <w:p>
            <w:pPr>
              <w:spacing w:after="0"/>
              <w:rPr>
                <w:sz w:val="11"/>
                <w:szCs w:val="11"/>
                <w:color w:val="auto"/>
              </w:rPr>
            </w:pPr>
          </w:p>
        </w:tc>
        <w:tc>
          <w:tcPr>
            <w:tcW w:w="1000" w:type="dxa"/>
            <w:vAlign w:val="bottom"/>
            <w:gridSpan w:val="2"/>
          </w:tcPr>
          <w:p>
            <w:pPr>
              <w:jc w:val="right"/>
              <w:ind w:right="200"/>
              <w:spacing w:after="0" w:line="135" w:lineRule="exact"/>
              <w:rPr>
                <w:sz w:val="20"/>
                <w:szCs w:val="20"/>
                <w:color w:val="auto"/>
              </w:rPr>
            </w:pPr>
            <w:r>
              <w:rPr>
                <w:rFonts w:ascii="Arial" w:cs="Arial" w:eastAsia="Arial" w:hAnsi="Arial"/>
                <w:sz w:val="14"/>
                <w:szCs w:val="14"/>
                <w:b w:val="1"/>
                <w:bCs w:val="1"/>
                <w:color w:val="auto"/>
                <w:w w:val="84"/>
              </w:rPr>
              <w:t>Average loan-</w:t>
            </w:r>
          </w:p>
        </w:tc>
        <w:tc>
          <w:tcPr>
            <w:tcW w:w="0" w:type="dxa"/>
            <w:vAlign w:val="bottom"/>
          </w:tcPr>
          <w:p>
            <w:pPr>
              <w:spacing w:after="0"/>
              <w:rPr>
                <w:sz w:val="1"/>
                <w:szCs w:val="1"/>
                <w:color w:val="auto"/>
              </w:rPr>
            </w:pPr>
          </w:p>
        </w:tc>
      </w:tr>
      <w:tr>
        <w:trPr>
          <w:trHeight w:val="176"/>
        </w:trPr>
        <w:tc>
          <w:tcPr>
            <w:tcW w:w="5420" w:type="dxa"/>
            <w:vAlign w:val="bottom"/>
            <w:gridSpan w:val="4"/>
          </w:tcPr>
          <w:p>
            <w:pPr>
              <w:spacing w:after="0"/>
              <w:rPr>
                <w:sz w:val="20"/>
                <w:szCs w:val="20"/>
                <w:color w:val="auto"/>
              </w:rPr>
            </w:pPr>
            <w:r>
              <w:rPr>
                <w:rFonts w:ascii="Arial" w:cs="Arial" w:eastAsia="Arial" w:hAnsi="Arial"/>
                <w:sz w:val="14"/>
                <w:szCs w:val="14"/>
                <w:b w:val="1"/>
                <w:bCs w:val="1"/>
                <w:color w:val="auto"/>
              </w:rPr>
              <w:t>(Loan amounts in millions)</w:t>
            </w:r>
          </w:p>
        </w:tc>
        <w:tc>
          <w:tcPr>
            <w:tcW w:w="580" w:type="dxa"/>
            <w:vAlign w:val="bottom"/>
            <w:gridSpan w:val="2"/>
          </w:tcPr>
          <w:p>
            <w:pPr>
              <w:ind w:left="60"/>
              <w:spacing w:after="0"/>
              <w:rPr>
                <w:sz w:val="20"/>
                <w:szCs w:val="20"/>
                <w:color w:val="auto"/>
              </w:rPr>
            </w:pPr>
            <w:r>
              <w:rPr>
                <w:rFonts w:ascii="Arial" w:cs="Arial" w:eastAsia="Arial" w:hAnsi="Arial"/>
                <w:sz w:val="14"/>
                <w:szCs w:val="14"/>
                <w:b w:val="1"/>
                <w:bCs w:val="1"/>
                <w:color w:val="auto"/>
                <w:w w:val="95"/>
              </w:rPr>
              <w:t>balance</w:t>
            </w:r>
          </w:p>
        </w:tc>
        <w:tc>
          <w:tcPr>
            <w:tcW w:w="600" w:type="dxa"/>
            <w:vAlign w:val="bottom"/>
          </w:tcPr>
          <w:p>
            <w:pPr>
              <w:spacing w:after="0"/>
              <w:rPr>
                <w:sz w:val="15"/>
                <w:szCs w:val="15"/>
                <w:color w:val="auto"/>
              </w:rPr>
            </w:pPr>
          </w:p>
        </w:tc>
        <w:tc>
          <w:tcPr>
            <w:tcW w:w="720" w:type="dxa"/>
            <w:vAlign w:val="bottom"/>
            <w:gridSpan w:val="2"/>
          </w:tcPr>
          <w:p>
            <w:pPr>
              <w:spacing w:after="0"/>
              <w:rPr>
                <w:sz w:val="20"/>
                <w:szCs w:val="20"/>
                <w:color w:val="auto"/>
              </w:rPr>
            </w:pPr>
            <w:r>
              <w:rPr>
                <w:rFonts w:ascii="Arial" w:cs="Arial" w:eastAsia="Arial" w:hAnsi="Arial"/>
                <w:sz w:val="14"/>
                <w:szCs w:val="14"/>
                <w:b w:val="1"/>
                <w:bCs w:val="1"/>
                <w:color w:val="auto"/>
                <w:w w:val="82"/>
              </w:rPr>
              <w:t>loan balance</w:t>
            </w:r>
          </w:p>
        </w:tc>
        <w:tc>
          <w:tcPr>
            <w:tcW w:w="620" w:type="dxa"/>
            <w:vAlign w:val="bottom"/>
          </w:tcPr>
          <w:p>
            <w:pPr>
              <w:spacing w:after="0"/>
              <w:rPr>
                <w:sz w:val="15"/>
                <w:szCs w:val="15"/>
                <w:color w:val="auto"/>
              </w:rPr>
            </w:pPr>
          </w:p>
        </w:tc>
        <w:tc>
          <w:tcPr>
            <w:tcW w:w="1240" w:type="dxa"/>
            <w:vAlign w:val="bottom"/>
            <w:gridSpan w:val="2"/>
          </w:tcPr>
          <w:p>
            <w:pPr>
              <w:ind w:left="160"/>
              <w:spacing w:after="0"/>
              <w:rPr>
                <w:sz w:val="20"/>
                <w:szCs w:val="20"/>
                <w:color w:val="auto"/>
              </w:rPr>
            </w:pPr>
            <w:r>
              <w:rPr>
                <w:rFonts w:ascii="Arial" w:cs="Arial" w:eastAsia="Arial" w:hAnsi="Arial"/>
                <w:sz w:val="14"/>
                <w:szCs w:val="14"/>
                <w:b w:val="1"/>
                <w:bCs w:val="1"/>
                <w:color w:val="auto"/>
              </w:rPr>
              <w:t>loans</w:t>
            </w: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w w:val="81"/>
              </w:rPr>
              <w:t>loans</w:t>
            </w:r>
          </w:p>
        </w:tc>
        <w:tc>
          <w:tcPr>
            <w:tcW w:w="600" w:type="dxa"/>
            <w:vAlign w:val="bottom"/>
          </w:tcPr>
          <w:p>
            <w:pPr>
              <w:spacing w:after="0"/>
              <w:rPr>
                <w:sz w:val="15"/>
                <w:szCs w:val="15"/>
                <w:color w:val="auto"/>
              </w:rPr>
            </w:pPr>
          </w:p>
        </w:tc>
        <w:tc>
          <w:tcPr>
            <w:tcW w:w="1000" w:type="dxa"/>
            <w:vAlign w:val="bottom"/>
            <w:gridSpan w:val="2"/>
          </w:tcPr>
          <w:p>
            <w:pPr>
              <w:jc w:val="right"/>
              <w:ind w:right="280"/>
              <w:spacing w:after="0" w:line="176" w:lineRule="exact"/>
              <w:rPr>
                <w:sz w:val="20"/>
                <w:szCs w:val="20"/>
                <w:color w:val="auto"/>
              </w:rPr>
            </w:pPr>
            <w:r>
              <w:rPr>
                <w:rFonts w:ascii="Arial" w:cs="Arial" w:eastAsia="Arial" w:hAnsi="Arial"/>
                <w:sz w:val="13"/>
                <w:szCs w:val="13"/>
                <w:b w:val="1"/>
                <w:bCs w:val="1"/>
                <w:color w:val="auto"/>
              </w:rPr>
              <w:t xml:space="preserve">to-value </w:t>
            </w:r>
            <w:r>
              <w:rPr>
                <w:rFonts w:ascii="Arial" w:cs="Arial" w:eastAsia="Arial" w:hAnsi="Arial"/>
                <w:sz w:val="20"/>
                <w:szCs w:val="20"/>
                <w:color w:val="auto"/>
                <w:vertAlign w:val="superscript"/>
              </w:rPr>
              <w:t>(1)</w:t>
            </w:r>
          </w:p>
        </w:tc>
        <w:tc>
          <w:tcPr>
            <w:tcW w:w="0" w:type="dxa"/>
            <w:vAlign w:val="bottom"/>
          </w:tcPr>
          <w:p>
            <w:pPr>
              <w:spacing w:after="0"/>
              <w:rPr>
                <w:sz w:val="1"/>
                <w:szCs w:val="1"/>
                <w:color w:val="auto"/>
              </w:rPr>
            </w:pPr>
          </w:p>
        </w:tc>
      </w:tr>
      <w:tr>
        <w:trPr>
          <w:trHeight w:val="142"/>
        </w:trPr>
        <w:tc>
          <w:tcPr>
            <w:tcW w:w="1660" w:type="dxa"/>
            <w:vAlign w:val="bottom"/>
            <w:tcBorders>
              <w:top w:val="single" w:sz="8" w:color="auto"/>
            </w:tcBorders>
            <w:gridSpan w:val="3"/>
          </w:tcPr>
          <w:p>
            <w:pPr>
              <w:spacing w:after="0" w:line="142" w:lineRule="exact"/>
              <w:rPr>
                <w:sz w:val="20"/>
                <w:szCs w:val="20"/>
                <w:color w:val="auto"/>
              </w:rPr>
            </w:pPr>
            <w:r>
              <w:rPr>
                <w:rFonts w:ascii="Arial" w:cs="Arial" w:eastAsia="Arial" w:hAnsi="Arial"/>
                <w:sz w:val="14"/>
                <w:szCs w:val="14"/>
                <w:b w:val="1"/>
                <w:bCs w:val="1"/>
                <w:color w:val="auto"/>
              </w:rPr>
              <w:t>Loan Year</w:t>
            </w:r>
          </w:p>
        </w:tc>
        <w:tc>
          <w:tcPr>
            <w:tcW w:w="376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620" w:type="dxa"/>
            <w:vAlign w:val="bottom"/>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600" w:type="dxa"/>
            <w:vAlign w:val="bottom"/>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60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4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2004 and prior</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537</w:t>
            </w:r>
          </w:p>
        </w:tc>
        <w:tc>
          <w:tcPr>
            <w:tcW w:w="88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86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209</w:t>
            </w:r>
          </w:p>
        </w:tc>
        <w:tc>
          <w:tcPr>
            <w:tcW w:w="6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16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0"/>
        </w:trPr>
        <w:tc>
          <w:tcPr>
            <w:tcW w:w="5420" w:type="dxa"/>
            <w:vAlign w:val="bottom"/>
            <w:gridSpan w:val="4"/>
            <w:vMerge w:val="restart"/>
          </w:tcPr>
          <w:p>
            <w:pPr>
              <w:spacing w:after="0"/>
              <w:rPr>
                <w:sz w:val="20"/>
                <w:szCs w:val="20"/>
                <w:color w:val="auto"/>
              </w:rPr>
            </w:pPr>
            <w:r>
              <w:rPr>
                <w:rFonts w:ascii="Arial" w:cs="Arial" w:eastAsia="Arial" w:hAnsi="Arial"/>
                <w:sz w:val="18"/>
                <w:szCs w:val="18"/>
                <w:color w:val="auto"/>
              </w:rPr>
              <w:t>Total</w:t>
            </w: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0" w:type="dxa"/>
            <w:vAlign w:val="bottom"/>
            <w:gridSpan w:val="3"/>
            <w:vMerge w:val="restart"/>
          </w:tcPr>
          <w:p>
            <w:pPr>
              <w:jc w:val="right"/>
              <w:ind w:right="60"/>
              <w:spacing w:after="0"/>
              <w:rPr>
                <w:sz w:val="20"/>
                <w:szCs w:val="20"/>
                <w:color w:val="auto"/>
              </w:rPr>
            </w:pPr>
            <w:r>
              <w:rPr>
                <w:rFonts w:ascii="Arial" w:cs="Arial" w:eastAsia="Arial" w:hAnsi="Arial"/>
                <w:sz w:val="18"/>
                <w:szCs w:val="18"/>
                <w:color w:val="auto"/>
              </w:rPr>
              <w:t>44%</w:t>
            </w:r>
          </w:p>
        </w:tc>
        <w:tc>
          <w:tcPr>
            <w:tcW w:w="0" w:type="dxa"/>
            <w:vAlign w:val="bottom"/>
          </w:tcPr>
          <w:p>
            <w:pPr>
              <w:spacing w:after="0" w:line="20" w:lineRule="exact"/>
              <w:rPr>
                <w:sz w:val="1"/>
                <w:szCs w:val="1"/>
                <w:color w:val="auto"/>
              </w:rPr>
            </w:pPr>
          </w:p>
        </w:tc>
      </w:tr>
      <w:tr>
        <w:trPr>
          <w:trHeight w:val="222"/>
        </w:trPr>
        <w:tc>
          <w:tcPr>
            <w:tcW w:w="5420" w:type="dxa"/>
            <w:vAlign w:val="bottom"/>
            <w:gridSpan w:val="4"/>
            <w:vMerge w:val="continue"/>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380" w:type="dxa"/>
            <w:vAlign w:val="bottom"/>
          </w:tcPr>
          <w:p>
            <w:pPr>
              <w:jc w:val="right"/>
              <w:spacing w:after="0"/>
              <w:rPr>
                <w:sz w:val="20"/>
                <w:szCs w:val="20"/>
                <w:color w:val="auto"/>
              </w:rPr>
            </w:pPr>
            <w:r>
              <w:rPr>
                <w:rFonts w:ascii="Arial" w:cs="Arial" w:eastAsia="Arial" w:hAnsi="Arial"/>
                <w:sz w:val="18"/>
                <w:szCs w:val="18"/>
                <w:color w:val="auto"/>
              </w:rPr>
              <w:t>537</w:t>
            </w:r>
          </w:p>
        </w:tc>
        <w:tc>
          <w:tcPr>
            <w:tcW w:w="88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1860" w:type="dxa"/>
            <w:vAlign w:val="bottom"/>
            <w:gridSpan w:val="3"/>
          </w:tcPr>
          <w:p>
            <w:pPr>
              <w:jc w:val="right"/>
              <w:ind w:right="600"/>
              <w:spacing w:after="0"/>
              <w:rPr>
                <w:sz w:val="20"/>
                <w:szCs w:val="20"/>
                <w:color w:val="auto"/>
              </w:rPr>
            </w:pPr>
            <w:r>
              <w:rPr>
                <w:rFonts w:ascii="Arial" w:cs="Arial" w:eastAsia="Arial" w:hAnsi="Arial"/>
                <w:sz w:val="18"/>
                <w:szCs w:val="18"/>
                <w:color w:val="auto"/>
              </w:rPr>
              <w:t>209</w:t>
            </w:r>
          </w:p>
        </w:tc>
        <w:tc>
          <w:tcPr>
            <w:tcW w:w="640" w:type="dxa"/>
            <w:vAlign w:val="bottom"/>
          </w:tcPr>
          <w:p>
            <w:pPr>
              <w:ind w:left="360"/>
              <w:spacing w:after="0"/>
              <w:rPr>
                <w:sz w:val="20"/>
                <w:szCs w:val="20"/>
                <w:color w:val="auto"/>
              </w:rPr>
            </w:pPr>
            <w:r>
              <w:rPr>
                <w:rFonts w:ascii="Arial" w:cs="Arial" w:eastAsia="Arial" w:hAnsi="Arial"/>
                <w:sz w:val="18"/>
                <w:szCs w:val="18"/>
                <w:color w:val="auto"/>
              </w:rPr>
              <w:t>—</w:t>
            </w:r>
          </w:p>
        </w:tc>
        <w:tc>
          <w:tcPr>
            <w:tcW w:w="1600" w:type="dxa"/>
            <w:vAlign w:val="bottom"/>
            <w:gridSpan w:val="3"/>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3" w:lineRule="exact"/>
        <w:rPr>
          <w:sz w:val="20"/>
          <w:szCs w:val="20"/>
          <w:color w:val="auto"/>
        </w:rPr>
      </w:pPr>
    </w:p>
    <w:p>
      <w:pPr>
        <w:ind w:left="460" w:hanging="452"/>
        <w:spacing w:after="0"/>
        <w:tabs>
          <w:tab w:leader="none" w:pos="460" w:val="left"/>
        </w:tabs>
        <w:numPr>
          <w:ilvl w:val="0"/>
          <w:numId w:val="117"/>
        </w:numPr>
        <w:rPr>
          <w:rFonts w:ascii="Arial" w:cs="Arial" w:eastAsia="Arial" w:hAnsi="Arial"/>
          <w:sz w:val="22"/>
          <w:szCs w:val="22"/>
          <w:color w:val="auto"/>
          <w:vertAlign w:val="superscript"/>
        </w:rPr>
      </w:pPr>
      <w:r>
        <w:rPr>
          <w:rFonts w:ascii="Arial" w:cs="Arial" w:eastAsia="Arial" w:hAnsi="Arial"/>
          <w:sz w:val="18"/>
          <w:szCs w:val="18"/>
          <w:color w:val="auto"/>
        </w:rPr>
        <w:t>Represents loan-to-value as of June 30, 2010.</w:t>
      </w:r>
    </w:p>
    <w:p>
      <w:pPr>
        <w:spacing w:after="0" w:line="236" w:lineRule="exact"/>
        <w:rPr>
          <w:rFonts w:ascii="Arial" w:cs="Arial" w:eastAsia="Arial" w:hAnsi="Arial"/>
          <w:sz w:val="22"/>
          <w:szCs w:val="22"/>
          <w:color w:val="auto"/>
          <w:vertAlign w:val="superscript"/>
        </w:rPr>
      </w:pPr>
    </w:p>
    <w:p>
      <w:pPr>
        <w:ind w:left="460"/>
        <w:spacing w:after="0"/>
        <w:rPr>
          <w:rFonts w:ascii="Arial" w:cs="Arial" w:eastAsia="Arial" w:hAnsi="Arial"/>
          <w:sz w:val="22"/>
          <w:szCs w:val="22"/>
          <w:color w:val="auto"/>
          <w:vertAlign w:val="superscript"/>
        </w:rPr>
      </w:pPr>
      <w:r>
        <w:rPr>
          <w:rFonts w:ascii="Arial" w:cs="Arial" w:eastAsia="Arial" w:hAnsi="Arial"/>
          <w:sz w:val="16"/>
          <w:szCs w:val="16"/>
          <w:color w:val="auto"/>
        </w:rPr>
        <w:t>See note 7 in our “—Notes to Condensed Consolidated Financial Statements” for additional information related to consolidated securitization entities.</w:t>
      </w:r>
    </w:p>
    <w:p>
      <w:pPr>
        <w:spacing w:after="0" w:line="275" w:lineRule="exact"/>
        <w:rPr>
          <w:rFonts w:ascii="Arial" w:cs="Arial" w:eastAsia="Arial" w:hAnsi="Arial"/>
          <w:sz w:val="22"/>
          <w:szCs w:val="22"/>
          <w:color w:val="auto"/>
          <w:vertAlign w:val="superscript"/>
        </w:rPr>
      </w:pPr>
    </w:p>
    <w:p>
      <w:pPr>
        <w:ind w:left="460"/>
        <w:spacing w:after="0"/>
        <w:rPr>
          <w:rFonts w:ascii="Arial" w:cs="Arial" w:eastAsia="Arial" w:hAnsi="Arial"/>
          <w:sz w:val="22"/>
          <w:szCs w:val="22"/>
          <w:color w:val="auto"/>
          <w:vertAlign w:val="superscript"/>
        </w:rPr>
      </w:pPr>
      <w:r>
        <w:rPr>
          <w:rFonts w:ascii="Arial" w:cs="Arial" w:eastAsia="Arial" w:hAnsi="Arial"/>
          <w:sz w:val="18"/>
          <w:szCs w:val="18"/>
          <w:i w:val="1"/>
          <w:iCs w:val="1"/>
          <w:color w:val="auto"/>
        </w:rPr>
        <w:t>Other invested assets</w:t>
      </w:r>
    </w:p>
    <w:p>
      <w:pPr>
        <w:spacing w:after="0" w:line="90" w:lineRule="exact"/>
        <w:rPr>
          <w:rFonts w:ascii="Arial" w:cs="Arial" w:eastAsia="Arial" w:hAnsi="Arial"/>
          <w:sz w:val="22"/>
          <w:szCs w:val="22"/>
          <w:color w:val="auto"/>
          <w:vertAlign w:val="superscript"/>
        </w:rPr>
      </w:pPr>
    </w:p>
    <w:p>
      <w:pPr>
        <w:ind w:left="460"/>
        <w:spacing w:after="0"/>
        <w:rPr>
          <w:rFonts w:ascii="Arial" w:cs="Arial" w:eastAsia="Arial" w:hAnsi="Arial"/>
          <w:sz w:val="22"/>
          <w:szCs w:val="22"/>
          <w:color w:val="auto"/>
          <w:vertAlign w:val="superscript"/>
        </w:rPr>
      </w:pPr>
      <w:r>
        <w:rPr>
          <w:rFonts w:ascii="Arial" w:cs="Arial" w:eastAsia="Arial" w:hAnsi="Arial"/>
          <w:sz w:val="18"/>
          <w:szCs w:val="18"/>
          <w:color w:val="auto"/>
        </w:rPr>
        <w:t>The following table sets forth the carrying values of our other invested assets as of the dates indicated: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-923290</wp:posOffset>
            </wp:positionV>
            <wp:extent cx="728980" cy="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(Amounts in millions)</w:t>
            </w:r>
          </w:p>
        </w:tc>
        <w:tc>
          <w:tcPr>
            <w:tcW w:w="280" w:type="dxa"/>
            <w:vAlign w:val="bottom"/>
          </w:tcPr>
          <w:p>
            <w:pPr>
              <w:spacing w:after="0"/>
              <w:rPr>
                <w:sz w:val="14"/>
                <w:szCs w:val="14"/>
                <w:color w:val="auto"/>
              </w:rPr>
            </w:pPr>
          </w:p>
        </w:tc>
        <w:tc>
          <w:tcPr>
            <w:tcW w:w="1300" w:type="dxa"/>
            <w:vAlign w:val="bottom"/>
            <w:gridSpan w:val="2"/>
          </w:tcPr>
          <w:p>
            <w:pPr>
              <w:ind w:left="400"/>
              <w:spacing w:after="0"/>
              <w:rPr>
                <w:sz w:val="20"/>
                <w:szCs w:val="20"/>
                <w:color w:val="auto"/>
              </w:rPr>
            </w:pPr>
            <w:r>
              <w:rPr>
                <w:rFonts w:ascii="Arial" w:cs="Arial" w:eastAsia="Arial" w:hAnsi="Arial"/>
                <w:sz w:val="14"/>
                <w:szCs w:val="14"/>
                <w:b w:val="1"/>
                <w:bCs w:val="1"/>
                <w:color w:val="auto"/>
                <w:w w:val="96"/>
              </w:rPr>
              <w:t>June 30, 2010</w:t>
            </w:r>
          </w:p>
        </w:tc>
        <w:tc>
          <w:tcPr>
            <w:tcW w:w="5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80" w:type="dxa"/>
            <w:vAlign w:val="bottom"/>
            <w:gridSpan w:val="4"/>
          </w:tcPr>
          <w:p>
            <w:pPr>
              <w:jc w:val="right"/>
              <w:ind w:right="740"/>
              <w:spacing w:after="0"/>
              <w:rPr>
                <w:sz w:val="20"/>
                <w:szCs w:val="20"/>
                <w:color w:val="auto"/>
              </w:rPr>
            </w:pPr>
            <w:r>
              <w:rPr>
                <w:rFonts w:ascii="Arial" w:cs="Arial" w:eastAsia="Arial" w:hAnsi="Arial"/>
                <w:sz w:val="14"/>
                <w:szCs w:val="14"/>
                <w:b w:val="1"/>
                <w:bCs w:val="1"/>
                <w:color w:val="auto"/>
              </w:rPr>
              <w:t>December 31, 2009</w:t>
            </w:r>
          </w:p>
        </w:tc>
        <w:tc>
          <w:tcPr>
            <w:tcW w:w="0" w:type="dxa"/>
            <w:vAlign w:val="bottom"/>
          </w:tcPr>
          <w:p>
            <w:pPr>
              <w:spacing w:after="0"/>
              <w:rPr>
                <w:sz w:val="1"/>
                <w:szCs w:val="1"/>
                <w:color w:val="auto"/>
              </w:rPr>
            </w:pPr>
          </w:p>
        </w:tc>
      </w:tr>
      <w:tr>
        <w:trPr>
          <w:trHeight w:val="142"/>
        </w:trPr>
        <w:tc>
          <w:tcPr>
            <w:tcW w:w="6000" w:type="dxa"/>
            <w:vAlign w:val="bottom"/>
            <w:gridSpan w:val="3"/>
            <w:vMerge w:val="continue"/>
          </w:tcPr>
          <w:p>
            <w:pPr>
              <w:spacing w:after="0"/>
              <w:rPr>
                <w:sz w:val="12"/>
                <w:szCs w:val="12"/>
                <w:color w:val="auto"/>
              </w:rPr>
            </w:pPr>
          </w:p>
        </w:tc>
        <w:tc>
          <w:tcPr>
            <w:tcW w:w="1580" w:type="dxa"/>
            <w:vAlign w:val="bottom"/>
            <w:tcBorders>
              <w:top w:val="single" w:sz="8" w:color="auto"/>
            </w:tcBorders>
            <w:gridSpan w:val="3"/>
          </w:tcPr>
          <w:p>
            <w:pPr>
              <w:spacing w:after="0" w:line="142" w:lineRule="exact"/>
              <w:rPr>
                <w:sz w:val="20"/>
                <w:szCs w:val="20"/>
                <w:color w:val="auto"/>
              </w:rPr>
            </w:pPr>
            <w:r>
              <w:rPr>
                <w:rFonts w:ascii="Arial" w:cs="Arial" w:eastAsia="Arial" w:hAnsi="Arial"/>
                <w:sz w:val="14"/>
                <w:szCs w:val="14"/>
                <w:b w:val="1"/>
                <w:bCs w:val="1"/>
                <w:color w:val="auto"/>
              </w:rPr>
              <w:t>Carrying value</w:t>
            </w:r>
          </w:p>
        </w:tc>
        <w:tc>
          <w:tcPr>
            <w:tcW w:w="5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8"/>
              </w:rPr>
              <w:t>% of total</w:t>
            </w:r>
          </w:p>
        </w:tc>
        <w:tc>
          <w:tcPr>
            <w:tcW w:w="900" w:type="dxa"/>
            <w:vAlign w:val="bottom"/>
          </w:tcPr>
          <w:p>
            <w:pPr>
              <w:spacing w:after="0"/>
              <w:rPr>
                <w:sz w:val="12"/>
                <w:szCs w:val="12"/>
                <w:color w:val="auto"/>
              </w:rPr>
            </w:pPr>
          </w:p>
        </w:tc>
        <w:tc>
          <w:tcPr>
            <w:tcW w:w="1580" w:type="dxa"/>
            <w:vAlign w:val="bottom"/>
            <w:tcBorders>
              <w:top w:val="single" w:sz="8" w:color="auto"/>
            </w:tcBorders>
            <w:gridSpan w:val="3"/>
          </w:tcPr>
          <w:p>
            <w:pPr>
              <w:spacing w:after="0" w:line="142" w:lineRule="exact"/>
              <w:rPr>
                <w:sz w:val="20"/>
                <w:szCs w:val="20"/>
                <w:color w:val="auto"/>
              </w:rPr>
            </w:pPr>
            <w:r>
              <w:rPr>
                <w:rFonts w:ascii="Arial" w:cs="Arial" w:eastAsia="Arial" w:hAnsi="Arial"/>
                <w:sz w:val="14"/>
                <w:szCs w:val="14"/>
                <w:b w:val="1"/>
                <w:bCs w:val="1"/>
                <w:color w:val="auto"/>
              </w:rPr>
              <w:t>Carrying value</w:t>
            </w:r>
          </w:p>
        </w:tc>
        <w:tc>
          <w:tcPr>
            <w:tcW w:w="5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8"/>
              </w:rPr>
              <w:t>% of 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320" w:type="dxa"/>
            <w:vAlign w:val="bottom"/>
            <w:shd w:val="clear" w:color="auto" w:fill="CCEEFF"/>
          </w:tcPr>
          <w:p>
            <w:pPr>
              <w:spacing w:after="0"/>
              <w:rPr>
                <w:sz w:val="20"/>
                <w:szCs w:val="20"/>
                <w:color w:val="auto"/>
              </w:rPr>
            </w:pPr>
            <w:r>
              <w:rPr>
                <w:rFonts w:ascii="Arial" w:cs="Arial" w:eastAsia="Arial" w:hAnsi="Arial"/>
                <w:sz w:val="18"/>
                <w:szCs w:val="18"/>
                <w:color w:val="auto"/>
              </w:rPr>
              <w:t>Derivatives</w:t>
            </w:r>
          </w:p>
        </w:tc>
        <w:tc>
          <w:tcPr>
            <w:tcW w:w="46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1,443</w:t>
            </w:r>
          </w:p>
        </w:tc>
        <w:tc>
          <w:tcPr>
            <w:tcW w:w="7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36%</w:t>
            </w: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946</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tcPr>
          <w:p>
            <w:pPr>
              <w:spacing w:after="0"/>
              <w:rPr>
                <w:sz w:val="20"/>
                <w:szCs w:val="20"/>
                <w:color w:val="auto"/>
              </w:rPr>
            </w:pPr>
            <w:r>
              <w:rPr>
                <w:rFonts w:ascii="Arial" w:cs="Arial" w:eastAsia="Arial" w:hAnsi="Arial"/>
                <w:sz w:val="18"/>
                <w:szCs w:val="18"/>
                <w:color w:val="auto"/>
              </w:rPr>
              <w:t>Derivatives counterparty collateral</w:t>
            </w:r>
          </w:p>
        </w:tc>
        <w:tc>
          <w:tcPr>
            <w:tcW w:w="2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1,058</w:t>
            </w:r>
          </w:p>
        </w:tc>
        <w:tc>
          <w:tcPr>
            <w:tcW w:w="7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26</w:t>
            </w: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gridSpan w:val="2"/>
          </w:tcPr>
          <w:p>
            <w:pPr>
              <w:jc w:val="right"/>
              <w:ind w:right="700"/>
              <w:spacing w:after="0"/>
              <w:rPr>
                <w:sz w:val="20"/>
                <w:szCs w:val="20"/>
                <w:color w:val="auto"/>
              </w:rPr>
            </w:pPr>
            <w:r>
              <w:rPr>
                <w:rFonts w:ascii="Arial" w:cs="Arial" w:eastAsia="Arial" w:hAnsi="Arial"/>
                <w:sz w:val="18"/>
                <w:szCs w:val="18"/>
                <w:color w:val="auto"/>
              </w:rPr>
              <w:t>647</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Securities lending collateral</w:t>
            </w:r>
          </w:p>
        </w:tc>
        <w:tc>
          <w:tcPr>
            <w:tcW w:w="2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680</w:t>
            </w:r>
          </w:p>
        </w:tc>
        <w:tc>
          <w:tcPr>
            <w:tcW w:w="7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853</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tcPr>
          <w:p>
            <w:pPr>
              <w:spacing w:after="0"/>
              <w:rPr>
                <w:sz w:val="20"/>
                <w:szCs w:val="20"/>
                <w:color w:val="auto"/>
              </w:rPr>
            </w:pPr>
            <w:r>
              <w:rPr>
                <w:rFonts w:ascii="Arial" w:cs="Arial" w:eastAsia="Arial" w:hAnsi="Arial"/>
                <w:sz w:val="18"/>
                <w:szCs w:val="18"/>
                <w:color w:val="auto"/>
              </w:rPr>
              <w:t>Limited partnerships</w:t>
            </w:r>
          </w:p>
        </w:tc>
        <w:tc>
          <w:tcPr>
            <w:tcW w:w="2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363</w:t>
            </w:r>
          </w:p>
        </w:tc>
        <w:tc>
          <w:tcPr>
            <w:tcW w:w="7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w:t>
            </w: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gridSpan w:val="2"/>
          </w:tcPr>
          <w:p>
            <w:pPr>
              <w:jc w:val="right"/>
              <w:ind w:right="700"/>
              <w:spacing w:after="0"/>
              <w:rPr>
                <w:sz w:val="20"/>
                <w:szCs w:val="20"/>
                <w:color w:val="auto"/>
              </w:rPr>
            </w:pPr>
            <w:r>
              <w:rPr>
                <w:rFonts w:ascii="Arial" w:cs="Arial" w:eastAsia="Arial" w:hAnsi="Arial"/>
                <w:sz w:val="18"/>
                <w:szCs w:val="18"/>
                <w:color w:val="auto"/>
              </w:rPr>
              <w:t>430</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Trading securities</w:t>
            </w:r>
          </w:p>
        </w:tc>
        <w:tc>
          <w:tcPr>
            <w:tcW w:w="2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w:t>
            </w:r>
          </w:p>
        </w:tc>
        <w:tc>
          <w:tcPr>
            <w:tcW w:w="7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174</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tcPr>
          <w:p>
            <w:pPr>
              <w:spacing w:after="0"/>
              <w:rPr>
                <w:sz w:val="20"/>
                <w:szCs w:val="20"/>
                <w:color w:val="auto"/>
              </w:rPr>
            </w:pPr>
            <w:r>
              <w:rPr>
                <w:rFonts w:ascii="Arial" w:cs="Arial" w:eastAsia="Arial" w:hAnsi="Arial"/>
                <w:sz w:val="18"/>
                <w:szCs w:val="18"/>
                <w:color w:val="auto"/>
              </w:rPr>
              <w:t>Short-term investments</w:t>
            </w:r>
          </w:p>
        </w:tc>
        <w:tc>
          <w:tcPr>
            <w:tcW w:w="2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190</w:t>
            </w:r>
          </w:p>
        </w:tc>
        <w:tc>
          <w:tcPr>
            <w:tcW w:w="7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w:t>
            </w: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gridSpan w:val="2"/>
          </w:tcPr>
          <w:p>
            <w:pPr>
              <w:jc w:val="right"/>
              <w:ind w:right="700"/>
              <w:spacing w:after="0"/>
              <w:rPr>
                <w:sz w:val="20"/>
                <w:szCs w:val="20"/>
                <w:color w:val="auto"/>
              </w:rPr>
            </w:pPr>
            <w:r>
              <w:rPr>
                <w:rFonts w:ascii="Arial" w:cs="Arial" w:eastAsia="Arial" w:hAnsi="Arial"/>
                <w:sz w:val="18"/>
                <w:szCs w:val="18"/>
                <w:color w:val="auto"/>
              </w:rPr>
              <w:t>1,590</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28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720" w:type="dxa"/>
            <w:vAlign w:val="bottom"/>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9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700" w:type="dxa"/>
            <w:vAlign w:val="bottom"/>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980" w:type="dxa"/>
            <w:vAlign w:val="bottom"/>
            <w:gridSpan w:val="2"/>
          </w:tcPr>
          <w:p>
            <w:pPr>
              <w:ind w:left="420"/>
              <w:spacing w:after="0"/>
              <w:rPr>
                <w:sz w:val="20"/>
                <w:szCs w:val="20"/>
                <w:color w:val="auto"/>
              </w:rPr>
            </w:pPr>
            <w:r>
              <w:rPr>
                <w:rFonts w:ascii="Arial" w:cs="Arial" w:eastAsia="Arial" w:hAnsi="Arial"/>
                <w:sz w:val="18"/>
                <w:szCs w:val="18"/>
                <w:color w:val="auto"/>
              </w:rPr>
              <w:t>Total other invested assets</w:t>
            </w: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4,042</w:t>
            </w:r>
          </w:p>
        </w:tc>
        <w:tc>
          <w:tcPr>
            <w:tcW w:w="720" w:type="dxa"/>
            <w:vAlign w:val="bottom"/>
          </w:tcPr>
          <w:p>
            <w:pPr>
              <w:spacing w:after="0"/>
              <w:rPr>
                <w:sz w:val="19"/>
                <w:szCs w:val="19"/>
                <w:color w:val="auto"/>
              </w:rPr>
            </w:pPr>
          </w:p>
        </w:tc>
        <w:tc>
          <w:tcPr>
            <w:tcW w:w="1480" w:type="dxa"/>
            <w:vAlign w:val="bottom"/>
            <w:gridSpan w:val="2"/>
          </w:tcPr>
          <w:p>
            <w:pPr>
              <w:jc w:val="right"/>
              <w:ind w:right="760"/>
              <w:spacing w:after="0"/>
              <w:rPr>
                <w:sz w:val="20"/>
                <w:szCs w:val="20"/>
                <w:color w:val="auto"/>
              </w:rPr>
            </w:pPr>
            <w:r>
              <w:rPr>
                <w:rFonts w:ascii="Arial" w:cs="Arial" w:eastAsia="Arial" w:hAnsi="Arial"/>
                <w:sz w:val="18"/>
                <w:szCs w:val="18"/>
                <w:color w:val="auto"/>
              </w:rPr>
              <w:t>100%</w:t>
            </w: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700"/>
              <w:spacing w:after="0"/>
              <w:rPr>
                <w:sz w:val="20"/>
                <w:szCs w:val="20"/>
                <w:color w:val="auto"/>
              </w:rPr>
            </w:pPr>
            <w:r>
              <w:rPr>
                <w:rFonts w:ascii="Arial" w:cs="Arial" w:eastAsia="Arial" w:hAnsi="Arial"/>
                <w:sz w:val="18"/>
                <w:szCs w:val="18"/>
                <w:color w:val="auto"/>
              </w:rPr>
              <w:t>4,702</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360" w:firstLine="456"/>
        <w:spacing w:after="0" w:line="256" w:lineRule="auto"/>
        <w:rPr>
          <w:sz w:val="20"/>
          <w:szCs w:val="20"/>
          <w:color w:val="auto"/>
        </w:rPr>
      </w:pPr>
      <w:r>
        <w:rPr>
          <w:rFonts w:ascii="Arial" w:cs="Arial" w:eastAsia="Arial" w:hAnsi="Arial"/>
          <w:sz w:val="18"/>
          <w:szCs w:val="18"/>
          <w:color w:val="auto"/>
        </w:rPr>
        <w:t>Our investments in derivatives and derivative counterparty collateral increased primarily as a result of a decrease in long-term interest rates. Securities lending collateral decreased primarily from our decision to decrease the program size. Limited partnership investments decreased primarily from sales and unrealized depreciation and returned capital, partially offset by calls on outstanding commitments. The decrease in short-term investments was attributable to portfolio repositioning activities in the first half of 2010.</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123</w:t>
      </w:r>
    </w:p>
    <w:p>
      <w:pPr>
        <w:sectPr>
          <w:pgSz w:w="11900" w:h="16838" w:orient="portrait"/>
          <w:cols w:equalWidth="0" w:num="1">
            <w:col w:w="11420"/>
          </w:cols>
          <w:pgMar w:left="240" w:top="459" w:right="239" w:bottom="1440" w:gutter="0" w:footer="0" w:header="0"/>
        </w:sectPr>
      </w:pPr>
    </w:p>
    <w:bookmarkStart w:id="123" w:name="page124"/>
    <w:bookmarkEnd w:id="1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Derivatives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our positions in derivative instruments as of the dates indicated: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2680" w:type="dxa"/>
            <w:vAlign w:val="bottom"/>
            <w:tcBorders>
              <w:bottom w:val="single" w:sz="8" w:color="auto"/>
            </w:tcBorders>
            <w:gridSpan w:val="6"/>
          </w:tcPr>
          <w:p>
            <w:pPr>
              <w:jc w:val="right"/>
              <w:ind w:right="652"/>
              <w:spacing w:after="0"/>
              <w:rPr>
                <w:sz w:val="20"/>
                <w:szCs w:val="20"/>
                <w:color w:val="auto"/>
              </w:rPr>
            </w:pPr>
            <w:r>
              <w:rPr>
                <w:rFonts w:ascii="Arial" w:cs="Arial" w:eastAsia="Arial" w:hAnsi="Arial"/>
                <w:sz w:val="14"/>
                <w:szCs w:val="14"/>
                <w:b w:val="1"/>
                <w:bCs w:val="1"/>
                <w:color w:val="auto"/>
              </w:rPr>
              <w:t>Derivative assets</w:t>
            </w:r>
          </w:p>
        </w:tc>
        <w:tc>
          <w:tcPr>
            <w:tcW w:w="280" w:type="dxa"/>
            <w:vAlign w:val="bottom"/>
            <w:tcBorders>
              <w:bottom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2540" w:type="dxa"/>
            <w:vAlign w:val="bottom"/>
            <w:tcBorders>
              <w:bottom w:val="single" w:sz="8" w:color="auto"/>
            </w:tcBorders>
            <w:gridSpan w:val="6"/>
          </w:tcPr>
          <w:p>
            <w:pPr>
              <w:jc w:val="right"/>
              <w:ind w:right="492"/>
              <w:spacing w:after="0"/>
              <w:rPr>
                <w:sz w:val="20"/>
                <w:szCs w:val="20"/>
                <w:color w:val="auto"/>
              </w:rPr>
            </w:pPr>
            <w:r>
              <w:rPr>
                <w:rFonts w:ascii="Arial" w:cs="Arial" w:eastAsia="Arial" w:hAnsi="Arial"/>
                <w:sz w:val="14"/>
                <w:szCs w:val="14"/>
                <w:b w:val="1"/>
                <w:bCs w:val="1"/>
                <w:color w:val="auto"/>
              </w:rPr>
              <w:t>Derivative liabilities</w:t>
            </w:r>
          </w:p>
        </w:tc>
        <w:tc>
          <w:tcPr>
            <w:tcW w:w="2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3900" w:type="dxa"/>
            <w:vAlign w:val="bottom"/>
          </w:tcPr>
          <w:p>
            <w:pPr>
              <w:spacing w:after="0"/>
              <w:rPr>
                <w:sz w:val="12"/>
                <w:szCs w:val="12"/>
                <w:color w:val="auto"/>
              </w:rPr>
            </w:pPr>
          </w:p>
        </w:tc>
        <w:tc>
          <w:tcPr>
            <w:tcW w:w="104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5"/>
              </w:rPr>
              <w:t>Balance</w:t>
            </w:r>
          </w:p>
        </w:tc>
        <w:tc>
          <w:tcPr>
            <w:tcW w:w="30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rPr>
              <w:t>Fair value</w:t>
            </w:r>
          </w:p>
        </w:tc>
        <w:tc>
          <w:tcPr>
            <w:tcW w:w="280" w:type="dxa"/>
            <w:vAlign w:val="bottom"/>
            <w:tcBorders>
              <w:bottom w:val="single" w:sz="8" w:color="auto"/>
            </w:tcBorders>
          </w:tcPr>
          <w:p>
            <w:pPr>
              <w:spacing w:after="0"/>
              <w:rPr>
                <w:sz w:val="12"/>
                <w:szCs w:val="12"/>
                <w:color w:val="auto"/>
              </w:rPr>
            </w:pPr>
          </w:p>
        </w:tc>
        <w:tc>
          <w:tcPr>
            <w:tcW w:w="420" w:type="dxa"/>
            <w:vAlign w:val="bottom"/>
          </w:tcPr>
          <w:p>
            <w:pPr>
              <w:spacing w:after="0"/>
              <w:rPr>
                <w:sz w:val="12"/>
                <w:szCs w:val="12"/>
                <w:color w:val="auto"/>
              </w:rPr>
            </w:pPr>
          </w:p>
        </w:tc>
        <w:tc>
          <w:tcPr>
            <w:tcW w:w="90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5"/>
              </w:rPr>
              <w:t>Balance</w:t>
            </w:r>
          </w:p>
        </w:tc>
        <w:tc>
          <w:tcPr>
            <w:tcW w:w="30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gridSpan w:val="2"/>
          </w:tcPr>
          <w:p>
            <w:pPr>
              <w:jc w:val="right"/>
              <w:ind w:right="172"/>
              <w:spacing w:after="0" w:line="142" w:lineRule="exact"/>
              <w:rPr>
                <w:sz w:val="20"/>
                <w:szCs w:val="20"/>
                <w:color w:val="auto"/>
              </w:rPr>
            </w:pPr>
            <w:r>
              <w:rPr>
                <w:rFonts w:ascii="Arial" w:cs="Arial" w:eastAsia="Arial" w:hAnsi="Arial"/>
                <w:sz w:val="14"/>
                <w:szCs w:val="14"/>
                <w:b w:val="1"/>
                <w:bCs w:val="1"/>
                <w:color w:val="auto"/>
                <w:w w:val="88"/>
              </w:rPr>
              <w:t>Fair value</w:t>
            </w:r>
          </w:p>
        </w:tc>
        <w:tc>
          <w:tcPr>
            <w:tcW w:w="26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3900" w:type="dxa"/>
            <w:vAlign w:val="bottom"/>
          </w:tcPr>
          <w:p>
            <w:pPr>
              <w:spacing w:after="0"/>
              <w:rPr>
                <w:sz w:val="11"/>
                <w:szCs w:val="11"/>
                <w:color w:val="auto"/>
              </w:rPr>
            </w:pPr>
          </w:p>
        </w:tc>
        <w:tc>
          <w:tcPr>
            <w:tcW w:w="10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1"/>
              </w:rPr>
              <w:t>sheet</w:t>
            </w:r>
          </w:p>
        </w:tc>
        <w:tc>
          <w:tcPr>
            <w:tcW w:w="300" w:type="dxa"/>
            <w:vAlign w:val="bottom"/>
          </w:tcPr>
          <w:p>
            <w:pPr>
              <w:spacing w:after="0"/>
              <w:rPr>
                <w:sz w:val="11"/>
                <w:szCs w:val="11"/>
                <w:color w:val="auto"/>
              </w:rPr>
            </w:pPr>
          </w:p>
        </w:tc>
        <w:tc>
          <w:tcPr>
            <w:tcW w:w="500" w:type="dxa"/>
            <w:vAlign w:val="bottom"/>
            <w:gridSpan w:val="2"/>
          </w:tcPr>
          <w:p>
            <w:pPr>
              <w:ind w:left="20"/>
              <w:spacing w:after="0" w:line="129" w:lineRule="exact"/>
              <w:rPr>
                <w:sz w:val="20"/>
                <w:szCs w:val="20"/>
                <w:color w:val="auto"/>
              </w:rPr>
            </w:pPr>
            <w:r>
              <w:rPr>
                <w:rFonts w:ascii="Arial" w:cs="Arial" w:eastAsia="Arial" w:hAnsi="Arial"/>
                <w:sz w:val="14"/>
                <w:szCs w:val="14"/>
                <w:b w:val="1"/>
                <w:bCs w:val="1"/>
                <w:color w:val="auto"/>
                <w:w w:val="82"/>
              </w:rPr>
              <w:t>June 30,</w:t>
            </w:r>
          </w:p>
        </w:tc>
        <w:tc>
          <w:tcPr>
            <w:tcW w:w="320" w:type="dxa"/>
            <w:vAlign w:val="bottom"/>
          </w:tcPr>
          <w:p>
            <w:pPr>
              <w:spacing w:after="0"/>
              <w:rPr>
                <w:sz w:val="11"/>
                <w:szCs w:val="11"/>
                <w:color w:val="auto"/>
              </w:rPr>
            </w:pPr>
          </w:p>
        </w:tc>
        <w:tc>
          <w:tcPr>
            <w:tcW w:w="80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w w:val="85"/>
              </w:rPr>
              <w:t>December 31,</w:t>
            </w:r>
          </w:p>
        </w:tc>
        <w:tc>
          <w:tcPr>
            <w:tcW w:w="420" w:type="dxa"/>
            <w:vAlign w:val="bottom"/>
          </w:tcPr>
          <w:p>
            <w:pPr>
              <w:spacing w:after="0"/>
              <w:rPr>
                <w:sz w:val="11"/>
                <w:szCs w:val="11"/>
                <w:color w:val="auto"/>
              </w:rPr>
            </w:pPr>
          </w:p>
        </w:tc>
        <w:tc>
          <w:tcPr>
            <w:tcW w:w="9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76"/>
              </w:rPr>
              <w:t>sheet</w:t>
            </w:r>
          </w:p>
        </w:tc>
        <w:tc>
          <w:tcPr>
            <w:tcW w:w="300" w:type="dxa"/>
            <w:vAlign w:val="bottom"/>
          </w:tcPr>
          <w:p>
            <w:pPr>
              <w:spacing w:after="0"/>
              <w:rPr>
                <w:sz w:val="11"/>
                <w:szCs w:val="11"/>
                <w:color w:val="auto"/>
              </w:rPr>
            </w:pPr>
          </w:p>
        </w:tc>
        <w:tc>
          <w:tcPr>
            <w:tcW w:w="50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w w:val="85"/>
              </w:rPr>
              <w:t>June 30,</w:t>
            </w:r>
          </w:p>
        </w:tc>
        <w:tc>
          <w:tcPr>
            <w:tcW w:w="300" w:type="dxa"/>
            <w:vAlign w:val="bottom"/>
          </w:tcPr>
          <w:p>
            <w:pPr>
              <w:spacing w:after="0"/>
              <w:rPr>
                <w:sz w:val="11"/>
                <w:szCs w:val="11"/>
                <w:color w:val="auto"/>
              </w:rPr>
            </w:pPr>
          </w:p>
        </w:tc>
        <w:tc>
          <w:tcPr>
            <w:tcW w:w="80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w w:val="85"/>
              </w:rPr>
              <w:t>December 31,</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524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3"/>
              </w:rPr>
              <w:t>classification</w:t>
            </w: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jc w:val="right"/>
              <w:ind w:right="13"/>
              <w:spacing w:after="0"/>
              <w:rPr>
                <w:sz w:val="20"/>
                <w:szCs w:val="20"/>
                <w:color w:val="auto"/>
              </w:rPr>
            </w:pPr>
            <w:r>
              <w:rPr>
                <w:rFonts w:ascii="Arial" w:cs="Arial" w:eastAsia="Arial" w:hAnsi="Arial"/>
                <w:sz w:val="14"/>
                <w:szCs w:val="14"/>
                <w:b w:val="1"/>
                <w:bCs w:val="1"/>
                <w:color w:val="auto"/>
                <w:w w:val="89"/>
              </w:rPr>
              <w:t>2010</w:t>
            </w:r>
          </w:p>
        </w:tc>
        <w:tc>
          <w:tcPr>
            <w:tcW w:w="84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2009</w:t>
            </w: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3"/>
              </w:rPr>
              <w:t>classification</w:t>
            </w: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jc w:val="right"/>
              <w:ind w:right="33"/>
              <w:spacing w:after="0"/>
              <w:rPr>
                <w:sz w:val="20"/>
                <w:szCs w:val="20"/>
                <w:color w:val="auto"/>
              </w:rPr>
            </w:pPr>
            <w:r>
              <w:rPr>
                <w:rFonts w:ascii="Arial" w:cs="Arial" w:eastAsia="Arial" w:hAnsi="Arial"/>
                <w:sz w:val="14"/>
                <w:szCs w:val="14"/>
                <w:b w:val="1"/>
                <w:bCs w:val="1"/>
                <w:color w:val="auto"/>
                <w:w w:val="83"/>
              </w:rPr>
              <w:t>2010</w:t>
            </w:r>
          </w:p>
        </w:tc>
        <w:tc>
          <w:tcPr>
            <w:tcW w:w="84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2009</w:t>
            </w: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2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Derivatives designated as hedges</w:t>
            </w:r>
          </w:p>
        </w:tc>
        <w:tc>
          <w:tcPr>
            <w:tcW w:w="10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Cash flow hedges:</w:t>
            </w:r>
          </w:p>
        </w:tc>
        <w:tc>
          <w:tcPr>
            <w:tcW w:w="10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3900" w:type="dxa"/>
            <w:vAlign w:val="bottom"/>
            <w:shd w:val="clear" w:color="auto" w:fill="CCEEFF"/>
          </w:tcPr>
          <w:p>
            <w:pPr>
              <w:spacing w:after="0"/>
              <w:rPr>
                <w:sz w:val="18"/>
                <w:szCs w:val="18"/>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Interest rate swaps</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0"/>
              </w:rPr>
              <w:t>assets</w:t>
            </w:r>
          </w:p>
        </w:tc>
        <w:tc>
          <w:tcPr>
            <w:tcW w:w="4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540</w:t>
            </w:r>
          </w:p>
        </w:tc>
        <w:tc>
          <w:tcPr>
            <w:tcW w:w="8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420" w:type="dxa"/>
            <w:vAlign w:val="bottom"/>
            <w:shd w:val="clear" w:color="auto" w:fill="CCEEFF"/>
          </w:tcPr>
          <w:p>
            <w:pPr>
              <w:spacing w:after="0"/>
              <w:rPr>
                <w:sz w:val="19"/>
                <w:szCs w:val="19"/>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6"/>
              </w:rPr>
              <w:t>liabilities</w:t>
            </w:r>
          </w:p>
        </w:tc>
        <w:tc>
          <w:tcPr>
            <w:tcW w:w="4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8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114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1040" w:type="dxa"/>
            <w:vAlign w:val="bottom"/>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5220" w:type="dxa"/>
            <w:vAlign w:val="bottom"/>
            <w:gridSpan w:val="2"/>
          </w:tcPr>
          <w:p>
            <w:pPr>
              <w:ind w:left="420"/>
              <w:spacing w:after="0"/>
              <w:rPr>
                <w:sz w:val="20"/>
                <w:szCs w:val="20"/>
                <w:color w:val="auto"/>
              </w:rPr>
            </w:pPr>
            <w:r>
              <w:rPr>
                <w:rFonts w:ascii="Arial" w:cs="Arial" w:eastAsia="Arial" w:hAnsi="Arial"/>
                <w:sz w:val="18"/>
                <w:szCs w:val="18"/>
                <w:color w:val="auto"/>
              </w:rPr>
              <w:t>Inflation indexed swaps</w:t>
            </w:r>
          </w:p>
        </w:tc>
        <w:tc>
          <w:tcPr>
            <w:tcW w:w="1040" w:type="dxa"/>
            <w:vAlign w:val="bottom"/>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w:t>
            </w: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700" w:type="dxa"/>
            <w:vAlign w:val="bottom"/>
            <w:gridSpan w:val="2"/>
          </w:tcPr>
          <w:p>
            <w:pPr>
              <w:jc w:val="right"/>
              <w:ind w:right="520"/>
              <w:spacing w:after="0"/>
              <w:rPr>
                <w:sz w:val="20"/>
                <w:szCs w:val="20"/>
                <w:color w:val="auto"/>
              </w:rPr>
            </w:pPr>
            <w:r>
              <w:rPr>
                <w:rFonts w:ascii="Arial" w:cs="Arial" w:eastAsia="Arial" w:hAnsi="Arial"/>
                <w:sz w:val="18"/>
                <w:szCs w:val="18"/>
                <w:color w:val="auto"/>
                <w:w w:val="88"/>
              </w:rPr>
              <w:t>—</w:t>
            </w:r>
          </w:p>
        </w:tc>
        <w:tc>
          <w:tcPr>
            <w:tcW w:w="900" w:type="dxa"/>
            <w:vAlign w:val="bottom"/>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22</w:t>
            </w:r>
          </w:p>
        </w:tc>
        <w:tc>
          <w:tcPr>
            <w:tcW w:w="3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3900" w:type="dxa"/>
            <w:vAlign w:val="bottom"/>
            <w:shd w:val="clear" w:color="auto" w:fill="CCEEFF"/>
          </w:tcPr>
          <w:p>
            <w:pPr>
              <w:spacing w:after="0"/>
              <w:rPr>
                <w:sz w:val="18"/>
                <w:szCs w:val="18"/>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Foreign currency swaps</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320" w:type="dxa"/>
            <w:vAlign w:val="bottom"/>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101</w:t>
            </w:r>
          </w:p>
        </w:tc>
        <w:tc>
          <w:tcPr>
            <w:tcW w:w="420" w:type="dxa"/>
            <w:vAlign w:val="bottom"/>
            <w:shd w:val="clear" w:color="auto" w:fill="CCEEFF"/>
          </w:tcPr>
          <w:p>
            <w:pPr>
              <w:spacing w:after="0"/>
              <w:rPr>
                <w:sz w:val="19"/>
                <w:szCs w:val="19"/>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9"/>
                <w:szCs w:val="19"/>
                <w:color w:val="auto"/>
              </w:rPr>
            </w:pPr>
          </w:p>
        </w:tc>
        <w:tc>
          <w:tcPr>
            <w:tcW w:w="540" w:type="dxa"/>
            <w:vAlign w:val="bottom"/>
            <w:tcBorders>
              <w:bottom w:val="single" w:sz="8" w:color="auto"/>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220" w:type="dxa"/>
            <w:vAlign w:val="bottom"/>
            <w:gridSpan w:val="2"/>
          </w:tcPr>
          <w:p>
            <w:pPr>
              <w:ind w:left="420"/>
              <w:spacing w:after="0"/>
              <w:rPr>
                <w:sz w:val="20"/>
                <w:szCs w:val="20"/>
                <w:color w:val="auto"/>
              </w:rPr>
            </w:pPr>
            <w:r>
              <w:rPr>
                <w:rFonts w:ascii="Arial" w:cs="Arial" w:eastAsia="Arial" w:hAnsi="Arial"/>
                <w:sz w:val="18"/>
                <w:szCs w:val="18"/>
                <w:color w:val="auto"/>
              </w:rPr>
              <w:t>Total cash flow hedges</w:t>
            </w:r>
          </w:p>
        </w:tc>
        <w:tc>
          <w:tcPr>
            <w:tcW w:w="10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681</w:t>
            </w: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86"/>
              </w:rPr>
              <w:t>173</w:t>
            </w:r>
          </w:p>
        </w:tc>
        <w:tc>
          <w:tcPr>
            <w:tcW w:w="4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31</w:t>
            </w:r>
          </w:p>
        </w:tc>
        <w:tc>
          <w:tcPr>
            <w:tcW w:w="3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w w:val="79"/>
              </w:rPr>
              <w:t>135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Fair value hedges:</w:t>
            </w:r>
          </w:p>
        </w:tc>
        <w:tc>
          <w:tcPr>
            <w:tcW w:w="10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1040" w:type="dxa"/>
            <w:vAlign w:val="bottom"/>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20" w:type="dxa"/>
            <w:vAlign w:val="bottom"/>
            <w:gridSpan w:val="2"/>
          </w:tcPr>
          <w:p>
            <w:pPr>
              <w:ind w:left="420"/>
              <w:spacing w:after="0"/>
              <w:rPr>
                <w:sz w:val="20"/>
                <w:szCs w:val="20"/>
                <w:color w:val="auto"/>
              </w:rPr>
            </w:pPr>
            <w:r>
              <w:rPr>
                <w:rFonts w:ascii="Arial" w:cs="Arial" w:eastAsia="Arial" w:hAnsi="Arial"/>
                <w:sz w:val="18"/>
                <w:szCs w:val="18"/>
                <w:color w:val="auto"/>
              </w:rPr>
              <w:t>Interest rate swaps</w:t>
            </w:r>
          </w:p>
        </w:tc>
        <w:tc>
          <w:tcPr>
            <w:tcW w:w="1040" w:type="dxa"/>
            <w:vAlign w:val="bottom"/>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124</w:t>
            </w:r>
          </w:p>
        </w:tc>
        <w:tc>
          <w:tcPr>
            <w:tcW w:w="3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86"/>
              </w:rPr>
              <w:t>132</w:t>
            </w:r>
          </w:p>
        </w:tc>
        <w:tc>
          <w:tcPr>
            <w:tcW w:w="420" w:type="dxa"/>
            <w:vAlign w:val="bottom"/>
          </w:tcPr>
          <w:p>
            <w:pPr>
              <w:spacing w:after="0"/>
              <w:rPr>
                <w:sz w:val="19"/>
                <w:szCs w:val="19"/>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11</w:t>
            </w:r>
          </w:p>
        </w:tc>
        <w:tc>
          <w:tcPr>
            <w:tcW w:w="3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3900" w:type="dxa"/>
            <w:vAlign w:val="bottom"/>
            <w:shd w:val="clear" w:color="auto" w:fill="CCEEFF"/>
          </w:tcPr>
          <w:p>
            <w:pPr>
              <w:spacing w:after="0"/>
              <w:rPr>
                <w:sz w:val="18"/>
                <w:szCs w:val="18"/>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Foreign currency swaps</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320" w:type="dxa"/>
            <w:vAlign w:val="bottom"/>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420" w:type="dxa"/>
            <w:vAlign w:val="bottom"/>
            <w:shd w:val="clear" w:color="auto" w:fill="CCEEFF"/>
          </w:tcPr>
          <w:p>
            <w:pPr>
              <w:spacing w:after="0"/>
              <w:rPr>
                <w:sz w:val="19"/>
                <w:szCs w:val="19"/>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9"/>
                <w:szCs w:val="19"/>
                <w:color w:val="auto"/>
              </w:rPr>
            </w:pPr>
          </w:p>
        </w:tc>
        <w:tc>
          <w:tcPr>
            <w:tcW w:w="540" w:type="dxa"/>
            <w:vAlign w:val="bottom"/>
            <w:tcBorders>
              <w:bottom w:val="single" w:sz="8" w:color="auto"/>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220" w:type="dxa"/>
            <w:vAlign w:val="bottom"/>
            <w:gridSpan w:val="2"/>
          </w:tcPr>
          <w:p>
            <w:pPr>
              <w:ind w:left="420"/>
              <w:spacing w:after="0"/>
              <w:rPr>
                <w:sz w:val="20"/>
                <w:szCs w:val="20"/>
                <w:color w:val="auto"/>
              </w:rPr>
            </w:pPr>
            <w:r>
              <w:rPr>
                <w:rFonts w:ascii="Arial" w:cs="Arial" w:eastAsia="Arial" w:hAnsi="Arial"/>
                <w:sz w:val="18"/>
                <w:szCs w:val="18"/>
                <w:color w:val="auto"/>
              </w:rPr>
              <w:t>Total fair value hedges</w:t>
            </w:r>
          </w:p>
        </w:tc>
        <w:tc>
          <w:tcPr>
            <w:tcW w:w="10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144</w:t>
            </w: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86"/>
              </w:rPr>
              <w:t>156</w:t>
            </w:r>
          </w:p>
        </w:tc>
        <w:tc>
          <w:tcPr>
            <w:tcW w:w="4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11</w:t>
            </w:r>
          </w:p>
        </w:tc>
        <w:tc>
          <w:tcPr>
            <w:tcW w:w="3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derivatives designated as hedges</w:t>
            </w:r>
          </w:p>
        </w:tc>
        <w:tc>
          <w:tcPr>
            <w:tcW w:w="10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825</w:t>
            </w:r>
          </w:p>
        </w:tc>
        <w:tc>
          <w:tcPr>
            <w:tcW w:w="320" w:type="dxa"/>
            <w:vAlign w:val="bottom"/>
            <w:shd w:val="clear" w:color="auto" w:fill="CCEEFF"/>
          </w:tcPr>
          <w:p>
            <w:pPr>
              <w:spacing w:after="0"/>
              <w:rPr>
                <w:sz w:val="18"/>
                <w:szCs w:val="18"/>
                <w:color w:val="auto"/>
              </w:rPr>
            </w:pPr>
          </w:p>
        </w:tc>
        <w:tc>
          <w:tcPr>
            <w:tcW w:w="52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329</w:t>
            </w: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300" w:type="dxa"/>
            <w:vAlign w:val="bottom"/>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150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240" w:type="dxa"/>
            <w:vAlign w:val="bottom"/>
            <w:gridSpan w:val="3"/>
          </w:tcPr>
          <w:p>
            <w:pPr>
              <w:spacing w:after="0"/>
              <w:rPr>
                <w:sz w:val="20"/>
                <w:szCs w:val="20"/>
                <w:color w:val="auto"/>
              </w:rPr>
            </w:pPr>
            <w:r>
              <w:rPr>
                <w:rFonts w:ascii="Arial" w:cs="Arial" w:eastAsia="Arial" w:hAnsi="Arial"/>
                <w:sz w:val="18"/>
                <w:szCs w:val="18"/>
                <w:b w:val="1"/>
                <w:bCs w:val="1"/>
                <w:color w:val="auto"/>
              </w:rPr>
              <w:t>Derivatives not designated as hedges</w:t>
            </w:r>
          </w:p>
        </w:tc>
        <w:tc>
          <w:tcPr>
            <w:tcW w:w="10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3900" w:type="dxa"/>
            <w:vAlign w:val="bottom"/>
            <w:shd w:val="clear" w:color="auto" w:fill="CCEEFF"/>
          </w:tcPr>
          <w:p>
            <w:pPr>
              <w:spacing w:after="0"/>
              <w:rPr>
                <w:sz w:val="18"/>
                <w:szCs w:val="18"/>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swaps</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w:t>
            </w:r>
          </w:p>
        </w:tc>
        <w:tc>
          <w:tcPr>
            <w:tcW w:w="3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505</w:t>
            </w:r>
          </w:p>
        </w:tc>
        <w:tc>
          <w:tcPr>
            <w:tcW w:w="420" w:type="dxa"/>
            <w:vAlign w:val="bottom"/>
            <w:shd w:val="clear" w:color="auto" w:fill="CCEEFF"/>
          </w:tcPr>
          <w:p>
            <w:pPr>
              <w:spacing w:after="0"/>
              <w:rPr>
                <w:sz w:val="19"/>
                <w:szCs w:val="19"/>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3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1040" w:type="dxa"/>
            <w:vAlign w:val="bottom"/>
          </w:tcPr>
          <w:p>
            <w:pPr>
              <w:jc w:val="center"/>
              <w:spacing w:after="0"/>
              <w:rPr>
                <w:sz w:val="20"/>
                <w:szCs w:val="20"/>
                <w:color w:val="auto"/>
              </w:rPr>
            </w:pPr>
            <w:r>
              <w:rPr>
                <w:rFonts w:ascii="Arial" w:cs="Arial" w:eastAsia="Arial" w:hAnsi="Arial"/>
                <w:sz w:val="18"/>
                <w:szCs w:val="18"/>
                <w:color w:val="auto"/>
                <w:w w:val="88"/>
              </w:rPr>
              <w:t>Restricted</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1040" w:type="dxa"/>
            <w:vAlign w:val="bottom"/>
          </w:tcPr>
          <w:p>
            <w:pPr>
              <w:jc w:val="center"/>
              <w:spacing w:after="0"/>
              <w:rPr>
                <w:sz w:val="20"/>
                <w:szCs w:val="20"/>
                <w:color w:val="auto"/>
              </w:rPr>
            </w:pPr>
            <w:r>
              <w:rPr>
                <w:rFonts w:ascii="Arial" w:cs="Arial" w:eastAsia="Arial" w:hAnsi="Arial"/>
                <w:sz w:val="18"/>
                <w:szCs w:val="18"/>
                <w:color w:val="auto"/>
                <w:w w:val="86"/>
              </w:rPr>
              <w:t>other invested</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240" w:type="dxa"/>
            <w:vAlign w:val="bottom"/>
            <w:gridSpan w:val="3"/>
          </w:tcPr>
          <w:p>
            <w:pPr>
              <w:spacing w:after="0"/>
              <w:rPr>
                <w:sz w:val="20"/>
                <w:szCs w:val="20"/>
                <w:color w:val="auto"/>
              </w:rPr>
            </w:pPr>
            <w:r>
              <w:rPr>
                <w:rFonts w:ascii="Arial" w:cs="Arial" w:eastAsia="Arial" w:hAnsi="Arial"/>
                <w:sz w:val="18"/>
                <w:szCs w:val="18"/>
                <w:color w:val="auto"/>
              </w:rPr>
              <w:t xml:space="preserve">Interest rate swaps related to securitization entities </w:t>
            </w:r>
            <w:r>
              <w:rPr>
                <w:rFonts w:ascii="Arial" w:cs="Arial" w:eastAsia="Arial" w:hAnsi="Arial"/>
                <w:sz w:val="11"/>
                <w:szCs w:val="11"/>
                <w:color w:val="auto"/>
              </w:rPr>
              <w:t>(1)</w:t>
            </w:r>
          </w:p>
        </w:tc>
        <w:tc>
          <w:tcPr>
            <w:tcW w:w="1040" w:type="dxa"/>
            <w:vAlign w:val="bottom"/>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00" w:type="dxa"/>
            <w:vAlign w:val="bottom"/>
            <w:gridSpan w:val="2"/>
          </w:tcPr>
          <w:p>
            <w:pPr>
              <w:jc w:val="right"/>
              <w:ind w:right="520"/>
              <w:spacing w:after="0"/>
              <w:rPr>
                <w:sz w:val="20"/>
                <w:szCs w:val="20"/>
                <w:color w:val="auto"/>
              </w:rPr>
            </w:pPr>
            <w:r>
              <w:rPr>
                <w:rFonts w:ascii="Arial" w:cs="Arial" w:eastAsia="Arial" w:hAnsi="Arial"/>
                <w:sz w:val="18"/>
                <w:szCs w:val="18"/>
                <w:color w:val="auto"/>
                <w:w w:val="88"/>
              </w:rPr>
              <w:t>—</w:t>
            </w:r>
          </w:p>
        </w:tc>
        <w:tc>
          <w:tcPr>
            <w:tcW w:w="900" w:type="dxa"/>
            <w:vAlign w:val="bottom"/>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23</w:t>
            </w:r>
          </w:p>
        </w:tc>
        <w:tc>
          <w:tcPr>
            <w:tcW w:w="3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3900" w:type="dxa"/>
            <w:vAlign w:val="bottom"/>
            <w:shd w:val="clear" w:color="auto" w:fill="CCEEFF"/>
          </w:tcPr>
          <w:p>
            <w:pPr>
              <w:spacing w:after="0"/>
              <w:rPr>
                <w:sz w:val="18"/>
                <w:szCs w:val="18"/>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swaptions</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3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420" w:type="dxa"/>
            <w:vAlign w:val="bottom"/>
            <w:shd w:val="clear" w:color="auto" w:fill="CCEEFF"/>
          </w:tcPr>
          <w:p>
            <w:pPr>
              <w:spacing w:after="0"/>
              <w:rPr>
                <w:sz w:val="19"/>
                <w:szCs w:val="19"/>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1040" w:type="dxa"/>
            <w:vAlign w:val="bottom"/>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240" w:type="dxa"/>
            <w:vAlign w:val="bottom"/>
            <w:gridSpan w:val="3"/>
          </w:tcPr>
          <w:p>
            <w:pPr>
              <w:spacing w:after="0"/>
              <w:rPr>
                <w:sz w:val="20"/>
                <w:szCs w:val="20"/>
                <w:color w:val="auto"/>
              </w:rPr>
            </w:pPr>
            <w:r>
              <w:rPr>
                <w:rFonts w:ascii="Arial" w:cs="Arial" w:eastAsia="Arial" w:hAnsi="Arial"/>
                <w:sz w:val="18"/>
                <w:szCs w:val="18"/>
                <w:color w:val="auto"/>
              </w:rPr>
              <w:t>Credit default swaps</w:t>
            </w:r>
          </w:p>
        </w:tc>
        <w:tc>
          <w:tcPr>
            <w:tcW w:w="1040" w:type="dxa"/>
            <w:vAlign w:val="bottom"/>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w:t>
            </w:r>
          </w:p>
        </w:tc>
        <w:tc>
          <w:tcPr>
            <w:tcW w:w="3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11</w:t>
            </w:r>
          </w:p>
        </w:tc>
        <w:tc>
          <w:tcPr>
            <w:tcW w:w="420" w:type="dxa"/>
            <w:vAlign w:val="bottom"/>
          </w:tcPr>
          <w:p>
            <w:pPr>
              <w:spacing w:after="0"/>
              <w:rPr>
                <w:sz w:val="19"/>
                <w:szCs w:val="19"/>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27</w:t>
            </w:r>
          </w:p>
        </w:tc>
        <w:tc>
          <w:tcPr>
            <w:tcW w:w="3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3900" w:type="dxa"/>
            <w:vAlign w:val="bottom"/>
            <w:shd w:val="clear" w:color="auto" w:fill="CCEEFF"/>
          </w:tcPr>
          <w:p>
            <w:pPr>
              <w:spacing w:after="0"/>
              <w:rPr>
                <w:sz w:val="18"/>
                <w:szCs w:val="18"/>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Restricted</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3900" w:type="dxa"/>
            <w:vAlign w:val="bottom"/>
            <w:shd w:val="clear" w:color="auto" w:fill="CCEEFF"/>
          </w:tcPr>
          <w:p>
            <w:pPr>
              <w:spacing w:after="0"/>
              <w:rPr>
                <w:sz w:val="18"/>
                <w:szCs w:val="18"/>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other invested</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Credit default swaps related to securitization entities </w:t>
            </w:r>
            <w:r>
              <w:rPr>
                <w:rFonts w:ascii="Arial" w:cs="Arial" w:eastAsia="Arial" w:hAnsi="Arial"/>
                <w:sz w:val="11"/>
                <w:szCs w:val="11"/>
                <w:color w:val="auto"/>
              </w:rPr>
              <w:t>(1)</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7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88"/>
              </w:rPr>
              <w:t>—</w:t>
            </w: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w:t>
            </w:r>
          </w:p>
        </w:tc>
        <w:tc>
          <w:tcPr>
            <w:tcW w:w="3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1040" w:type="dxa"/>
            <w:vAlign w:val="bottom"/>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240" w:type="dxa"/>
            <w:vAlign w:val="bottom"/>
            <w:gridSpan w:val="3"/>
          </w:tcPr>
          <w:p>
            <w:pPr>
              <w:spacing w:after="0"/>
              <w:rPr>
                <w:sz w:val="20"/>
                <w:szCs w:val="20"/>
                <w:color w:val="auto"/>
              </w:rPr>
            </w:pPr>
            <w:r>
              <w:rPr>
                <w:rFonts w:ascii="Arial" w:cs="Arial" w:eastAsia="Arial" w:hAnsi="Arial"/>
                <w:sz w:val="18"/>
                <w:szCs w:val="18"/>
                <w:color w:val="auto"/>
              </w:rPr>
              <w:t>Equity index options</w:t>
            </w:r>
          </w:p>
        </w:tc>
        <w:tc>
          <w:tcPr>
            <w:tcW w:w="1040" w:type="dxa"/>
            <w:vAlign w:val="bottom"/>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97</w:t>
            </w:r>
          </w:p>
        </w:tc>
        <w:tc>
          <w:tcPr>
            <w:tcW w:w="3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39</w:t>
            </w:r>
          </w:p>
        </w:tc>
        <w:tc>
          <w:tcPr>
            <w:tcW w:w="420" w:type="dxa"/>
            <w:vAlign w:val="bottom"/>
          </w:tcPr>
          <w:p>
            <w:pPr>
              <w:spacing w:after="0"/>
              <w:rPr>
                <w:sz w:val="19"/>
                <w:szCs w:val="19"/>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3900" w:type="dxa"/>
            <w:vAlign w:val="bottom"/>
            <w:shd w:val="clear" w:color="auto" w:fill="CCEEFF"/>
          </w:tcPr>
          <w:p>
            <w:pPr>
              <w:spacing w:after="0"/>
              <w:rPr>
                <w:sz w:val="18"/>
                <w:szCs w:val="18"/>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Financial futures</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7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88"/>
              </w:rPr>
              <w:t>—</w:t>
            </w: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1040" w:type="dxa"/>
            <w:vAlign w:val="bottom"/>
          </w:tcPr>
          <w:p>
            <w:pPr>
              <w:jc w:val="center"/>
              <w:spacing w:after="0"/>
              <w:rPr>
                <w:sz w:val="20"/>
                <w:szCs w:val="20"/>
                <w:color w:val="auto"/>
              </w:rPr>
            </w:pPr>
            <w:r>
              <w:rPr>
                <w:rFonts w:ascii="Arial" w:cs="Arial" w:eastAsia="Arial" w:hAnsi="Arial"/>
                <w:sz w:val="18"/>
                <w:szCs w:val="18"/>
                <w:color w:val="auto"/>
                <w:w w:val="87"/>
              </w:rPr>
              <w:t>Other invested</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240" w:type="dxa"/>
            <w:vAlign w:val="bottom"/>
            <w:gridSpan w:val="3"/>
          </w:tcPr>
          <w:p>
            <w:pPr>
              <w:spacing w:after="0"/>
              <w:rPr>
                <w:sz w:val="20"/>
                <w:szCs w:val="20"/>
                <w:color w:val="auto"/>
              </w:rPr>
            </w:pPr>
            <w:r>
              <w:rPr>
                <w:rFonts w:ascii="Arial" w:cs="Arial" w:eastAsia="Arial" w:hAnsi="Arial"/>
                <w:sz w:val="18"/>
                <w:szCs w:val="18"/>
                <w:color w:val="auto"/>
              </w:rPr>
              <w:t>Other foreign currency contracts</w:t>
            </w:r>
          </w:p>
        </w:tc>
        <w:tc>
          <w:tcPr>
            <w:tcW w:w="1040" w:type="dxa"/>
            <w:vAlign w:val="bottom"/>
          </w:tcPr>
          <w:p>
            <w:pPr>
              <w:jc w:val="center"/>
              <w:spacing w:after="0"/>
              <w:rPr>
                <w:sz w:val="20"/>
                <w:szCs w:val="20"/>
                <w:color w:val="auto"/>
              </w:rPr>
            </w:pPr>
            <w:r>
              <w:rPr>
                <w:rFonts w:ascii="Arial" w:cs="Arial" w:eastAsia="Arial" w:hAnsi="Arial"/>
                <w:sz w:val="18"/>
                <w:szCs w:val="18"/>
                <w:color w:val="auto"/>
                <w:w w:val="80"/>
              </w:rPr>
              <w:t>assets</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6</w:t>
            </w:r>
          </w:p>
        </w:tc>
        <w:tc>
          <w:tcPr>
            <w:tcW w:w="3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8</w:t>
            </w:r>
          </w:p>
        </w:tc>
        <w:tc>
          <w:tcPr>
            <w:tcW w:w="420" w:type="dxa"/>
            <w:vAlign w:val="bottom"/>
          </w:tcPr>
          <w:p>
            <w:pPr>
              <w:spacing w:after="0"/>
              <w:rPr>
                <w:sz w:val="19"/>
                <w:szCs w:val="19"/>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39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Other</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Reinsurance embedded derivatives </w:t>
            </w:r>
            <w:r>
              <w:rPr>
                <w:rFonts w:ascii="Arial" w:cs="Arial" w:eastAsia="Arial" w:hAnsi="Arial"/>
                <w:sz w:val="11"/>
                <w:szCs w:val="11"/>
                <w:color w:val="auto"/>
              </w:rPr>
              <w:t>(2)</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Other assets</w:t>
            </w:r>
          </w:p>
        </w:tc>
        <w:tc>
          <w:tcPr>
            <w:tcW w:w="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3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7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88"/>
              </w:rPr>
              <w:t>—</w:t>
            </w: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6"/>
              </w:rPr>
              <w:t>liabilities</w:t>
            </w:r>
          </w:p>
        </w:tc>
        <w:tc>
          <w:tcPr>
            <w:tcW w:w="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1040" w:type="dxa"/>
            <w:vAlign w:val="bottom"/>
            <w:vMerge w:val="restart"/>
          </w:tcPr>
          <w:p>
            <w:pPr>
              <w:jc w:val="center"/>
              <w:spacing w:after="0"/>
              <w:rPr>
                <w:sz w:val="20"/>
                <w:szCs w:val="20"/>
                <w:color w:val="auto"/>
              </w:rPr>
            </w:pPr>
            <w:r>
              <w:rPr>
                <w:rFonts w:ascii="Arial" w:cs="Arial" w:eastAsia="Arial" w:hAnsi="Arial"/>
                <w:sz w:val="18"/>
                <w:szCs w:val="18"/>
                <w:color w:val="auto"/>
                <w:w w:val="85"/>
              </w:rPr>
              <w:t>Reinsurance</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Policyholder</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3900" w:type="dxa"/>
            <w:vAlign w:val="bottom"/>
          </w:tcPr>
          <w:p>
            <w:pPr>
              <w:spacing w:after="0"/>
              <w:rPr>
                <w:sz w:val="8"/>
                <w:szCs w:val="8"/>
                <w:color w:val="auto"/>
              </w:rPr>
            </w:pPr>
          </w:p>
        </w:tc>
        <w:tc>
          <w:tcPr>
            <w:tcW w:w="1040" w:type="dxa"/>
            <w:vAlign w:val="bottom"/>
            <w:vMerge w:val="continue"/>
          </w:tcPr>
          <w:p>
            <w:pPr>
              <w:spacing w:after="0"/>
              <w:rPr>
                <w:sz w:val="8"/>
                <w:szCs w:val="8"/>
                <w:color w:val="auto"/>
              </w:rPr>
            </w:pPr>
          </w:p>
        </w:tc>
        <w:tc>
          <w:tcPr>
            <w:tcW w:w="3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0" w:type="dxa"/>
            <w:vAlign w:val="bottom"/>
          </w:tcPr>
          <w:p>
            <w:pPr>
              <w:spacing w:after="0"/>
              <w:rPr>
                <w:sz w:val="8"/>
                <w:szCs w:val="8"/>
                <w:color w:val="auto"/>
              </w:rPr>
            </w:pP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900" w:type="dxa"/>
            <w:vAlign w:val="bottom"/>
            <w:vMerge w:val="restart"/>
          </w:tcPr>
          <w:p>
            <w:pPr>
              <w:jc w:val="center"/>
              <w:spacing w:after="0"/>
              <w:rPr>
                <w:sz w:val="20"/>
                <w:szCs w:val="20"/>
                <w:color w:val="auto"/>
              </w:rPr>
            </w:pPr>
            <w:r>
              <w:rPr>
                <w:rFonts w:ascii="Arial" w:cs="Arial" w:eastAsia="Arial" w:hAnsi="Arial"/>
                <w:sz w:val="18"/>
                <w:szCs w:val="18"/>
                <w:color w:val="auto"/>
                <w:w w:val="85"/>
              </w:rPr>
              <w:t>account</w:t>
            </w:r>
          </w:p>
        </w:tc>
        <w:tc>
          <w:tcPr>
            <w:tcW w:w="3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0" w:type="dxa"/>
            <w:vAlign w:val="bottom"/>
          </w:tcPr>
          <w:p>
            <w:pPr>
              <w:spacing w:after="0"/>
              <w:rPr>
                <w:sz w:val="8"/>
                <w:szCs w:val="8"/>
                <w:color w:val="auto"/>
              </w:rPr>
            </w:pPr>
          </w:p>
        </w:tc>
        <w:tc>
          <w:tcPr>
            <w:tcW w:w="30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3900" w:type="dxa"/>
            <w:vAlign w:val="bottom"/>
          </w:tcPr>
          <w:p>
            <w:pPr>
              <w:spacing w:after="0"/>
              <w:rPr>
                <w:sz w:val="10"/>
                <w:szCs w:val="10"/>
                <w:color w:val="auto"/>
              </w:rPr>
            </w:pPr>
          </w:p>
        </w:tc>
        <w:tc>
          <w:tcPr>
            <w:tcW w:w="1040" w:type="dxa"/>
            <w:vAlign w:val="bottom"/>
            <w:vMerge w:val="restart"/>
          </w:tcPr>
          <w:p>
            <w:pPr>
              <w:jc w:val="center"/>
              <w:spacing w:after="0" w:line="170" w:lineRule="exact"/>
              <w:rPr>
                <w:sz w:val="20"/>
                <w:szCs w:val="20"/>
                <w:color w:val="auto"/>
              </w:rPr>
            </w:pPr>
            <w:r>
              <w:rPr>
                <w:rFonts w:ascii="Arial" w:cs="Arial" w:eastAsia="Arial" w:hAnsi="Arial"/>
                <w:sz w:val="18"/>
                <w:szCs w:val="18"/>
                <w:color w:val="auto"/>
                <w:w w:val="91"/>
              </w:rPr>
              <w:t xml:space="preserve">recoverable </w:t>
            </w:r>
            <w:r>
              <w:rPr>
                <w:rFonts w:ascii="Arial" w:cs="Arial" w:eastAsia="Arial" w:hAnsi="Arial"/>
                <w:sz w:val="11"/>
                <w:szCs w:val="11"/>
                <w:color w:val="auto"/>
                <w:w w:val="91"/>
              </w:rPr>
              <w:t>(3</w:t>
            </w:r>
          </w:p>
        </w:tc>
        <w:tc>
          <w:tcPr>
            <w:tcW w:w="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90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5240" w:type="dxa"/>
            <w:vAlign w:val="bottom"/>
            <w:gridSpan w:val="3"/>
            <w:vMerge w:val="restart"/>
          </w:tcPr>
          <w:p>
            <w:pPr>
              <w:spacing w:after="0"/>
              <w:rPr>
                <w:sz w:val="20"/>
                <w:szCs w:val="20"/>
                <w:color w:val="auto"/>
              </w:rPr>
            </w:pPr>
            <w:r>
              <w:rPr>
                <w:rFonts w:ascii="Arial" w:cs="Arial" w:eastAsia="Arial" w:hAnsi="Arial"/>
                <w:sz w:val="18"/>
                <w:szCs w:val="18"/>
                <w:color w:val="auto"/>
              </w:rPr>
              <w:t>GMWB embedded derivatives</w:t>
            </w:r>
          </w:p>
        </w:tc>
        <w:tc>
          <w:tcPr>
            <w:tcW w:w="1040" w:type="dxa"/>
            <w:vAlign w:val="bottom"/>
            <w:vMerge w:val="continue"/>
          </w:tcPr>
          <w:p>
            <w:pPr>
              <w:spacing w:after="0"/>
              <w:rPr>
                <w:sz w:val="4"/>
                <w:szCs w:val="4"/>
                <w:color w:val="auto"/>
              </w:rPr>
            </w:pPr>
          </w:p>
        </w:tc>
        <w:tc>
          <w:tcPr>
            <w:tcW w:w="30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320" w:type="dxa"/>
            <w:vAlign w:val="bottom"/>
          </w:tcPr>
          <w:p>
            <w:pPr>
              <w:spacing w:after="0"/>
              <w:rPr>
                <w:sz w:val="4"/>
                <w:szCs w:val="4"/>
                <w:color w:val="auto"/>
              </w:rPr>
            </w:pPr>
          </w:p>
        </w:tc>
        <w:tc>
          <w:tcPr>
            <w:tcW w:w="520" w:type="dxa"/>
            <w:vAlign w:val="bottom"/>
          </w:tcPr>
          <w:p>
            <w:pPr>
              <w:spacing w:after="0"/>
              <w:rPr>
                <w:sz w:val="4"/>
                <w:szCs w:val="4"/>
                <w:color w:val="auto"/>
              </w:rPr>
            </w:pPr>
          </w:p>
        </w:tc>
        <w:tc>
          <w:tcPr>
            <w:tcW w:w="700" w:type="dxa"/>
            <w:vAlign w:val="bottom"/>
            <w:gridSpan w:val="2"/>
            <w:vMerge w:val="restart"/>
          </w:tcPr>
          <w:p>
            <w:pPr>
              <w:jc w:val="right"/>
              <w:ind w:right="360"/>
              <w:spacing w:after="0"/>
              <w:rPr>
                <w:sz w:val="20"/>
                <w:szCs w:val="20"/>
                <w:color w:val="auto"/>
              </w:rPr>
            </w:pPr>
            <w:r>
              <w:rPr>
                <w:rFonts w:ascii="Arial" w:cs="Arial" w:eastAsia="Arial" w:hAnsi="Arial"/>
                <w:sz w:val="18"/>
                <w:szCs w:val="18"/>
                <w:color w:val="auto"/>
              </w:rPr>
              <w:t>(5)</w:t>
            </w:r>
          </w:p>
        </w:tc>
        <w:tc>
          <w:tcPr>
            <w:tcW w:w="900" w:type="dxa"/>
            <w:vAlign w:val="bottom"/>
            <w:vMerge w:val="restart"/>
          </w:tcPr>
          <w:p>
            <w:pPr>
              <w:jc w:val="center"/>
              <w:spacing w:after="0"/>
              <w:rPr>
                <w:sz w:val="20"/>
                <w:szCs w:val="20"/>
                <w:color w:val="auto"/>
              </w:rPr>
            </w:pPr>
            <w:r>
              <w:rPr>
                <w:rFonts w:ascii="Arial" w:cs="Arial" w:eastAsia="Arial" w:hAnsi="Arial"/>
                <w:sz w:val="18"/>
                <w:szCs w:val="18"/>
                <w:color w:val="auto"/>
                <w:w w:val="85"/>
              </w:rPr>
              <w:t xml:space="preserve">balances </w:t>
            </w:r>
            <w:r>
              <w:rPr>
                <w:rFonts w:ascii="Arial" w:cs="Arial" w:eastAsia="Arial" w:hAnsi="Arial"/>
                <w:sz w:val="11"/>
                <w:szCs w:val="11"/>
                <w:color w:val="auto"/>
                <w:w w:val="85"/>
              </w:rPr>
              <w:t>(4 )</w:t>
            </w:r>
          </w:p>
        </w:tc>
        <w:tc>
          <w:tcPr>
            <w:tcW w:w="30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0" w:type="dxa"/>
            <w:vAlign w:val="bottom"/>
            <w:vMerge w:val="restart"/>
          </w:tcPr>
          <w:p>
            <w:pPr>
              <w:jc w:val="right"/>
              <w:spacing w:after="0"/>
              <w:rPr>
                <w:sz w:val="20"/>
                <w:szCs w:val="20"/>
                <w:color w:val="auto"/>
              </w:rPr>
            </w:pPr>
            <w:r>
              <w:rPr>
                <w:rFonts w:ascii="Arial" w:cs="Arial" w:eastAsia="Arial" w:hAnsi="Arial"/>
                <w:sz w:val="18"/>
                <w:szCs w:val="18"/>
                <w:color w:val="auto"/>
              </w:rPr>
              <w:t>447</w:t>
            </w:r>
          </w:p>
        </w:tc>
        <w:tc>
          <w:tcPr>
            <w:tcW w:w="300" w:type="dxa"/>
            <w:vAlign w:val="bottom"/>
          </w:tcPr>
          <w:p>
            <w:pPr>
              <w:spacing w:after="0"/>
              <w:rPr>
                <w:sz w:val="4"/>
                <w:szCs w:val="4"/>
                <w:color w:val="auto"/>
              </w:rPr>
            </w:pPr>
          </w:p>
        </w:tc>
        <w:tc>
          <w:tcPr>
            <w:tcW w:w="540" w:type="dxa"/>
            <w:vAlign w:val="bottom"/>
          </w:tcPr>
          <w:p>
            <w:pPr>
              <w:spacing w:after="0"/>
              <w:rPr>
                <w:sz w:val="4"/>
                <w:szCs w:val="4"/>
                <w:color w:val="auto"/>
              </w:rPr>
            </w:pPr>
          </w:p>
        </w:tc>
        <w:tc>
          <w:tcPr>
            <w:tcW w:w="28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w w:val="79"/>
              </w:rPr>
              <w:t>175</w:t>
            </w:r>
          </w:p>
        </w:tc>
        <w:tc>
          <w:tcPr>
            <w:tcW w:w="0" w:type="dxa"/>
            <w:vAlign w:val="bottom"/>
          </w:tcPr>
          <w:p>
            <w:pPr>
              <w:spacing w:after="0"/>
              <w:rPr>
                <w:sz w:val="1"/>
                <w:szCs w:val="1"/>
                <w:color w:val="auto"/>
              </w:rPr>
            </w:pPr>
          </w:p>
        </w:tc>
      </w:tr>
      <w:tr>
        <w:trPr>
          <w:trHeight w:val="183"/>
        </w:trPr>
        <w:tc>
          <w:tcPr>
            <w:tcW w:w="5240" w:type="dxa"/>
            <w:vAlign w:val="bottom"/>
            <w:gridSpan w:val="3"/>
            <w:vMerge w:val="continue"/>
          </w:tcPr>
          <w:p>
            <w:pPr>
              <w:spacing w:after="0"/>
              <w:rPr>
                <w:sz w:val="15"/>
                <w:szCs w:val="15"/>
                <w:color w:val="auto"/>
              </w:rPr>
            </w:pPr>
          </w:p>
        </w:tc>
        <w:tc>
          <w:tcPr>
            <w:tcW w:w="1040" w:type="dxa"/>
            <w:vAlign w:val="bottom"/>
          </w:tcPr>
          <w:p>
            <w:pPr>
              <w:jc w:val="center"/>
              <w:spacing w:after="0"/>
              <w:rPr>
                <w:sz w:val="20"/>
                <w:szCs w:val="20"/>
                <w:color w:val="auto"/>
              </w:rPr>
            </w:pPr>
            <w:r>
              <w:rPr>
                <w:rFonts w:ascii="Arial" w:cs="Arial" w:eastAsia="Arial" w:hAnsi="Arial"/>
                <w:sz w:val="11"/>
                <w:szCs w:val="11"/>
                <w:color w:val="auto"/>
              </w:rPr>
              <w:t>)</w:t>
            </w: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00" w:type="dxa"/>
            <w:vAlign w:val="bottom"/>
            <w:gridSpan w:val="2"/>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8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derivatives not designated as hedges</w:t>
            </w:r>
          </w:p>
        </w:tc>
        <w:tc>
          <w:tcPr>
            <w:tcW w:w="10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w:t>
            </w:r>
          </w:p>
        </w:tc>
        <w:tc>
          <w:tcPr>
            <w:tcW w:w="320" w:type="dxa"/>
            <w:vAlign w:val="bottom"/>
            <w:shd w:val="clear" w:color="auto" w:fill="CCEEFF"/>
          </w:tcPr>
          <w:p>
            <w:pPr>
              <w:spacing w:after="0"/>
              <w:rPr>
                <w:sz w:val="18"/>
                <w:szCs w:val="18"/>
                <w:color w:val="auto"/>
              </w:rPr>
            </w:pPr>
          </w:p>
        </w:tc>
        <w:tc>
          <w:tcPr>
            <w:tcW w:w="52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612</w:t>
            </w:r>
          </w:p>
        </w:tc>
        <w:tc>
          <w:tcPr>
            <w:tcW w:w="4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697</w:t>
            </w:r>
          </w:p>
        </w:tc>
        <w:tc>
          <w:tcPr>
            <w:tcW w:w="300" w:type="dxa"/>
            <w:vAlign w:val="bottom"/>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306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220" w:type="dxa"/>
            <w:vAlign w:val="bottom"/>
            <w:gridSpan w:val="2"/>
          </w:tcPr>
          <w:p>
            <w:pPr>
              <w:ind w:left="420"/>
              <w:spacing w:after="0"/>
              <w:rPr>
                <w:sz w:val="20"/>
                <w:szCs w:val="20"/>
                <w:color w:val="auto"/>
              </w:rPr>
            </w:pPr>
            <w:r>
              <w:rPr>
                <w:rFonts w:ascii="Arial" w:cs="Arial" w:eastAsia="Arial" w:hAnsi="Arial"/>
                <w:sz w:val="18"/>
                <w:szCs w:val="18"/>
                <w:color w:val="auto"/>
              </w:rPr>
              <w:t>Total derivatives</w:t>
            </w:r>
          </w:p>
        </w:tc>
        <w:tc>
          <w:tcPr>
            <w:tcW w:w="1040" w:type="dxa"/>
            <w:vAlign w:val="bottom"/>
          </w:tcPr>
          <w:p>
            <w:pPr>
              <w:spacing w:after="0"/>
              <w:rPr>
                <w:sz w:val="19"/>
                <w:szCs w:val="19"/>
                <w:color w:val="auto"/>
              </w:rPr>
            </w:pPr>
          </w:p>
        </w:tc>
        <w:tc>
          <w:tcPr>
            <w:tcW w:w="400" w:type="dxa"/>
            <w:vAlign w:val="bottom"/>
            <w:gridSpan w:val="2"/>
          </w:tcPr>
          <w:p>
            <w:pPr>
              <w:ind w:left="300"/>
              <w:spacing w:after="0"/>
              <w:rPr>
                <w:sz w:val="20"/>
                <w:szCs w:val="20"/>
                <w:color w:val="auto"/>
              </w:rPr>
            </w:pPr>
            <w:r>
              <w:rPr>
                <w:rFonts w:ascii="Arial" w:cs="Arial" w:eastAsia="Arial" w:hAnsi="Arial"/>
                <w:sz w:val="18"/>
                <w:szCs w:val="18"/>
                <w:u w:val="single" w:color="auto"/>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1,454</w:t>
            </w:r>
          </w:p>
        </w:tc>
        <w:tc>
          <w:tcPr>
            <w:tcW w:w="8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w w:val="86"/>
              </w:rPr>
              <w:t>941</w:t>
            </w:r>
          </w:p>
        </w:tc>
        <w:tc>
          <w:tcPr>
            <w:tcW w:w="4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400" w:type="dxa"/>
            <w:vAlign w:val="bottom"/>
            <w:gridSpan w:val="2"/>
          </w:tcPr>
          <w:p>
            <w:pPr>
              <w:ind w:left="300"/>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739</w:t>
            </w:r>
          </w:p>
        </w:tc>
        <w:tc>
          <w:tcPr>
            <w:tcW w:w="8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w w:val="79"/>
              </w:rPr>
              <w:t>456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6" w:lineRule="exact"/>
        <w:rPr>
          <w:sz w:val="20"/>
          <w:szCs w:val="20"/>
          <w:color w:val="auto"/>
        </w:rPr>
      </w:pPr>
    </w:p>
    <w:p>
      <w:pPr>
        <w:ind w:left="340" w:hanging="332"/>
        <w:spacing w:after="0"/>
        <w:tabs>
          <w:tab w:leader="none" w:pos="340" w:val="left"/>
        </w:tabs>
        <w:numPr>
          <w:ilvl w:val="0"/>
          <w:numId w:val="118"/>
        </w:numPr>
        <w:rPr>
          <w:rFonts w:ascii="Arial" w:cs="Arial" w:eastAsia="Arial" w:hAnsi="Arial"/>
          <w:sz w:val="20"/>
          <w:szCs w:val="20"/>
          <w:color w:val="auto"/>
          <w:vertAlign w:val="superscript"/>
        </w:rPr>
      </w:pPr>
      <w:r>
        <w:rPr>
          <w:rFonts w:ascii="Arial" w:cs="Arial" w:eastAsia="Arial" w:hAnsi="Arial"/>
          <w:sz w:val="16"/>
          <w:szCs w:val="16"/>
          <w:color w:val="auto"/>
        </w:rPr>
        <w:t>See note 7 in our “—Notes to Condensed Consolidated Financial Statements” for additional information related to consolidated securitization entities.</w:t>
      </w:r>
    </w:p>
    <w:p>
      <w:pPr>
        <w:spacing w:after="0" w:line="7" w:lineRule="exact"/>
        <w:rPr>
          <w:rFonts w:ascii="Arial" w:cs="Arial" w:eastAsia="Arial" w:hAnsi="Arial"/>
          <w:sz w:val="20"/>
          <w:szCs w:val="20"/>
          <w:color w:val="auto"/>
          <w:vertAlign w:val="superscript"/>
        </w:rPr>
      </w:pPr>
    </w:p>
    <w:p>
      <w:pPr>
        <w:ind w:left="340" w:hanging="332"/>
        <w:spacing w:after="0" w:line="197" w:lineRule="auto"/>
        <w:tabs>
          <w:tab w:leader="none" w:pos="340" w:val="left"/>
        </w:tabs>
        <w:numPr>
          <w:ilvl w:val="0"/>
          <w:numId w:val="118"/>
        </w:numPr>
        <w:rPr>
          <w:rFonts w:ascii="Arial" w:cs="Arial" w:eastAsia="Arial" w:hAnsi="Arial"/>
          <w:sz w:val="22"/>
          <w:szCs w:val="22"/>
          <w:color w:val="auto"/>
          <w:vertAlign w:val="superscript"/>
        </w:rPr>
      </w:pPr>
      <w:r>
        <w:rPr>
          <w:rFonts w:ascii="Arial" w:cs="Arial" w:eastAsia="Arial" w:hAnsi="Arial"/>
          <w:sz w:val="18"/>
          <w:szCs w:val="18"/>
          <w:color w:val="auto"/>
        </w:rPr>
        <w:t>Represents embedded derivatives associated with certain reinsurance agreements.</w:t>
      </w:r>
    </w:p>
    <w:p>
      <w:pPr>
        <w:spacing w:after="0" w:line="8" w:lineRule="exact"/>
        <w:rPr>
          <w:rFonts w:ascii="Arial" w:cs="Arial" w:eastAsia="Arial" w:hAnsi="Arial"/>
          <w:sz w:val="22"/>
          <w:szCs w:val="22"/>
          <w:color w:val="auto"/>
          <w:vertAlign w:val="superscript"/>
        </w:rPr>
      </w:pPr>
    </w:p>
    <w:p>
      <w:pPr>
        <w:ind w:left="340" w:hanging="332"/>
        <w:spacing w:after="0" w:line="197" w:lineRule="auto"/>
        <w:tabs>
          <w:tab w:leader="none" w:pos="340" w:val="left"/>
        </w:tabs>
        <w:numPr>
          <w:ilvl w:val="0"/>
          <w:numId w:val="118"/>
        </w:numPr>
        <w:rPr>
          <w:rFonts w:ascii="Arial" w:cs="Arial" w:eastAsia="Arial" w:hAnsi="Arial"/>
          <w:sz w:val="22"/>
          <w:szCs w:val="22"/>
          <w:color w:val="auto"/>
          <w:vertAlign w:val="superscript"/>
        </w:rPr>
      </w:pPr>
      <w:r>
        <w:rPr>
          <w:rFonts w:ascii="Arial" w:cs="Arial" w:eastAsia="Arial" w:hAnsi="Arial"/>
          <w:sz w:val="18"/>
          <w:szCs w:val="18"/>
          <w:color w:val="auto"/>
        </w:rPr>
        <w:t>Represents embedded derivatives associated with the reinsured portion of our GMWB liabilities.</w:t>
      </w:r>
    </w:p>
    <w:p>
      <w:pPr>
        <w:spacing w:after="0" w:line="8" w:lineRule="exact"/>
        <w:rPr>
          <w:rFonts w:ascii="Arial" w:cs="Arial" w:eastAsia="Arial" w:hAnsi="Arial"/>
          <w:sz w:val="22"/>
          <w:szCs w:val="22"/>
          <w:color w:val="auto"/>
          <w:vertAlign w:val="superscript"/>
        </w:rPr>
      </w:pPr>
    </w:p>
    <w:p>
      <w:pPr>
        <w:ind w:left="340" w:hanging="332"/>
        <w:spacing w:after="0" w:line="197" w:lineRule="auto"/>
        <w:tabs>
          <w:tab w:leader="none" w:pos="340" w:val="left"/>
        </w:tabs>
        <w:numPr>
          <w:ilvl w:val="0"/>
          <w:numId w:val="118"/>
        </w:numPr>
        <w:rPr>
          <w:rFonts w:ascii="Arial" w:cs="Arial" w:eastAsia="Arial" w:hAnsi="Arial"/>
          <w:sz w:val="22"/>
          <w:szCs w:val="22"/>
          <w:color w:val="auto"/>
          <w:vertAlign w:val="superscript"/>
        </w:rPr>
      </w:pPr>
      <w:r>
        <w:rPr>
          <w:rFonts w:ascii="Arial" w:cs="Arial" w:eastAsia="Arial" w:hAnsi="Arial"/>
          <w:sz w:val="18"/>
          <w:szCs w:val="18"/>
          <w:color w:val="auto"/>
        </w:rPr>
        <w:t>Represents the embedded derivatives associated with our GMWB liabilities, excluding the impact of reinsurance.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-572135</wp:posOffset>
            </wp:positionV>
            <wp:extent cx="728980"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124</w:t>
      </w:r>
    </w:p>
    <w:p>
      <w:pPr>
        <w:sectPr>
          <w:pgSz w:w="11900" w:h="16838" w:orient="portrait"/>
          <w:cols w:equalWidth="0" w:num="1">
            <w:col w:w="11420"/>
          </w:cols>
          <w:pgMar w:left="240" w:top="459" w:right="239" w:bottom="1440" w:gutter="0" w:footer="0" w:header="0"/>
        </w:sectPr>
      </w:pPr>
    </w:p>
    <w:bookmarkStart w:id="124" w:name="page125"/>
    <w:bookmarkEnd w:id="1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240" w:firstLine="456"/>
        <w:spacing w:after="0" w:line="259" w:lineRule="auto"/>
        <w:rPr>
          <w:sz w:val="20"/>
          <w:szCs w:val="20"/>
          <w:color w:val="auto"/>
        </w:rPr>
      </w:pPr>
      <w:r>
        <w:rPr>
          <w:rFonts w:ascii="Arial" w:cs="Arial" w:eastAsia="Arial" w:hAnsi="Arial"/>
          <w:sz w:val="18"/>
          <w:szCs w:val="18"/>
          <w:color w:val="auto"/>
        </w:rPr>
        <w:t>The activity associated with derivative instruments can generally be measured by the change in notional value over the periods presented. However, for GMWB embedded derivatives, the change between periods is best illustrated by the number of policies. The following tables represent activity associated with derivative instruments as of the dates indicated:</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340" w:type="dxa"/>
            <w:vAlign w:val="bottom"/>
            <w:gridSpan w:val="3"/>
          </w:tcPr>
          <w:p>
            <w:pPr>
              <w:jc w:val="right"/>
              <w:ind w:right="660"/>
              <w:spacing w:after="0"/>
              <w:rPr>
                <w:sz w:val="20"/>
                <w:szCs w:val="20"/>
                <w:color w:val="auto"/>
              </w:rPr>
            </w:pPr>
            <w:r>
              <w:rPr>
                <w:rFonts w:ascii="Arial" w:cs="Arial" w:eastAsia="Arial" w:hAnsi="Arial"/>
                <w:sz w:val="14"/>
                <w:szCs w:val="14"/>
                <w:b w:val="1"/>
                <w:bCs w:val="1"/>
                <w:color w:val="auto"/>
                <w:w w:val="94"/>
              </w:rPr>
              <w:t>Maturities/</w:t>
            </w: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5340" w:type="dxa"/>
            <w:vAlign w:val="bottom"/>
            <w:gridSpan w:val="3"/>
          </w:tcPr>
          <w:p>
            <w:pPr>
              <w:spacing w:after="0"/>
              <w:rPr>
                <w:sz w:val="20"/>
                <w:szCs w:val="20"/>
                <w:color w:val="auto"/>
              </w:rPr>
            </w:pPr>
            <w:r>
              <w:rPr>
                <w:rFonts w:ascii="Arial" w:cs="Arial" w:eastAsia="Arial" w:hAnsi="Arial"/>
                <w:sz w:val="14"/>
                <w:szCs w:val="14"/>
                <w:b w:val="1"/>
                <w:bCs w:val="1"/>
                <w:color w:val="auto"/>
              </w:rPr>
              <w:t>(Notional in millions)</w:t>
            </w:r>
          </w:p>
        </w:tc>
        <w:tc>
          <w:tcPr>
            <w:tcW w:w="128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w w:val="86"/>
              </w:rPr>
              <w:t>Measurement</w:t>
            </w:r>
          </w:p>
        </w:tc>
        <w:tc>
          <w:tcPr>
            <w:tcW w:w="1580" w:type="dxa"/>
            <w:vAlign w:val="bottom"/>
            <w:gridSpan w:val="3"/>
          </w:tcPr>
          <w:p>
            <w:pPr>
              <w:spacing w:after="0"/>
              <w:rPr>
                <w:sz w:val="20"/>
                <w:szCs w:val="20"/>
                <w:color w:val="auto"/>
              </w:rPr>
            </w:pPr>
            <w:r>
              <w:rPr>
                <w:rFonts w:ascii="Arial" w:cs="Arial" w:eastAsia="Arial" w:hAnsi="Arial"/>
                <w:sz w:val="14"/>
                <w:szCs w:val="14"/>
                <w:b w:val="1"/>
                <w:bCs w:val="1"/>
                <w:color w:val="auto"/>
              </w:rPr>
              <w:t>December 31, 2009</w:t>
            </w:r>
          </w:p>
        </w:tc>
        <w:tc>
          <w:tcPr>
            <w:tcW w:w="1080" w:type="dxa"/>
            <w:vAlign w:val="bottom"/>
            <w:gridSpan w:val="3"/>
          </w:tcPr>
          <w:p>
            <w:pPr>
              <w:spacing w:after="0"/>
              <w:rPr>
                <w:sz w:val="20"/>
                <w:szCs w:val="20"/>
                <w:color w:val="auto"/>
              </w:rPr>
            </w:pPr>
            <w:r>
              <w:rPr>
                <w:rFonts w:ascii="Arial" w:cs="Arial" w:eastAsia="Arial" w:hAnsi="Arial"/>
                <w:sz w:val="14"/>
                <w:szCs w:val="14"/>
                <w:b w:val="1"/>
                <w:bCs w:val="1"/>
                <w:color w:val="auto"/>
              </w:rPr>
              <w:t>Additions</w:t>
            </w:r>
          </w:p>
        </w:tc>
        <w:tc>
          <w:tcPr>
            <w:tcW w:w="1340" w:type="dxa"/>
            <w:vAlign w:val="bottom"/>
            <w:gridSpan w:val="3"/>
          </w:tcPr>
          <w:p>
            <w:pPr>
              <w:spacing w:after="0"/>
              <w:rPr>
                <w:sz w:val="20"/>
                <w:szCs w:val="20"/>
                <w:color w:val="auto"/>
              </w:rPr>
            </w:pPr>
            <w:r>
              <w:rPr>
                <w:rFonts w:ascii="Arial" w:cs="Arial" w:eastAsia="Arial" w:hAnsi="Arial"/>
                <w:sz w:val="14"/>
                <w:szCs w:val="14"/>
                <w:b w:val="1"/>
                <w:bCs w:val="1"/>
                <w:color w:val="auto"/>
              </w:rPr>
              <w:t>terminations</w:t>
            </w:r>
          </w:p>
        </w:tc>
        <w:tc>
          <w:tcPr>
            <w:tcW w:w="820" w:type="dxa"/>
            <w:vAlign w:val="bottom"/>
            <w:gridSpan w:val="3"/>
          </w:tcPr>
          <w:p>
            <w:pPr>
              <w:spacing w:after="0"/>
              <w:rPr>
                <w:sz w:val="20"/>
                <w:szCs w:val="20"/>
                <w:color w:val="auto"/>
              </w:rPr>
            </w:pPr>
            <w:r>
              <w:rPr>
                <w:rFonts w:ascii="Arial" w:cs="Arial" w:eastAsia="Arial" w:hAnsi="Arial"/>
                <w:sz w:val="14"/>
                <w:szCs w:val="14"/>
                <w:b w:val="1"/>
                <w:bCs w:val="1"/>
                <w:color w:val="auto"/>
                <w:w w:val="87"/>
              </w:rPr>
              <w:t>June 30, 2010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4080" w:type="dxa"/>
            <w:vAlign w:val="bottom"/>
            <w:tcBorders>
              <w:left w:val="single" w:sz="8" w:color="auto"/>
            </w:tcBorders>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520" w:type="dxa"/>
            <w:vAlign w:val="bottom"/>
            <w:tcBorders>
              <w:left w:val="single" w:sz="8" w:color="auto"/>
            </w:tcBorders>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20" w:type="dxa"/>
            <w:vAlign w:val="bottom"/>
            <w:tcBorders>
              <w:lef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40" w:type="dxa"/>
            <w:vAlign w:val="bottom"/>
            <w:tcBorders>
              <w:left w:val="single" w:sz="8" w:color="auto"/>
            </w:tcBorders>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2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Derivatives designated as hedges</w:t>
            </w:r>
          </w:p>
        </w:tc>
        <w:tc>
          <w:tcPr>
            <w:tcW w:w="760" w:type="dxa"/>
            <w:vAlign w:val="bottom"/>
            <w:shd w:val="clear" w:color="auto" w:fill="CCEEFF"/>
          </w:tcPr>
          <w:p>
            <w:pPr>
              <w:spacing w:after="0"/>
              <w:rPr>
                <w:sz w:val="18"/>
                <w:szCs w:val="18"/>
                <w:color w:val="auto"/>
              </w:rPr>
            </w:pP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54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rPr>
              <w:t>Cash flow hedges:</w:t>
            </w:r>
          </w:p>
        </w:tc>
        <w:tc>
          <w:tcPr>
            <w:tcW w:w="7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rPr>
              <w:t>Interest rate swaps</w:t>
            </w:r>
          </w:p>
        </w:tc>
        <w:tc>
          <w:tcPr>
            <w:tcW w:w="128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4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9,479</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960" w:type="dxa"/>
            <w:vAlign w:val="bottom"/>
            <w:tcBorders>
              <w:right w:val="single" w:sz="8" w:color="CCEEFF"/>
            </w:tcBorders>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97"/>
              </w:rPr>
              <w:t>1,382</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(206)</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Inflation indexed swaps</w:t>
            </w:r>
          </w:p>
        </w:tc>
        <w:tc>
          <w:tcPr>
            <w:tcW w:w="1280" w:type="dxa"/>
            <w:vAlign w:val="bottom"/>
            <w:gridSpan w:val="2"/>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tcPr>
          <w:p>
            <w:pPr>
              <w:spacing w:after="0"/>
              <w:rPr>
                <w:sz w:val="18"/>
                <w:szCs w:val="18"/>
                <w:color w:val="auto"/>
              </w:rPr>
            </w:pPr>
          </w:p>
        </w:tc>
        <w:tc>
          <w:tcPr>
            <w:tcW w:w="1240" w:type="dxa"/>
            <w:vAlign w:val="bottom"/>
            <w:gridSpan w:val="2"/>
          </w:tcPr>
          <w:p>
            <w:pPr>
              <w:jc w:val="right"/>
              <w:ind w:right="480"/>
              <w:spacing w:after="0"/>
              <w:rPr>
                <w:sz w:val="20"/>
                <w:szCs w:val="20"/>
                <w:color w:val="auto"/>
              </w:rPr>
            </w:pPr>
            <w:r>
              <w:rPr>
                <w:rFonts w:ascii="Arial" w:cs="Arial" w:eastAsia="Arial" w:hAnsi="Arial"/>
                <w:sz w:val="18"/>
                <w:szCs w:val="18"/>
                <w:color w:val="auto"/>
              </w:rPr>
              <w:t>376</w:t>
            </w:r>
          </w:p>
        </w:tc>
        <w:tc>
          <w:tcPr>
            <w:tcW w:w="120" w:type="dxa"/>
            <w:vAlign w:val="bottom"/>
          </w:tcPr>
          <w:p>
            <w:pPr>
              <w:spacing w:after="0"/>
              <w:rPr>
                <w:sz w:val="18"/>
                <w:szCs w:val="18"/>
                <w:color w:val="auto"/>
              </w:rPr>
            </w:pPr>
          </w:p>
        </w:tc>
        <w:tc>
          <w:tcPr>
            <w:tcW w:w="960" w:type="dxa"/>
            <w:vAlign w:val="bottom"/>
            <w:gridSpan w:val="2"/>
          </w:tcPr>
          <w:p>
            <w:pPr>
              <w:jc w:val="right"/>
              <w:ind w:right="500"/>
              <w:spacing w:after="0"/>
              <w:rPr>
                <w:sz w:val="20"/>
                <w:szCs w:val="20"/>
                <w:color w:val="auto"/>
              </w:rPr>
            </w:pPr>
            <w:r>
              <w:rPr>
                <w:rFonts w:ascii="Arial" w:cs="Arial" w:eastAsia="Arial" w:hAnsi="Arial"/>
                <w:sz w:val="18"/>
                <w:szCs w:val="18"/>
                <w:color w:val="auto"/>
              </w:rPr>
              <w:t>157</w:t>
            </w:r>
          </w:p>
        </w:tc>
        <w:tc>
          <w:tcPr>
            <w:tcW w:w="140" w:type="dxa"/>
            <w:vAlign w:val="bottom"/>
          </w:tcPr>
          <w:p>
            <w:pPr>
              <w:spacing w:after="0"/>
              <w:rPr>
                <w:sz w:val="18"/>
                <w:szCs w:val="18"/>
                <w:color w:val="auto"/>
              </w:rPr>
            </w:pPr>
          </w:p>
        </w:tc>
        <w:tc>
          <w:tcPr>
            <w:tcW w:w="1200" w:type="dxa"/>
            <w:vAlign w:val="bottom"/>
            <w:gridSpan w:val="2"/>
          </w:tcPr>
          <w:p>
            <w:pPr>
              <w:jc w:val="right"/>
              <w:ind w:right="540"/>
              <w:spacing w:after="0"/>
              <w:rPr>
                <w:sz w:val="20"/>
                <w:szCs w:val="20"/>
                <w:color w:val="auto"/>
              </w:rPr>
            </w:pPr>
            <w:r>
              <w:rPr>
                <w:rFonts w:ascii="Arial" w:cs="Arial" w:eastAsia="Arial" w:hAnsi="Arial"/>
                <w:sz w:val="18"/>
                <w:szCs w:val="18"/>
                <w:color w:val="auto"/>
              </w:rPr>
              <w:t>(6)</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rPr>
              <w:t>Foreign currency swaps</w:t>
            </w:r>
          </w:p>
        </w:tc>
        <w:tc>
          <w:tcPr>
            <w:tcW w:w="128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491</w:t>
            </w: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54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Total cash flow hedges</w:t>
            </w:r>
          </w:p>
        </w:tc>
        <w:tc>
          <w:tcPr>
            <w:tcW w:w="7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40" w:type="dxa"/>
            <w:vAlign w:val="bottom"/>
            <w:gridSpan w:val="2"/>
          </w:tcPr>
          <w:p>
            <w:pPr>
              <w:jc w:val="right"/>
              <w:ind w:right="480"/>
              <w:spacing w:after="0"/>
              <w:rPr>
                <w:sz w:val="20"/>
                <w:szCs w:val="20"/>
                <w:color w:val="auto"/>
              </w:rPr>
            </w:pPr>
            <w:r>
              <w:rPr>
                <w:rFonts w:ascii="Arial" w:cs="Arial" w:eastAsia="Arial" w:hAnsi="Arial"/>
                <w:sz w:val="18"/>
                <w:szCs w:val="18"/>
                <w:color w:val="auto"/>
              </w:rPr>
              <w:t>10,346</w:t>
            </w:r>
          </w:p>
        </w:tc>
        <w:tc>
          <w:tcPr>
            <w:tcW w:w="120" w:type="dxa"/>
            <w:vAlign w:val="bottom"/>
          </w:tcPr>
          <w:p>
            <w:pPr>
              <w:spacing w:after="0"/>
              <w:rPr>
                <w:sz w:val="20"/>
                <w:szCs w:val="20"/>
                <w:color w:val="auto"/>
              </w:rPr>
            </w:pPr>
          </w:p>
        </w:tc>
        <w:tc>
          <w:tcPr>
            <w:tcW w:w="960" w:type="dxa"/>
            <w:vAlign w:val="bottom"/>
            <w:gridSpan w:val="2"/>
          </w:tcPr>
          <w:p>
            <w:pPr>
              <w:jc w:val="right"/>
              <w:ind w:right="500"/>
              <w:spacing w:after="0"/>
              <w:rPr>
                <w:sz w:val="20"/>
                <w:szCs w:val="20"/>
                <w:color w:val="auto"/>
              </w:rPr>
            </w:pPr>
            <w:r>
              <w:rPr>
                <w:rFonts w:ascii="Arial" w:cs="Arial" w:eastAsia="Arial" w:hAnsi="Arial"/>
                <w:sz w:val="18"/>
                <w:szCs w:val="18"/>
                <w:color w:val="auto"/>
                <w:w w:val="97"/>
              </w:rPr>
              <w:t>1,539</w:t>
            </w:r>
          </w:p>
        </w:tc>
        <w:tc>
          <w:tcPr>
            <w:tcW w:w="140" w:type="dxa"/>
            <w:vAlign w:val="bottom"/>
          </w:tcPr>
          <w:p>
            <w:pPr>
              <w:spacing w:after="0"/>
              <w:rPr>
                <w:sz w:val="20"/>
                <w:szCs w:val="20"/>
                <w:color w:val="auto"/>
              </w:rPr>
            </w:pPr>
          </w:p>
        </w:tc>
        <w:tc>
          <w:tcPr>
            <w:tcW w:w="1200" w:type="dxa"/>
            <w:vAlign w:val="bottom"/>
            <w:gridSpan w:val="2"/>
          </w:tcPr>
          <w:p>
            <w:pPr>
              <w:jc w:val="right"/>
              <w:ind w:right="540"/>
              <w:spacing w:after="0"/>
              <w:rPr>
                <w:sz w:val="20"/>
                <w:szCs w:val="20"/>
                <w:color w:val="auto"/>
              </w:rPr>
            </w:pPr>
            <w:r>
              <w:rPr>
                <w:rFonts w:ascii="Arial" w:cs="Arial" w:eastAsia="Arial" w:hAnsi="Arial"/>
                <w:sz w:val="18"/>
                <w:szCs w:val="18"/>
                <w:color w:val="auto"/>
              </w:rPr>
              <w:t>(212)</w:t>
            </w:r>
          </w:p>
        </w:tc>
        <w:tc>
          <w:tcPr>
            <w:tcW w:w="200" w:type="dxa"/>
            <w:vAlign w:val="bottom"/>
          </w:tcPr>
          <w:p>
            <w:pPr>
              <w:spacing w:after="0"/>
              <w:rPr>
                <w:sz w:val="20"/>
                <w:szCs w:val="20"/>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11,673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Fair value hedges:</w:t>
            </w:r>
          </w:p>
        </w:tc>
        <w:tc>
          <w:tcPr>
            <w:tcW w:w="760" w:type="dxa"/>
            <w:vAlign w:val="bottom"/>
            <w:shd w:val="clear" w:color="auto" w:fill="CCEEFF"/>
          </w:tcPr>
          <w:p>
            <w:pPr>
              <w:spacing w:after="0"/>
              <w:rPr>
                <w:sz w:val="18"/>
                <w:szCs w:val="18"/>
                <w:color w:val="auto"/>
              </w:rPr>
            </w:pP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54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Interest rate swaps</w:t>
            </w:r>
          </w:p>
        </w:tc>
        <w:tc>
          <w:tcPr>
            <w:tcW w:w="1280" w:type="dxa"/>
            <w:vAlign w:val="bottom"/>
            <w:gridSpan w:val="2"/>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tcPr>
          <w:p>
            <w:pPr>
              <w:spacing w:after="0"/>
              <w:rPr>
                <w:sz w:val="18"/>
                <w:szCs w:val="18"/>
                <w:color w:val="auto"/>
              </w:rPr>
            </w:pPr>
          </w:p>
        </w:tc>
        <w:tc>
          <w:tcPr>
            <w:tcW w:w="1240" w:type="dxa"/>
            <w:vAlign w:val="bottom"/>
            <w:gridSpan w:val="2"/>
          </w:tcPr>
          <w:p>
            <w:pPr>
              <w:jc w:val="right"/>
              <w:ind w:right="480"/>
              <w:spacing w:after="0"/>
              <w:rPr>
                <w:sz w:val="20"/>
                <w:szCs w:val="20"/>
                <w:color w:val="auto"/>
              </w:rPr>
            </w:pPr>
            <w:r>
              <w:rPr>
                <w:rFonts w:ascii="Arial" w:cs="Arial" w:eastAsia="Arial" w:hAnsi="Arial"/>
                <w:sz w:val="18"/>
                <w:szCs w:val="18"/>
                <w:color w:val="auto"/>
              </w:rPr>
              <w:t>2,366</w:t>
            </w:r>
          </w:p>
        </w:tc>
        <w:tc>
          <w:tcPr>
            <w:tcW w:w="120" w:type="dxa"/>
            <w:vAlign w:val="bottom"/>
          </w:tcPr>
          <w:p>
            <w:pPr>
              <w:spacing w:after="0"/>
              <w:rPr>
                <w:sz w:val="18"/>
                <w:szCs w:val="18"/>
                <w:color w:val="auto"/>
              </w:rPr>
            </w:pPr>
          </w:p>
        </w:tc>
        <w:tc>
          <w:tcPr>
            <w:tcW w:w="96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0" w:type="dxa"/>
            <w:vAlign w:val="bottom"/>
            <w:gridSpan w:val="2"/>
          </w:tcPr>
          <w:p>
            <w:pPr>
              <w:jc w:val="right"/>
              <w:ind w:right="540"/>
              <w:spacing w:after="0"/>
              <w:rPr>
                <w:sz w:val="20"/>
                <w:szCs w:val="20"/>
                <w:color w:val="auto"/>
              </w:rPr>
            </w:pPr>
            <w:r>
              <w:rPr>
                <w:rFonts w:ascii="Arial" w:cs="Arial" w:eastAsia="Arial" w:hAnsi="Arial"/>
                <w:sz w:val="18"/>
                <w:szCs w:val="18"/>
                <w:color w:val="auto"/>
              </w:rPr>
              <w:t>(139)</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2,227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rPr>
              <w:t>Foreign currency swaps</w:t>
            </w:r>
          </w:p>
        </w:tc>
        <w:tc>
          <w:tcPr>
            <w:tcW w:w="128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54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Total fair value hedges</w:t>
            </w:r>
          </w:p>
        </w:tc>
        <w:tc>
          <w:tcPr>
            <w:tcW w:w="7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2,451</w:t>
            </w: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ind w:left="180"/>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0" w:type="dxa"/>
            <w:vAlign w:val="bottom"/>
            <w:gridSpan w:val="2"/>
          </w:tcPr>
          <w:p>
            <w:pPr>
              <w:jc w:val="right"/>
              <w:ind w:right="540"/>
              <w:spacing w:after="0"/>
              <w:rPr>
                <w:sz w:val="20"/>
                <w:szCs w:val="20"/>
                <w:color w:val="auto"/>
              </w:rPr>
            </w:pPr>
            <w:r>
              <w:rPr>
                <w:rFonts w:ascii="Arial" w:cs="Arial" w:eastAsia="Arial" w:hAnsi="Arial"/>
                <w:sz w:val="18"/>
                <w:szCs w:val="18"/>
                <w:color w:val="auto"/>
              </w:rPr>
              <w:t>(139)</w:t>
            </w:r>
          </w:p>
        </w:tc>
        <w:tc>
          <w:tcPr>
            <w:tcW w:w="200" w:type="dxa"/>
            <w:vAlign w:val="bottom"/>
          </w:tcPr>
          <w:p>
            <w:pPr>
              <w:spacing w:after="0"/>
              <w:rPr>
                <w:sz w:val="19"/>
                <w:szCs w:val="19"/>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2,312</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80" w:type="dxa"/>
            <w:vAlign w:val="bottom"/>
          </w:tcPr>
          <w:p>
            <w:pPr>
              <w:spacing w:after="0"/>
              <w:rPr>
                <w:sz w:val="2"/>
                <w:szCs w:val="2"/>
                <w:color w:val="auto"/>
              </w:rPr>
            </w:pPr>
          </w:p>
        </w:tc>
        <w:tc>
          <w:tcPr>
            <w:tcW w:w="7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520" w:type="dxa"/>
            <w:vAlign w:val="bottom"/>
            <w:tcBorders>
              <w:left w:val="single" w:sz="8" w:color="auto"/>
            </w:tcBorders>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540" w:type="dxa"/>
            <w:vAlign w:val="bottom"/>
            <w:tcBorders>
              <w:left w:val="single" w:sz="8" w:color="auto"/>
            </w:tcBorders>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rPr>
              <w:t>Total derivatives designated as hedges</w:t>
            </w:r>
          </w:p>
        </w:tc>
        <w:tc>
          <w:tcPr>
            <w:tcW w:w="760" w:type="dxa"/>
            <w:vAlign w:val="bottom"/>
            <w:shd w:val="clear" w:color="auto" w:fill="CCEEFF"/>
          </w:tcPr>
          <w:p>
            <w:pPr>
              <w:spacing w:after="0"/>
              <w:rPr>
                <w:sz w:val="18"/>
                <w:szCs w:val="18"/>
                <w:color w:val="auto"/>
              </w:rPr>
            </w:pP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12,797</w:t>
            </w: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1,539</w:t>
            </w:r>
          </w:p>
        </w:tc>
        <w:tc>
          <w:tcPr>
            <w:tcW w:w="54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(351)</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13,985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5340" w:type="dxa"/>
            <w:vAlign w:val="bottom"/>
            <w:gridSpan w:val="3"/>
          </w:tcPr>
          <w:p>
            <w:pPr>
              <w:spacing w:after="0"/>
              <w:rPr>
                <w:sz w:val="20"/>
                <w:szCs w:val="20"/>
                <w:color w:val="auto"/>
              </w:rPr>
            </w:pPr>
            <w:r>
              <w:rPr>
                <w:rFonts w:ascii="Arial" w:cs="Arial" w:eastAsia="Arial" w:hAnsi="Arial"/>
                <w:sz w:val="18"/>
                <w:szCs w:val="18"/>
                <w:b w:val="1"/>
                <w:bCs w:val="1"/>
                <w:color w:val="auto"/>
              </w:rPr>
              <w:t>Derivatives not designated as hedges</w:t>
            </w:r>
          </w:p>
        </w:tc>
        <w:tc>
          <w:tcPr>
            <w:tcW w:w="7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6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Interest rate swaps</w:t>
            </w:r>
          </w:p>
        </w:tc>
        <w:tc>
          <w:tcPr>
            <w:tcW w:w="128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6,474</w:t>
            </w:r>
          </w:p>
        </w:tc>
        <w:tc>
          <w:tcPr>
            <w:tcW w:w="120" w:type="dxa"/>
            <w:vAlign w:val="bottom"/>
            <w:shd w:val="clear" w:color="auto" w:fill="CCEEFF"/>
          </w:tcPr>
          <w:p>
            <w:pPr>
              <w:spacing w:after="0"/>
              <w:rPr>
                <w:sz w:val="18"/>
                <w:szCs w:val="18"/>
                <w:color w:val="auto"/>
              </w:rPr>
            </w:pPr>
          </w:p>
        </w:tc>
        <w:tc>
          <w:tcPr>
            <w:tcW w:w="960" w:type="dxa"/>
            <w:vAlign w:val="bottom"/>
            <w:tcBorders>
              <w:right w:val="single" w:sz="8" w:color="CCEEFF"/>
            </w:tcBorders>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97"/>
              </w:rPr>
              <w:t>2,345</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(577)</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rPr>
              <w:t>Interest rate swaps related to securitization entities</w:t>
            </w:r>
          </w:p>
        </w:tc>
        <w:tc>
          <w:tcPr>
            <w:tcW w:w="1280" w:type="dxa"/>
            <w:vAlign w:val="bottom"/>
            <w:gridSpan w:val="2"/>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tcPr>
          <w:p>
            <w:pPr>
              <w:spacing w:after="0"/>
              <w:rPr>
                <w:sz w:val="18"/>
                <w:szCs w:val="18"/>
                <w:color w:val="auto"/>
              </w:rPr>
            </w:pPr>
          </w:p>
        </w:tc>
        <w:tc>
          <w:tcPr>
            <w:tcW w:w="124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960" w:type="dxa"/>
            <w:vAlign w:val="bottom"/>
            <w:gridSpan w:val="2"/>
          </w:tcPr>
          <w:p>
            <w:pPr>
              <w:jc w:val="right"/>
              <w:ind w:right="500"/>
              <w:spacing w:after="0"/>
              <w:rPr>
                <w:sz w:val="20"/>
                <w:szCs w:val="20"/>
                <w:color w:val="auto"/>
              </w:rPr>
            </w:pPr>
            <w:r>
              <w:rPr>
                <w:rFonts w:ascii="Arial" w:cs="Arial" w:eastAsia="Arial" w:hAnsi="Arial"/>
                <w:sz w:val="18"/>
                <w:szCs w:val="18"/>
                <w:color w:val="auto"/>
              </w:rPr>
              <w:t>138</w:t>
            </w:r>
          </w:p>
        </w:tc>
        <w:tc>
          <w:tcPr>
            <w:tcW w:w="140" w:type="dxa"/>
            <w:vAlign w:val="bottom"/>
          </w:tcPr>
          <w:p>
            <w:pPr>
              <w:spacing w:after="0"/>
              <w:rPr>
                <w:sz w:val="18"/>
                <w:szCs w:val="18"/>
                <w:color w:val="auto"/>
              </w:rPr>
            </w:pPr>
          </w:p>
        </w:tc>
        <w:tc>
          <w:tcPr>
            <w:tcW w:w="1200" w:type="dxa"/>
            <w:vAlign w:val="bottom"/>
            <w:gridSpan w:val="2"/>
          </w:tcPr>
          <w:p>
            <w:pPr>
              <w:jc w:val="right"/>
              <w:ind w:right="540"/>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Interest rate swaptions</w:t>
            </w:r>
          </w:p>
        </w:tc>
        <w:tc>
          <w:tcPr>
            <w:tcW w:w="128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5,100</w:t>
            </w:r>
          </w:p>
        </w:tc>
        <w:tc>
          <w:tcPr>
            <w:tcW w:w="120" w:type="dxa"/>
            <w:vAlign w:val="bottom"/>
            <w:shd w:val="clear" w:color="auto" w:fill="CCEEFF"/>
          </w:tcPr>
          <w:p>
            <w:pPr>
              <w:spacing w:after="0"/>
              <w:rPr>
                <w:sz w:val="18"/>
                <w:szCs w:val="18"/>
                <w:color w:val="auto"/>
              </w:rPr>
            </w:pPr>
          </w:p>
        </w:tc>
        <w:tc>
          <w:tcPr>
            <w:tcW w:w="960" w:type="dxa"/>
            <w:vAlign w:val="bottom"/>
            <w:tcBorders>
              <w:right w:val="single" w:sz="8" w:color="CCEEFF"/>
            </w:tcBorders>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200</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(5,100)</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rPr>
              <w:t>Credit default swaps</w:t>
            </w:r>
          </w:p>
        </w:tc>
        <w:tc>
          <w:tcPr>
            <w:tcW w:w="1280" w:type="dxa"/>
            <w:vAlign w:val="bottom"/>
            <w:gridSpan w:val="2"/>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tcPr>
          <w:p>
            <w:pPr>
              <w:spacing w:after="0"/>
              <w:rPr>
                <w:sz w:val="18"/>
                <w:szCs w:val="18"/>
                <w:color w:val="auto"/>
              </w:rPr>
            </w:pPr>
          </w:p>
        </w:tc>
        <w:tc>
          <w:tcPr>
            <w:tcW w:w="1240" w:type="dxa"/>
            <w:vAlign w:val="bottom"/>
            <w:gridSpan w:val="2"/>
          </w:tcPr>
          <w:p>
            <w:pPr>
              <w:jc w:val="right"/>
              <w:ind w:right="480"/>
              <w:spacing w:after="0"/>
              <w:rPr>
                <w:sz w:val="20"/>
                <w:szCs w:val="20"/>
                <w:color w:val="auto"/>
              </w:rPr>
            </w:pPr>
            <w:r>
              <w:rPr>
                <w:rFonts w:ascii="Arial" w:cs="Arial" w:eastAsia="Arial" w:hAnsi="Arial"/>
                <w:sz w:val="18"/>
                <w:szCs w:val="18"/>
                <w:color w:val="auto"/>
              </w:rPr>
              <w:t>1,090</w:t>
            </w:r>
          </w:p>
        </w:tc>
        <w:tc>
          <w:tcPr>
            <w:tcW w:w="120" w:type="dxa"/>
            <w:vAlign w:val="bottom"/>
          </w:tcPr>
          <w:p>
            <w:pPr>
              <w:spacing w:after="0"/>
              <w:rPr>
                <w:sz w:val="18"/>
                <w:szCs w:val="18"/>
                <w:color w:val="auto"/>
              </w:rPr>
            </w:pPr>
          </w:p>
        </w:tc>
        <w:tc>
          <w:tcPr>
            <w:tcW w:w="960" w:type="dxa"/>
            <w:vAlign w:val="bottom"/>
            <w:gridSpan w:val="2"/>
          </w:tcPr>
          <w:p>
            <w:pPr>
              <w:jc w:val="right"/>
              <w:ind w:right="500"/>
              <w:spacing w:after="0"/>
              <w:rPr>
                <w:sz w:val="20"/>
                <w:szCs w:val="20"/>
                <w:color w:val="auto"/>
              </w:rPr>
            </w:pPr>
            <w:r>
              <w:rPr>
                <w:rFonts w:ascii="Arial" w:cs="Arial" w:eastAsia="Arial" w:hAnsi="Arial"/>
                <w:sz w:val="18"/>
                <w:szCs w:val="18"/>
                <w:color w:val="auto"/>
              </w:rPr>
              <w:t>50</w:t>
            </w:r>
          </w:p>
        </w:tc>
        <w:tc>
          <w:tcPr>
            <w:tcW w:w="140" w:type="dxa"/>
            <w:vAlign w:val="bottom"/>
          </w:tcPr>
          <w:p>
            <w:pPr>
              <w:spacing w:after="0"/>
              <w:rPr>
                <w:sz w:val="18"/>
                <w:szCs w:val="18"/>
                <w:color w:val="auto"/>
              </w:rPr>
            </w:pPr>
          </w:p>
        </w:tc>
        <w:tc>
          <w:tcPr>
            <w:tcW w:w="120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Credit default swaps related to securitization entities</w:t>
            </w:r>
          </w:p>
        </w:tc>
        <w:tc>
          <w:tcPr>
            <w:tcW w:w="128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60" w:type="dxa"/>
            <w:vAlign w:val="bottom"/>
            <w:tcBorders>
              <w:right w:val="single" w:sz="8" w:color="CCEEFF"/>
            </w:tcBorders>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322</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rPr>
              <w:t>Equity index options</w:t>
            </w:r>
          </w:p>
        </w:tc>
        <w:tc>
          <w:tcPr>
            <w:tcW w:w="1280" w:type="dxa"/>
            <w:vAlign w:val="bottom"/>
            <w:gridSpan w:val="2"/>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tcPr>
          <w:p>
            <w:pPr>
              <w:spacing w:after="0"/>
              <w:rPr>
                <w:sz w:val="18"/>
                <w:szCs w:val="18"/>
                <w:color w:val="auto"/>
              </w:rPr>
            </w:pPr>
          </w:p>
        </w:tc>
        <w:tc>
          <w:tcPr>
            <w:tcW w:w="1240" w:type="dxa"/>
            <w:vAlign w:val="bottom"/>
            <w:gridSpan w:val="2"/>
          </w:tcPr>
          <w:p>
            <w:pPr>
              <w:jc w:val="right"/>
              <w:ind w:right="480"/>
              <w:spacing w:after="0"/>
              <w:rPr>
                <w:sz w:val="20"/>
                <w:szCs w:val="20"/>
                <w:color w:val="auto"/>
              </w:rPr>
            </w:pPr>
            <w:r>
              <w:rPr>
                <w:rFonts w:ascii="Arial" w:cs="Arial" w:eastAsia="Arial" w:hAnsi="Arial"/>
                <w:sz w:val="18"/>
                <w:szCs w:val="18"/>
                <w:color w:val="auto"/>
              </w:rPr>
              <w:t>912</w:t>
            </w:r>
          </w:p>
        </w:tc>
        <w:tc>
          <w:tcPr>
            <w:tcW w:w="120" w:type="dxa"/>
            <w:vAlign w:val="bottom"/>
          </w:tcPr>
          <w:p>
            <w:pPr>
              <w:spacing w:after="0"/>
              <w:rPr>
                <w:sz w:val="18"/>
                <w:szCs w:val="18"/>
                <w:color w:val="auto"/>
              </w:rPr>
            </w:pPr>
          </w:p>
        </w:tc>
        <w:tc>
          <w:tcPr>
            <w:tcW w:w="960" w:type="dxa"/>
            <w:vAlign w:val="bottom"/>
            <w:gridSpan w:val="2"/>
          </w:tcPr>
          <w:p>
            <w:pPr>
              <w:jc w:val="right"/>
              <w:ind w:right="500"/>
              <w:spacing w:after="0"/>
              <w:rPr>
                <w:sz w:val="20"/>
                <w:szCs w:val="20"/>
                <w:color w:val="auto"/>
              </w:rPr>
            </w:pPr>
            <w:r>
              <w:rPr>
                <w:rFonts w:ascii="Arial" w:cs="Arial" w:eastAsia="Arial" w:hAnsi="Arial"/>
                <w:sz w:val="18"/>
                <w:szCs w:val="18"/>
                <w:color w:val="auto"/>
              </w:rPr>
              <w:t>397</w:t>
            </w:r>
          </w:p>
        </w:tc>
        <w:tc>
          <w:tcPr>
            <w:tcW w:w="140" w:type="dxa"/>
            <w:vAlign w:val="bottom"/>
          </w:tcPr>
          <w:p>
            <w:pPr>
              <w:spacing w:after="0"/>
              <w:rPr>
                <w:sz w:val="18"/>
                <w:szCs w:val="18"/>
                <w:color w:val="auto"/>
              </w:rPr>
            </w:pPr>
          </w:p>
        </w:tc>
        <w:tc>
          <w:tcPr>
            <w:tcW w:w="1200" w:type="dxa"/>
            <w:vAlign w:val="bottom"/>
            <w:gridSpan w:val="2"/>
          </w:tcPr>
          <w:p>
            <w:pPr>
              <w:jc w:val="right"/>
              <w:ind w:right="540"/>
              <w:spacing w:after="0"/>
              <w:rPr>
                <w:sz w:val="20"/>
                <w:szCs w:val="20"/>
                <w:color w:val="auto"/>
              </w:rPr>
            </w:pPr>
            <w:r>
              <w:rPr>
                <w:rFonts w:ascii="Arial" w:cs="Arial" w:eastAsia="Arial" w:hAnsi="Arial"/>
                <w:sz w:val="18"/>
                <w:szCs w:val="18"/>
                <w:color w:val="auto"/>
              </w:rPr>
              <w:t>(614)</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695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Financial futures</w:t>
            </w:r>
          </w:p>
        </w:tc>
        <w:tc>
          <w:tcPr>
            <w:tcW w:w="128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5,822</w:t>
            </w:r>
          </w:p>
        </w:tc>
        <w:tc>
          <w:tcPr>
            <w:tcW w:w="120" w:type="dxa"/>
            <w:vAlign w:val="bottom"/>
            <w:shd w:val="clear" w:color="auto" w:fill="CCEEFF"/>
          </w:tcPr>
          <w:p>
            <w:pPr>
              <w:spacing w:after="0"/>
              <w:rPr>
                <w:sz w:val="18"/>
                <w:szCs w:val="18"/>
                <w:color w:val="auto"/>
              </w:rPr>
            </w:pPr>
          </w:p>
        </w:tc>
        <w:tc>
          <w:tcPr>
            <w:tcW w:w="960" w:type="dxa"/>
            <w:vAlign w:val="bottom"/>
            <w:tcBorders>
              <w:right w:val="single" w:sz="8" w:color="CCEEFF"/>
            </w:tcBorders>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97"/>
              </w:rPr>
              <w:t>3,696</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(5,019)</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4,499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rPr>
              <w:t>Other foreign currency contracts</w:t>
            </w:r>
          </w:p>
        </w:tc>
        <w:tc>
          <w:tcPr>
            <w:tcW w:w="1280" w:type="dxa"/>
            <w:vAlign w:val="bottom"/>
            <w:gridSpan w:val="2"/>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tcPr>
          <w:p>
            <w:pPr>
              <w:spacing w:after="0"/>
              <w:rPr>
                <w:sz w:val="18"/>
                <w:szCs w:val="18"/>
                <w:color w:val="auto"/>
              </w:rPr>
            </w:pPr>
          </w:p>
        </w:tc>
        <w:tc>
          <w:tcPr>
            <w:tcW w:w="1240" w:type="dxa"/>
            <w:vAlign w:val="bottom"/>
            <w:gridSpan w:val="2"/>
          </w:tcPr>
          <w:p>
            <w:pPr>
              <w:jc w:val="right"/>
              <w:ind w:right="480"/>
              <w:spacing w:after="0"/>
              <w:rPr>
                <w:sz w:val="20"/>
                <w:szCs w:val="20"/>
                <w:color w:val="auto"/>
              </w:rPr>
            </w:pPr>
            <w:r>
              <w:rPr>
                <w:rFonts w:ascii="Arial" w:cs="Arial" w:eastAsia="Arial" w:hAnsi="Arial"/>
                <w:sz w:val="18"/>
                <w:szCs w:val="18"/>
                <w:color w:val="auto"/>
              </w:rPr>
              <w:t>521</w:t>
            </w:r>
          </w:p>
        </w:tc>
        <w:tc>
          <w:tcPr>
            <w:tcW w:w="120" w:type="dxa"/>
            <w:vAlign w:val="bottom"/>
          </w:tcPr>
          <w:p>
            <w:pPr>
              <w:spacing w:after="0"/>
              <w:rPr>
                <w:sz w:val="18"/>
                <w:szCs w:val="18"/>
                <w:color w:val="auto"/>
              </w:rPr>
            </w:pPr>
          </w:p>
        </w:tc>
        <w:tc>
          <w:tcPr>
            <w:tcW w:w="960" w:type="dxa"/>
            <w:vAlign w:val="bottom"/>
            <w:gridSpan w:val="2"/>
          </w:tcPr>
          <w:p>
            <w:pPr>
              <w:jc w:val="right"/>
              <w:ind w:right="500"/>
              <w:spacing w:after="0"/>
              <w:rPr>
                <w:sz w:val="20"/>
                <w:szCs w:val="20"/>
                <w:color w:val="auto"/>
              </w:rPr>
            </w:pPr>
            <w:r>
              <w:rPr>
                <w:rFonts w:ascii="Arial" w:cs="Arial" w:eastAsia="Arial" w:hAnsi="Arial"/>
                <w:sz w:val="18"/>
                <w:szCs w:val="18"/>
                <w:color w:val="auto"/>
              </w:rPr>
              <w:t>73</w:t>
            </w:r>
          </w:p>
        </w:tc>
        <w:tc>
          <w:tcPr>
            <w:tcW w:w="140" w:type="dxa"/>
            <w:vAlign w:val="bottom"/>
          </w:tcPr>
          <w:p>
            <w:pPr>
              <w:spacing w:after="0"/>
              <w:rPr>
                <w:sz w:val="18"/>
                <w:szCs w:val="18"/>
                <w:color w:val="auto"/>
              </w:rPr>
            </w:pPr>
          </w:p>
        </w:tc>
        <w:tc>
          <w:tcPr>
            <w:tcW w:w="120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Reinsurance embedded derivatives</w:t>
            </w:r>
          </w:p>
        </w:tc>
        <w:tc>
          <w:tcPr>
            <w:tcW w:w="1280" w:type="dxa"/>
            <w:vAlign w:val="bottom"/>
            <w:tcBorders>
              <w:right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Notional</w:t>
            </w:r>
          </w:p>
        </w:tc>
        <w:tc>
          <w:tcPr>
            <w:tcW w:w="3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54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Total derivatives not designated as hedges</w:t>
            </w:r>
          </w:p>
        </w:tc>
        <w:tc>
          <w:tcPr>
            <w:tcW w:w="7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19,919</w:t>
            </w: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97"/>
              </w:rPr>
              <w:t>7,268</w:t>
            </w: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0" w:type="dxa"/>
            <w:vAlign w:val="bottom"/>
            <w:gridSpan w:val="2"/>
          </w:tcPr>
          <w:p>
            <w:pPr>
              <w:jc w:val="right"/>
              <w:ind w:right="540"/>
              <w:spacing w:after="0"/>
              <w:rPr>
                <w:sz w:val="20"/>
                <w:szCs w:val="20"/>
                <w:color w:val="auto"/>
              </w:rPr>
            </w:pPr>
            <w:r>
              <w:rPr>
                <w:rFonts w:ascii="Arial" w:cs="Arial" w:eastAsia="Arial" w:hAnsi="Arial"/>
                <w:sz w:val="18"/>
                <w:szCs w:val="18"/>
                <w:color w:val="auto"/>
                <w:w w:val="95"/>
              </w:rPr>
              <w:t>(11,318)</w:t>
            </w:r>
          </w:p>
        </w:tc>
        <w:tc>
          <w:tcPr>
            <w:tcW w:w="200" w:type="dxa"/>
            <w:vAlign w:val="bottom"/>
          </w:tcPr>
          <w:p>
            <w:pPr>
              <w:spacing w:after="0"/>
              <w:rPr>
                <w:sz w:val="19"/>
                <w:szCs w:val="19"/>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15,869</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80" w:type="dxa"/>
            <w:vAlign w:val="bottom"/>
          </w:tcPr>
          <w:p>
            <w:pPr>
              <w:spacing w:after="0"/>
              <w:rPr>
                <w:sz w:val="2"/>
                <w:szCs w:val="2"/>
                <w:color w:val="auto"/>
              </w:rPr>
            </w:pPr>
          </w:p>
        </w:tc>
        <w:tc>
          <w:tcPr>
            <w:tcW w:w="7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520" w:type="dxa"/>
            <w:vAlign w:val="bottom"/>
            <w:tcBorders>
              <w:left w:val="single" w:sz="8" w:color="auto"/>
            </w:tcBorders>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540" w:type="dxa"/>
            <w:vAlign w:val="bottom"/>
            <w:tcBorders>
              <w:left w:val="single" w:sz="8" w:color="auto"/>
            </w:tcBorders>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Borders>
              <w:right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rPr>
              <w:t>Total derivatives</w:t>
            </w:r>
          </w:p>
        </w:tc>
        <w:tc>
          <w:tcPr>
            <w:tcW w:w="760" w:type="dxa"/>
            <w:vAlign w:val="bottom"/>
            <w:shd w:val="clear" w:color="auto" w:fill="CCEEFF"/>
          </w:tcPr>
          <w:p>
            <w:pPr>
              <w:spacing w:after="0"/>
              <w:rPr>
                <w:sz w:val="18"/>
                <w:szCs w:val="18"/>
                <w:color w:val="auto"/>
              </w:rPr>
            </w:pP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32,716</w:t>
            </w: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8,807</w:t>
            </w:r>
          </w:p>
        </w:tc>
        <w:tc>
          <w:tcPr>
            <w:tcW w:w="54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5"/>
              </w:rPr>
              <w:t>(11,669)</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29,854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60" w:type="dxa"/>
            <w:vAlign w:val="bottom"/>
            <w:gridSpan w:val="2"/>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60" w:type="dxa"/>
            <w:vAlign w:val="bottom"/>
            <w:tcBorders>
              <w:top w:val="single" w:sz="8" w:color="auto"/>
              <w:bottom w:val="single" w:sz="8" w:color="auto"/>
            </w:tcBorders>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5340" w:type="dxa"/>
            <w:vAlign w:val="bottom"/>
            <w:gridSpan w:val="3"/>
          </w:tcPr>
          <w:p>
            <w:pPr>
              <w:spacing w:after="0"/>
              <w:rPr>
                <w:sz w:val="20"/>
                <w:szCs w:val="20"/>
                <w:color w:val="auto"/>
              </w:rPr>
            </w:pPr>
            <w:r>
              <w:rPr>
                <w:rFonts w:ascii="Arial" w:cs="Arial" w:eastAsia="Arial" w:hAnsi="Arial"/>
                <w:sz w:val="14"/>
                <w:szCs w:val="14"/>
                <w:b w:val="1"/>
                <w:bCs w:val="1"/>
                <w:color w:val="auto"/>
              </w:rPr>
              <w:t>(Number of policies)</w:t>
            </w:r>
          </w:p>
        </w:tc>
        <w:tc>
          <w:tcPr>
            <w:tcW w:w="128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w w:val="81"/>
              </w:rPr>
              <w:t>Measurement</w:t>
            </w:r>
          </w:p>
        </w:tc>
        <w:tc>
          <w:tcPr>
            <w:tcW w:w="1580" w:type="dxa"/>
            <w:vAlign w:val="bottom"/>
            <w:gridSpan w:val="3"/>
          </w:tcPr>
          <w:p>
            <w:pPr>
              <w:jc w:val="right"/>
              <w:ind w:right="520"/>
              <w:spacing w:after="0"/>
              <w:rPr>
                <w:sz w:val="20"/>
                <w:szCs w:val="20"/>
                <w:color w:val="auto"/>
              </w:rPr>
            </w:pPr>
            <w:r>
              <w:rPr>
                <w:rFonts w:ascii="Arial" w:cs="Arial" w:eastAsia="Arial" w:hAnsi="Arial"/>
                <w:sz w:val="14"/>
                <w:szCs w:val="14"/>
                <w:b w:val="1"/>
                <w:bCs w:val="1"/>
                <w:color w:val="auto"/>
                <w:w w:val="82"/>
              </w:rPr>
              <w:t>December 31, 2009</w:t>
            </w:r>
          </w:p>
        </w:tc>
        <w:tc>
          <w:tcPr>
            <w:tcW w:w="1080" w:type="dxa"/>
            <w:vAlign w:val="bottom"/>
            <w:gridSpan w:val="3"/>
          </w:tcPr>
          <w:p>
            <w:pPr>
              <w:jc w:val="right"/>
              <w:ind w:right="540"/>
              <w:spacing w:after="0"/>
              <w:rPr>
                <w:sz w:val="20"/>
                <w:szCs w:val="20"/>
                <w:color w:val="auto"/>
              </w:rPr>
            </w:pPr>
            <w:r>
              <w:rPr>
                <w:rFonts w:ascii="Arial" w:cs="Arial" w:eastAsia="Arial" w:hAnsi="Arial"/>
                <w:sz w:val="14"/>
                <w:szCs w:val="14"/>
                <w:b w:val="1"/>
                <w:bCs w:val="1"/>
                <w:color w:val="auto"/>
                <w:w w:val="80"/>
              </w:rPr>
              <w:t>Additions</w:t>
            </w:r>
          </w:p>
        </w:tc>
        <w:tc>
          <w:tcPr>
            <w:tcW w:w="1340" w:type="dxa"/>
            <w:vAlign w:val="bottom"/>
            <w:gridSpan w:val="3"/>
          </w:tcPr>
          <w:p>
            <w:pPr>
              <w:jc w:val="right"/>
              <w:ind w:right="600"/>
              <w:spacing w:after="0"/>
              <w:rPr>
                <w:sz w:val="20"/>
                <w:szCs w:val="20"/>
                <w:color w:val="auto"/>
              </w:rPr>
            </w:pPr>
            <w:r>
              <w:rPr>
                <w:rFonts w:ascii="Arial" w:cs="Arial" w:eastAsia="Arial" w:hAnsi="Arial"/>
                <w:sz w:val="14"/>
                <w:szCs w:val="14"/>
                <w:b w:val="1"/>
                <w:bCs w:val="1"/>
                <w:color w:val="auto"/>
                <w:w w:val="81"/>
              </w:rPr>
              <w:t>Terminations</w:t>
            </w:r>
          </w:p>
        </w:tc>
        <w:tc>
          <w:tcPr>
            <w:tcW w:w="820" w:type="dxa"/>
            <w:vAlign w:val="bottom"/>
            <w:gridSpan w:val="3"/>
          </w:tcPr>
          <w:p>
            <w:pPr>
              <w:spacing w:after="0"/>
              <w:rPr>
                <w:sz w:val="20"/>
                <w:szCs w:val="20"/>
                <w:color w:val="auto"/>
              </w:rPr>
            </w:pPr>
            <w:r>
              <w:rPr>
                <w:rFonts w:ascii="Arial" w:cs="Arial" w:eastAsia="Arial" w:hAnsi="Arial"/>
                <w:sz w:val="14"/>
                <w:szCs w:val="14"/>
                <w:b w:val="1"/>
                <w:bCs w:val="1"/>
                <w:color w:val="auto"/>
                <w:w w:val="87"/>
              </w:rPr>
              <w:t>June 30, 2010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4080" w:type="dxa"/>
            <w:vAlign w:val="bottom"/>
            <w:tcBorders>
              <w:right w:val="single" w:sz="8" w:color="auto"/>
            </w:tcBorders>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40" w:type="dxa"/>
            <w:vAlign w:val="bottom"/>
            <w:tcBorders>
              <w:right w:val="single" w:sz="8" w:color="auto"/>
            </w:tcBorders>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2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Derivatives not designated as hedges</w:t>
            </w:r>
          </w:p>
        </w:tc>
        <w:tc>
          <w:tcPr>
            <w:tcW w:w="760" w:type="dxa"/>
            <w:vAlign w:val="bottom"/>
            <w:shd w:val="clear" w:color="auto" w:fill="CCEEFF"/>
          </w:tcPr>
          <w:p>
            <w:pPr>
              <w:spacing w:after="0"/>
              <w:rPr>
                <w:sz w:val="18"/>
                <w:szCs w:val="18"/>
                <w:color w:val="auto"/>
              </w:rPr>
            </w:pP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2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540" w:type="dxa"/>
            <w:vAlign w:val="bottom"/>
            <w:tcBorders>
              <w:left w:val="single" w:sz="8" w:color="CCEEFF"/>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rPr>
              <w:t>GMWB embedded derivatives</w:t>
            </w:r>
          </w:p>
        </w:tc>
        <w:tc>
          <w:tcPr>
            <w:tcW w:w="1280" w:type="dxa"/>
            <w:vAlign w:val="bottom"/>
            <w:gridSpan w:val="2"/>
          </w:tcPr>
          <w:p>
            <w:pPr>
              <w:jc w:val="right"/>
              <w:ind w:right="520"/>
              <w:spacing w:after="0"/>
              <w:rPr>
                <w:sz w:val="20"/>
                <w:szCs w:val="20"/>
                <w:color w:val="auto"/>
              </w:rPr>
            </w:pPr>
            <w:r>
              <w:rPr>
                <w:rFonts w:ascii="Arial" w:cs="Arial" w:eastAsia="Arial" w:hAnsi="Arial"/>
                <w:sz w:val="18"/>
                <w:szCs w:val="18"/>
                <w:color w:val="auto"/>
              </w:rPr>
              <w:t>Policies</w:t>
            </w:r>
          </w:p>
        </w:tc>
        <w:tc>
          <w:tcPr>
            <w:tcW w:w="34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47,543</w:t>
            </w: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2,244</w:t>
            </w: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0" w:type="dxa"/>
            <w:vAlign w:val="bottom"/>
            <w:gridSpan w:val="2"/>
          </w:tcPr>
          <w:p>
            <w:pPr>
              <w:jc w:val="right"/>
              <w:ind w:right="540"/>
              <w:spacing w:after="0"/>
              <w:rPr>
                <w:sz w:val="20"/>
                <w:szCs w:val="20"/>
                <w:color w:val="auto"/>
              </w:rPr>
            </w:pPr>
            <w:r>
              <w:rPr>
                <w:rFonts w:ascii="Arial" w:cs="Arial" w:eastAsia="Arial" w:hAnsi="Arial"/>
                <w:sz w:val="18"/>
                <w:szCs w:val="18"/>
                <w:color w:val="auto"/>
              </w:rPr>
              <w:t>(1,445)</w:t>
            </w:r>
          </w:p>
        </w:tc>
        <w:tc>
          <w:tcPr>
            <w:tcW w:w="2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48,342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4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The decrease in the notional value of derivatives was primarily attributable to a $3.1 billion notional decrease in swaps and swaptions related to a derivative strategy to mitigate interest rate risk associated with our statutory capital position, a $1.4 billion notional decrease in non-qualifying futures used for duration management related to our long-term care insurance and deferred annuity products and a $0.6 billion notional decrease in non-qualifying futures and interest rate swaps related to our institutional products. The decreases were partially offset by a $1.6 billion notional increase in qualifying and non-qualifying cash flow hedges related to our interest rate hedging strategy associated with our long-term care insurance products, a $0.5 billion notional increase in credit default swaps and interest rate swaps related to securitization entities and a $0.2 billion notional increase in inflation indexed swaps.</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125</w:t>
      </w:r>
    </w:p>
    <w:p>
      <w:pPr>
        <w:sectPr>
          <w:pgSz w:w="11900" w:h="16838" w:orient="portrait"/>
          <w:cols w:equalWidth="0" w:num="1">
            <w:col w:w="11420"/>
          </w:cols>
          <w:pgMar w:left="240" w:top="459" w:right="239" w:bottom="1440" w:gutter="0" w:footer="0" w:header="0"/>
        </w:sectPr>
      </w:pPr>
    </w:p>
    <w:bookmarkStart w:id="125" w:name="page126"/>
    <w:bookmarkEnd w:id="1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Balance Sheets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Total assets</w:t>
      </w:r>
      <w:r>
        <w:rPr>
          <w:rFonts w:ascii="Arial" w:cs="Arial" w:eastAsia="Arial" w:hAnsi="Arial"/>
          <w:sz w:val="18"/>
          <w:szCs w:val="18"/>
          <w:color w:val="auto"/>
        </w:rPr>
        <w:t>. Total assets increased $2.2 billion from $108.2 billion as of December 31, 2009 to $110.4 billion as of June 30, 2010.</w:t>
      </w:r>
    </w:p>
    <w:p>
      <w:pPr>
        <w:spacing w:after="0" w:line="90" w:lineRule="exact"/>
        <w:rPr>
          <w:sz w:val="20"/>
          <w:szCs w:val="20"/>
          <w:color w:val="auto"/>
        </w:rPr>
      </w:pPr>
    </w:p>
    <w:p>
      <w:pPr>
        <w:ind w:left="900" w:hanging="325"/>
        <w:spacing w:after="0" w:line="290" w:lineRule="auto"/>
        <w:tabs>
          <w:tab w:leader="none" w:pos="900" w:val="left"/>
        </w:tabs>
        <w:numPr>
          <w:ilvl w:val="0"/>
          <w:numId w:val="119"/>
        </w:numPr>
        <w:rPr>
          <w:rFonts w:ascii="Arial" w:cs="Arial" w:eastAsia="Arial" w:hAnsi="Arial"/>
          <w:sz w:val="16"/>
          <w:szCs w:val="16"/>
          <w:color w:val="auto"/>
        </w:rPr>
      </w:pPr>
      <w:r>
        <w:rPr>
          <w:rFonts w:ascii="Arial" w:cs="Arial" w:eastAsia="Arial" w:hAnsi="Arial"/>
          <w:sz w:val="16"/>
          <w:szCs w:val="16"/>
          <w:color w:val="auto"/>
        </w:rPr>
        <w:t>Cash, cash equivalents and invested assets increased $3.3 billion primarily from an increase of $3.6 billion in our fixed maturity securities portfolio resulting primarily from improved market performance and an increase in purchases of fixed maturity securities. Also contributing to the increase was an increase of $0.9 billion in restricted commercial mortgage loans and other invested assets from the consolidation of certain securitization entities as of January 1, 2010. Partially offsetting these increases was a decrease in other invested assets of $0.7 billion primarily driven by a decrease in short-term investments and securities lending, partially offset by an increase in derivatives and derivatives counterparty collateral. Also contributing to the decrease was a decrease of $0.4 billion in cash and cash equivalents as the net proceeds from the U.S. and Canadian senior note issuances in the second quarter of 2010 were more than offset by purchases of fixed maturity securities.</w:t>
      </w:r>
    </w:p>
    <w:p>
      <w:pPr>
        <w:spacing w:after="0" w:line="37" w:lineRule="exact"/>
        <w:rPr>
          <w:rFonts w:ascii="Arial" w:cs="Arial" w:eastAsia="Arial" w:hAnsi="Arial"/>
          <w:sz w:val="16"/>
          <w:szCs w:val="16"/>
          <w:color w:val="auto"/>
        </w:rPr>
      </w:pPr>
    </w:p>
    <w:p>
      <w:pPr>
        <w:ind w:left="900" w:hanging="325"/>
        <w:spacing w:after="0"/>
        <w:tabs>
          <w:tab w:leader="none" w:pos="90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Separate account assets decreased $0.7 billion primarily as a result of unfavorable market performance of the underlying securities.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Total liabilities</w:t>
      </w:r>
      <w:r>
        <w:rPr>
          <w:rFonts w:ascii="Arial" w:cs="Arial" w:eastAsia="Arial" w:hAnsi="Arial"/>
          <w:sz w:val="18"/>
          <w:szCs w:val="18"/>
          <w:color w:val="auto"/>
        </w:rPr>
        <w:t>. Total liabilities increased $0.5 billion from $94.8 billion as of December 31, 2009 to $95.3 billion as of June 30, 2010.</w:t>
      </w:r>
    </w:p>
    <w:p>
      <w:pPr>
        <w:spacing w:after="0" w:line="90" w:lineRule="exact"/>
        <w:rPr>
          <w:sz w:val="20"/>
          <w:szCs w:val="20"/>
          <w:color w:val="auto"/>
        </w:rPr>
      </w:pPr>
    </w:p>
    <w:p>
      <w:pPr>
        <w:ind w:left="900" w:right="20" w:hanging="325"/>
        <w:spacing w:after="0" w:line="291" w:lineRule="auto"/>
        <w:tabs>
          <w:tab w:leader="none" w:pos="900" w:val="left"/>
        </w:tabs>
        <w:numPr>
          <w:ilvl w:val="0"/>
          <w:numId w:val="120"/>
        </w:numPr>
        <w:rPr>
          <w:rFonts w:ascii="Arial" w:cs="Arial" w:eastAsia="Arial" w:hAnsi="Arial"/>
          <w:sz w:val="16"/>
          <w:szCs w:val="16"/>
          <w:color w:val="auto"/>
        </w:rPr>
      </w:pPr>
      <w:r>
        <w:rPr>
          <w:rFonts w:ascii="Arial" w:cs="Arial" w:eastAsia="Arial" w:hAnsi="Arial"/>
          <w:sz w:val="16"/>
          <w:szCs w:val="16"/>
          <w:color w:val="auto"/>
        </w:rPr>
        <w:t>Our policyholder-related liabilities decreased $0.4 billion largely attributable to a decrease in reserves associated with our retirement income business from benefit payments and scheduled maturities of our spread-based products and a decrease in our U.S. mortgage insurance business primarily from settlements and a decline in delinquencies in 2010. Unearned premiums decreased in our international mortgage insurance business primarily attributable to seasoning and in our lifestyle protection insurance business from a decline in sales. These decreases were partially offset by an increase in reserves related to our long-term care insurance business from growth of our in-force block and an increase in our retirement income business from an increase in fee-based product sales.</w:t>
      </w:r>
    </w:p>
    <w:p>
      <w:pPr>
        <w:spacing w:after="0" w:line="39" w:lineRule="exact"/>
        <w:rPr>
          <w:rFonts w:ascii="Arial" w:cs="Arial" w:eastAsia="Arial" w:hAnsi="Arial"/>
          <w:sz w:val="16"/>
          <w:szCs w:val="16"/>
          <w:color w:val="auto"/>
        </w:rPr>
      </w:pPr>
    </w:p>
    <w:p>
      <w:pPr>
        <w:ind w:left="900" w:hanging="325"/>
        <w:spacing w:after="0"/>
        <w:tabs>
          <w:tab w:leader="none" w:pos="900" w:val="left"/>
        </w:tabs>
        <w:numPr>
          <w:ilvl w:val="0"/>
          <w:numId w:val="120"/>
        </w:numPr>
        <w:rPr>
          <w:rFonts w:ascii="Arial" w:cs="Arial" w:eastAsia="Arial" w:hAnsi="Arial"/>
          <w:sz w:val="16"/>
          <w:szCs w:val="16"/>
          <w:color w:val="auto"/>
        </w:rPr>
      </w:pPr>
      <w:r>
        <w:rPr>
          <w:rFonts w:ascii="Arial" w:cs="Arial" w:eastAsia="Arial" w:hAnsi="Arial"/>
          <w:sz w:val="16"/>
          <w:szCs w:val="16"/>
          <w:color w:val="auto"/>
        </w:rPr>
        <w:t>Borrowings related to securitization entities increased $0.5 billion from the consolidation of certain securitization entities as of January 1, 2010.</w:t>
      </w:r>
    </w:p>
    <w:p>
      <w:pPr>
        <w:spacing w:after="0" w:line="113" w:lineRule="exact"/>
        <w:rPr>
          <w:rFonts w:ascii="Arial" w:cs="Arial" w:eastAsia="Arial" w:hAnsi="Arial"/>
          <w:sz w:val="16"/>
          <w:szCs w:val="16"/>
          <w:color w:val="auto"/>
        </w:rPr>
      </w:pPr>
    </w:p>
    <w:p>
      <w:pPr>
        <w:jc w:val="both"/>
        <w:ind w:left="900" w:hanging="325"/>
        <w:spacing w:after="0" w:line="332" w:lineRule="auto"/>
        <w:tabs>
          <w:tab w:leader="none" w:pos="900" w:val="left"/>
        </w:tabs>
        <w:numPr>
          <w:ilvl w:val="0"/>
          <w:numId w:val="120"/>
        </w:numPr>
        <w:rPr>
          <w:rFonts w:ascii="Arial" w:cs="Arial" w:eastAsia="Arial" w:hAnsi="Arial"/>
          <w:sz w:val="16"/>
          <w:szCs w:val="16"/>
          <w:color w:val="auto"/>
        </w:rPr>
      </w:pPr>
      <w:r>
        <w:rPr>
          <w:rFonts w:ascii="Arial" w:cs="Arial" w:eastAsia="Arial" w:hAnsi="Arial"/>
          <w:sz w:val="16"/>
          <w:szCs w:val="16"/>
          <w:color w:val="auto"/>
        </w:rPr>
        <w:t>Long-term borrowings increased $0.7 billion from the issuance of $400 million of senior notes in the second quarter of 2010 and from the issuance of CDN$275 million of senior notes by our majority-owned subsidiary, Genworth MI Canada Inc. (“Genworth Canada”), in the second quarter of 2010.</w:t>
      </w:r>
    </w:p>
    <w:p>
      <w:pPr>
        <w:spacing w:after="0" w:line="4" w:lineRule="exact"/>
        <w:rPr>
          <w:rFonts w:ascii="Arial" w:cs="Arial" w:eastAsia="Arial" w:hAnsi="Arial"/>
          <w:sz w:val="16"/>
          <w:szCs w:val="16"/>
          <w:color w:val="auto"/>
        </w:rPr>
      </w:pPr>
    </w:p>
    <w:p>
      <w:pPr>
        <w:ind w:left="900" w:hanging="325"/>
        <w:spacing w:after="0"/>
        <w:tabs>
          <w:tab w:leader="none" w:pos="900" w:val="left"/>
        </w:tabs>
        <w:numPr>
          <w:ilvl w:val="0"/>
          <w:numId w:val="120"/>
        </w:numPr>
        <w:rPr>
          <w:rFonts w:ascii="Arial" w:cs="Arial" w:eastAsia="Arial" w:hAnsi="Arial"/>
          <w:sz w:val="16"/>
          <w:szCs w:val="16"/>
          <w:color w:val="auto"/>
        </w:rPr>
      </w:pPr>
      <w:r>
        <w:rPr>
          <w:rFonts w:ascii="Arial" w:cs="Arial" w:eastAsia="Arial" w:hAnsi="Arial"/>
          <w:sz w:val="16"/>
          <w:szCs w:val="16"/>
          <w:color w:val="auto"/>
        </w:rPr>
        <w:t>Separate account liabilities decreased $0.7 billion primarily as a result of unfavorable market performance of the underlying securities.</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Total stockholders’ equity</w:t>
      </w:r>
      <w:r>
        <w:rPr>
          <w:rFonts w:ascii="Arial" w:cs="Arial" w:eastAsia="Arial" w:hAnsi="Arial"/>
          <w:sz w:val="16"/>
          <w:szCs w:val="16"/>
          <w:color w:val="auto"/>
        </w:rPr>
        <w:t>. Total stockholders’ equity increased $1.6 billion from $13.4 billion as of December 31, 2009 to $15.0 billion as of June 30,</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2010.</w:t>
      </w:r>
    </w:p>
    <w:p>
      <w:pPr>
        <w:spacing w:after="0" w:line="84" w:lineRule="exact"/>
        <w:rPr>
          <w:sz w:val="20"/>
          <w:szCs w:val="20"/>
          <w:color w:val="auto"/>
        </w:rPr>
      </w:pPr>
    </w:p>
    <w:p>
      <w:pPr>
        <w:ind w:left="900" w:hanging="325"/>
        <w:spacing w:after="0"/>
        <w:tabs>
          <w:tab w:leader="none" w:pos="900" w:val="left"/>
        </w:tabs>
        <w:numPr>
          <w:ilvl w:val="0"/>
          <w:numId w:val="121"/>
        </w:numPr>
        <w:rPr>
          <w:rFonts w:ascii="Arial" w:cs="Arial" w:eastAsia="Arial" w:hAnsi="Arial"/>
          <w:sz w:val="16"/>
          <w:szCs w:val="16"/>
          <w:color w:val="auto"/>
        </w:rPr>
      </w:pPr>
      <w:r>
        <w:rPr>
          <w:rFonts w:ascii="Arial" w:cs="Arial" w:eastAsia="Arial" w:hAnsi="Arial"/>
          <w:sz w:val="16"/>
          <w:szCs w:val="16"/>
          <w:color w:val="auto"/>
        </w:rPr>
        <w:t>We reported net income available to Genworth Financial, Inc.’s common stockholders of $0.2 billion for the six months ended June 30, 2010.</w:t>
      </w:r>
    </w:p>
    <w:p>
      <w:pPr>
        <w:spacing w:after="0" w:line="113" w:lineRule="exact"/>
        <w:rPr>
          <w:rFonts w:ascii="Arial" w:cs="Arial" w:eastAsia="Arial" w:hAnsi="Arial"/>
          <w:sz w:val="16"/>
          <w:szCs w:val="16"/>
          <w:color w:val="auto"/>
        </w:rPr>
      </w:pPr>
    </w:p>
    <w:p>
      <w:pPr>
        <w:ind w:left="900" w:right="80" w:hanging="325"/>
        <w:spacing w:after="0" w:line="332" w:lineRule="auto"/>
        <w:tabs>
          <w:tab w:leader="none" w:pos="900" w:val="left"/>
        </w:tabs>
        <w:numPr>
          <w:ilvl w:val="0"/>
          <w:numId w:val="121"/>
        </w:numPr>
        <w:rPr>
          <w:rFonts w:ascii="Arial" w:cs="Arial" w:eastAsia="Arial" w:hAnsi="Arial"/>
          <w:sz w:val="16"/>
          <w:szCs w:val="16"/>
          <w:color w:val="auto"/>
        </w:rPr>
      </w:pPr>
      <w:r>
        <w:rPr>
          <w:rFonts w:ascii="Arial" w:cs="Arial" w:eastAsia="Arial" w:hAnsi="Arial"/>
          <w:sz w:val="16"/>
          <w:szCs w:val="16"/>
          <w:color w:val="auto"/>
        </w:rPr>
        <w:t>We recorded a cumulative effect adjustment that reduced retained earnings by $104 million with a partial offset to accumulated other comprehensive income (loss) of $91 million related to the consolidation of certain securitization entities as of January 1, 2010.</w:t>
      </w:r>
    </w:p>
    <w:p>
      <w:pPr>
        <w:spacing w:after="0" w:line="4" w:lineRule="exact"/>
        <w:rPr>
          <w:rFonts w:ascii="Arial" w:cs="Arial" w:eastAsia="Arial" w:hAnsi="Arial"/>
          <w:sz w:val="16"/>
          <w:szCs w:val="16"/>
          <w:color w:val="auto"/>
        </w:rPr>
      </w:pPr>
    </w:p>
    <w:p>
      <w:pPr>
        <w:ind w:left="900" w:right="140" w:hanging="325"/>
        <w:spacing w:after="0" w:line="306" w:lineRule="auto"/>
        <w:tabs>
          <w:tab w:leader="none" w:pos="900" w:val="left"/>
        </w:tabs>
        <w:numPr>
          <w:ilvl w:val="0"/>
          <w:numId w:val="121"/>
        </w:numPr>
        <w:rPr>
          <w:rFonts w:ascii="Arial" w:cs="Arial" w:eastAsia="Arial" w:hAnsi="Arial"/>
          <w:sz w:val="16"/>
          <w:szCs w:val="16"/>
          <w:color w:val="auto"/>
        </w:rPr>
      </w:pPr>
      <w:r>
        <w:rPr>
          <w:rFonts w:ascii="Arial" w:cs="Arial" w:eastAsia="Arial" w:hAnsi="Arial"/>
          <w:sz w:val="16"/>
          <w:szCs w:val="16"/>
          <w:color w:val="auto"/>
        </w:rPr>
        <w:t>We had accumulated other comprehensive income of $1.3 billion as of June 30, 2010 compared to accumulated other comprehensive loss of $0.2 billion as of December 31, 2009. The change in accumulated other comprehensive income was primarily attributable to a decrease of $1.4 billion in net unrealized investment losses from improved market performance during the first half of 2010.</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126</w:t>
      </w:r>
    </w:p>
    <w:p>
      <w:pPr>
        <w:sectPr>
          <w:pgSz w:w="11900" w:h="16838" w:orient="portrait"/>
          <w:cols w:equalWidth="0" w:num="1">
            <w:col w:w="11420"/>
          </w:cols>
          <w:pgMar w:left="240" w:top="459" w:right="239" w:bottom="1440" w:gutter="0" w:footer="0" w:header="0"/>
        </w:sectPr>
      </w:pPr>
    </w:p>
    <w:bookmarkStart w:id="126" w:name="page127"/>
    <w:bookmarkEnd w:id="1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96" w:lineRule="exact"/>
        <w:rPr>
          <w:sz w:val="20"/>
          <w:szCs w:val="20"/>
          <w:color w:val="auto"/>
        </w:rPr>
      </w:pPr>
    </w:p>
    <w:p>
      <w:pPr>
        <w:ind w:right="700" w:firstLine="456"/>
        <w:spacing w:after="0" w:line="268" w:lineRule="auto"/>
        <w:rPr>
          <w:sz w:val="20"/>
          <w:szCs w:val="20"/>
          <w:color w:val="auto"/>
        </w:rPr>
      </w:pPr>
      <w:r>
        <w:rPr>
          <w:rFonts w:ascii="Arial" w:cs="Arial" w:eastAsia="Arial" w:hAnsi="Arial"/>
          <w:sz w:val="18"/>
          <w:szCs w:val="18"/>
          <w:color w:val="auto"/>
        </w:rPr>
        <w:t>Liquidity and capital resources represent our overall financial strength and our ability to generate cash flows from our businesses, borrow funds at competitive rates and raise new capital to meet our operating and growth needs.</w:t>
      </w:r>
    </w:p>
    <w:p>
      <w:pPr>
        <w:spacing w:after="0" w:line="213"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Genworth Financial and subsidiaries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our condensed consolidated cash flows for the six months ended June 30:</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900" w:type="dxa"/>
            <w:vAlign w:val="bottom"/>
            <w:gridSpan w:val="3"/>
          </w:tcPr>
          <w:p>
            <w:pPr>
              <w:spacing w:after="0"/>
              <w:rPr>
                <w:sz w:val="20"/>
                <w:szCs w:val="20"/>
                <w:color w:val="auto"/>
              </w:rPr>
            </w:pPr>
            <w:r>
              <w:rPr>
                <w:rFonts w:ascii="Arial" w:cs="Arial" w:eastAsia="Arial" w:hAnsi="Arial"/>
                <w:sz w:val="14"/>
                <w:szCs w:val="14"/>
                <w:b w:val="1"/>
                <w:bCs w:val="1"/>
                <w:color w:val="auto"/>
              </w:rPr>
              <w:t>(Amounts in millions)</w:t>
            </w:r>
          </w:p>
        </w:tc>
        <w:tc>
          <w:tcPr>
            <w:tcW w:w="420" w:type="dxa"/>
            <w:vAlign w:val="bottom"/>
          </w:tcPr>
          <w:p>
            <w:pPr>
              <w:jc w:val="right"/>
              <w:spacing w:after="0"/>
              <w:rPr>
                <w:sz w:val="20"/>
                <w:szCs w:val="20"/>
                <w:color w:val="auto"/>
              </w:rPr>
            </w:pPr>
            <w:r>
              <w:rPr>
                <w:rFonts w:ascii="Arial" w:cs="Arial" w:eastAsia="Arial" w:hAnsi="Arial"/>
                <w:sz w:val="14"/>
                <w:szCs w:val="14"/>
                <w:b w:val="1"/>
                <w:bCs w:val="1"/>
                <w:color w:val="auto"/>
              </w:rPr>
              <w:t>2010</w:t>
            </w:r>
          </w:p>
        </w:tc>
        <w:tc>
          <w:tcPr>
            <w:tcW w:w="240" w:type="dxa"/>
            <w:vAlign w:val="bottom"/>
          </w:tcPr>
          <w:p>
            <w:pPr>
              <w:spacing w:after="0"/>
              <w:rPr>
                <w:sz w:val="14"/>
                <w:szCs w:val="14"/>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85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9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from operating activities</w:t>
            </w: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8"/>
              </w:rPr>
              <w:t>$ 557</w:t>
            </w:r>
          </w:p>
        </w:tc>
        <w:tc>
          <w:tcPr>
            <w:tcW w:w="8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$ 1,369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880" w:type="dxa"/>
            <w:vAlign w:val="bottom"/>
            <w:gridSpan w:val="2"/>
          </w:tcPr>
          <w:p>
            <w:pPr>
              <w:spacing w:after="0"/>
              <w:rPr>
                <w:sz w:val="20"/>
                <w:szCs w:val="20"/>
                <w:color w:val="auto"/>
              </w:rPr>
            </w:pPr>
            <w:r>
              <w:rPr>
                <w:rFonts w:ascii="Arial" w:cs="Arial" w:eastAsia="Arial" w:hAnsi="Arial"/>
                <w:sz w:val="18"/>
                <w:szCs w:val="18"/>
                <w:color w:val="auto"/>
              </w:rPr>
              <w:t>Net cash from investing activities</w:t>
            </w: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(723)</w:t>
            </w:r>
          </w:p>
        </w:tc>
        <w:tc>
          <w:tcPr>
            <w:tcW w:w="860" w:type="dxa"/>
            <w:vAlign w:val="bottom"/>
            <w:gridSpan w:val="3"/>
          </w:tcPr>
          <w:p>
            <w:pPr>
              <w:jc w:val="right"/>
              <w:ind w:right="100"/>
              <w:spacing w:after="0"/>
              <w:rPr>
                <w:sz w:val="20"/>
                <w:szCs w:val="20"/>
                <w:color w:val="auto"/>
              </w:rPr>
            </w:pPr>
            <w:r>
              <w:rPr>
                <w:rFonts w:ascii="Arial" w:cs="Arial" w:eastAsia="Arial" w:hAnsi="Arial"/>
                <w:sz w:val="18"/>
                <w:szCs w:val="18"/>
                <w:color w:val="auto"/>
              </w:rPr>
              <w:t>635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from financing activities</w:t>
            </w: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(243)</w:t>
            </w:r>
          </w:p>
        </w:tc>
        <w:tc>
          <w:tcPr>
            <w:tcW w:w="8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(4,041)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880" w:type="dxa"/>
            <w:vAlign w:val="bottom"/>
            <w:gridSpan w:val="2"/>
            <w:vMerge w:val="restart"/>
          </w:tcPr>
          <w:p>
            <w:pPr>
              <w:ind w:left="420"/>
              <w:spacing w:after="0"/>
              <w:rPr>
                <w:sz w:val="20"/>
                <w:szCs w:val="20"/>
                <w:color w:val="auto"/>
              </w:rPr>
            </w:pPr>
            <w:r>
              <w:rPr>
                <w:rFonts w:ascii="Arial" w:cs="Arial" w:eastAsia="Arial" w:hAnsi="Arial"/>
                <w:sz w:val="18"/>
                <w:szCs w:val="18"/>
                <w:color w:val="auto"/>
              </w:rPr>
              <w:t>Net decrease in cash before foreign exchange effect</w:t>
            </w: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9880" w:type="dxa"/>
            <w:vAlign w:val="bottom"/>
            <w:gridSpan w:val="2"/>
            <w:vMerge w:val="continue"/>
          </w:tcPr>
          <w:p>
            <w:pPr>
              <w:spacing w:after="0"/>
              <w:rPr>
                <w:sz w:val="19"/>
                <w:szCs w:val="19"/>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(409)</w:t>
            </w:r>
          </w:p>
        </w:tc>
        <w:tc>
          <w:tcPr>
            <w:tcW w:w="860" w:type="dxa"/>
            <w:vAlign w:val="bottom"/>
            <w:gridSpan w:val="3"/>
          </w:tcPr>
          <w:p>
            <w:pPr>
              <w:jc w:val="right"/>
              <w:ind w:right="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(2,037)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85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80" w:firstLine="456"/>
        <w:spacing w:after="0" w:line="289" w:lineRule="auto"/>
        <w:rPr>
          <w:sz w:val="20"/>
          <w:szCs w:val="20"/>
          <w:color w:val="auto"/>
        </w:rPr>
      </w:pPr>
      <w:r>
        <w:rPr>
          <w:rFonts w:ascii="Arial" w:cs="Arial" w:eastAsia="Arial" w:hAnsi="Arial"/>
          <w:sz w:val="16"/>
          <w:szCs w:val="16"/>
          <w:color w:val="auto"/>
        </w:rPr>
        <w:t>Our principal sources of cash include sales of our products and services, income from our investment portfolio and proceeds from sales of investments. As an insurance business, we typically generate positive cash flows from operating activities, as premiums collected from our insurance products and income received from our investments exceed policy acquisition costs, benefits paid, redemptions and operating expenses. These positive cash flows are then invested to support the obligations of our insurance and investment products and required capital supporting these products. Our cash flows from operating activities are affected by the timing of premiums, fees and investment income received and benefits and expenses paid. The decrease in cash inflows from operating activities in the first half of 2010 compared to the first half of 2009 was primarily as a result of higher tax settlements, higher paid claims in our U.S. mortgage insurance business, including settlements that were paid in the first half of 2010, and a decrease from other liabilities and policy-related balances associated with the timing of payments.</w:t>
      </w:r>
    </w:p>
    <w:p>
      <w:pPr>
        <w:spacing w:after="0" w:line="118" w:lineRule="exact"/>
        <w:rPr>
          <w:sz w:val="20"/>
          <w:szCs w:val="20"/>
          <w:color w:val="auto"/>
        </w:rPr>
      </w:pPr>
    </w:p>
    <w:p>
      <w:pPr>
        <w:ind w:right="240" w:firstLine="456"/>
        <w:spacing w:after="0" w:line="306" w:lineRule="auto"/>
        <w:rPr>
          <w:sz w:val="20"/>
          <w:szCs w:val="20"/>
          <w:color w:val="auto"/>
        </w:rPr>
      </w:pPr>
      <w:r>
        <w:rPr>
          <w:rFonts w:ascii="Arial" w:cs="Arial" w:eastAsia="Arial" w:hAnsi="Arial"/>
          <w:sz w:val="16"/>
          <w:szCs w:val="16"/>
          <w:color w:val="auto"/>
        </w:rPr>
        <w:t>In analyzing our cash flow, we focus on the change in the amount of cash available and used in investing activities. We had net cash outflows from investing activities in the first half of 2010 as purchases of investments exceeded proceeds from maturities and sales of fixed maturity securities. In early 2009, we were holding excess cash balances. In the second half of 2009 and into 2010, we began reinvesting this excess cash.</w:t>
      </w:r>
    </w:p>
    <w:p>
      <w:pPr>
        <w:spacing w:after="0" w:line="107"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Changes in cash from financing activities primarily relate to the issuance of, and redemptions and benefit payments on, universal life insurance and investment contracts; the issuance and acquisition of debt and equity securities; the issuance and repayment of borrowings and non-recourse funding obligations; and dividends to our preferred stockholders and other capital transactions. We had net cash outflows from financing activities in the first half of 2010 related to redemptions of our investment contracts primarily from scheduled maturities and surrenders which exceeded deposits received on these contracts. In 2009, redemptions were significantly higher due to scheduled maturities and the early retirement of institutional contracts. This was partially offset by net proceeds received from the issuance of senior notes in the U.S. and Canada.</w:t>
      </w:r>
    </w:p>
    <w:p>
      <w:pPr>
        <w:spacing w:after="0" w:line="120"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In the U.S. and Canada, we engage in certain securities lending transactions for the purpose of enhancing the yield on our investment securities portfolio, which require the borrower to provide collateral, consisting of cash and government securities, on a daily basis in amounts equal to or exceeding 102% in the U.S. and 105% in Canada of the fair value of the applicable securities loaned. We maintain effective control over all loaned securities and, therefore, continue to report such securities as fixed maturity securities on the consolidated balance sheets. Cash and non-cash collateral, such as a security, received by us on securities lending transactions is reflected in other invested assets with an offsetting liability recognized in other liabilities for the obligation to return the collateral. Any cash collateral received is reinvested by our custodian based upon the investment guidelines provided within our agreement. In the U.S., the reinvested cash collateral is primarily invested in U.S. and foreign government securities, U.S. government agency securities, asset-backed securities and corporate debt</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127</w:t>
      </w:r>
    </w:p>
    <w:p>
      <w:pPr>
        <w:sectPr>
          <w:pgSz w:w="11900" w:h="16838" w:orient="portrait"/>
          <w:cols w:equalWidth="0" w:num="1">
            <w:col w:w="11420"/>
          </w:cols>
          <w:pgMar w:left="240" w:top="459" w:right="239" w:bottom="1440" w:gutter="0" w:footer="0" w:header="0"/>
        </w:sectPr>
      </w:pPr>
    </w:p>
    <w:bookmarkStart w:id="127" w:name="page128"/>
    <w:bookmarkEnd w:id="1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312" w:lineRule="auto"/>
        <w:rPr>
          <w:sz w:val="20"/>
          <w:szCs w:val="20"/>
          <w:color w:val="auto"/>
        </w:rPr>
      </w:pPr>
      <w:r>
        <w:rPr>
          <w:rFonts w:ascii="Arial" w:cs="Arial" w:eastAsia="Arial" w:hAnsi="Arial"/>
          <w:sz w:val="15"/>
          <w:szCs w:val="15"/>
          <w:color w:val="auto"/>
        </w:rPr>
        <w:t>securities, all of which have scheduled maturities of less than three years. In Canada, the lending institution must be included on the approved Securities Lending Borrowers List with the Canadian regulator and the intermediary must be rated at least “AA-” by Standard &amp; Poor’s Financial Services LLC. We are currently fully indemnified against counterparty credit risk by the intermediary. As of June 30, 2010 and December 31, 2009, the fair value of securities loaned under the securities lending program was $0.7 billion and $0.9 billion, respectively, consisting of $0.5 billion and $0.6 billion, respectively, in the U.S. and $0.2 billion and $0.3 billion, respectively, in Canada. As of June 30, 2010 and December 31, 2009, the fair value of collateral held under the securities lending program was $0.7 billion and $0.9 billion, respectively, and the offsetting obligation to return collateral of $0.7 billion and $0.9 billion, respectively, was included in other liabilities in the consolidated balance sheets. We had non-cash collateral of $221 million and $326 million as of June 30, 2010 and December 31, 2009, respectively.</w:t>
      </w:r>
    </w:p>
    <w:p>
      <w:pPr>
        <w:spacing w:after="0" w:line="105" w:lineRule="exact"/>
        <w:rPr>
          <w:sz w:val="20"/>
          <w:szCs w:val="20"/>
          <w:color w:val="auto"/>
        </w:rPr>
      </w:pPr>
    </w:p>
    <w:p>
      <w:pPr>
        <w:ind w:right="180" w:firstLine="456"/>
        <w:spacing w:after="0" w:line="314" w:lineRule="auto"/>
        <w:rPr>
          <w:sz w:val="20"/>
          <w:szCs w:val="20"/>
          <w:color w:val="auto"/>
        </w:rPr>
      </w:pPr>
      <w:r>
        <w:rPr>
          <w:rFonts w:ascii="Arial" w:cs="Arial" w:eastAsia="Arial" w:hAnsi="Arial"/>
          <w:sz w:val="15"/>
          <w:szCs w:val="15"/>
          <w:color w:val="auto"/>
        </w:rPr>
        <w:t>We also have a repurchase program in which we sell an investment security at a specified price and agree to repurchase that security at another specified price at a later date. Repurchase agreements are treated as collateralized financing transactions and are carried at the amounts at which the securities will be subsequently reacquired, including accrued interest, as specified in the respective agreement. The market value of securities to be repurchased is monitored and collateral levels are adjusted where appropriate to protect the counterparty against credit exposure. Cash received is invested in fixed maturity securities. As of June 30, 2010 and December 31, 2009, the fair value of securities pledged under the repurchase program was $2.2 billion and $2.1 billion, respectively, and the repurchase obligation of $1.9 billion and $2.1 billion, respectively, was included in other liabilities in the consolidated balance sheets.</w:t>
      </w:r>
    </w:p>
    <w:p>
      <w:pPr>
        <w:spacing w:after="0" w:line="18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Genworth Financial, Inc.—holding company</w:t>
      </w:r>
    </w:p>
    <w:p>
      <w:pPr>
        <w:spacing w:after="0" w:line="90" w:lineRule="exact"/>
        <w:rPr>
          <w:sz w:val="20"/>
          <w:szCs w:val="20"/>
          <w:color w:val="auto"/>
        </w:rPr>
      </w:pPr>
    </w:p>
    <w:p>
      <w:pPr>
        <w:ind w:right="380" w:firstLine="456"/>
        <w:spacing w:after="0" w:line="256" w:lineRule="auto"/>
        <w:rPr>
          <w:sz w:val="20"/>
          <w:szCs w:val="20"/>
          <w:color w:val="auto"/>
        </w:rPr>
      </w:pPr>
      <w:r>
        <w:rPr>
          <w:rFonts w:ascii="Arial" w:cs="Arial" w:eastAsia="Arial" w:hAnsi="Arial"/>
          <w:sz w:val="18"/>
          <w:szCs w:val="18"/>
          <w:color w:val="auto"/>
        </w:rPr>
        <w:t>We conduct all our operations through our operating subsidiaries. Dividends from our subsidiaries and permitted payments to us under our tax sharing arrangements with our subsidiaries are our principal sources of cash to pay stockholder dividends and to meet our holding company obligations, including payments of principal and interest on our outstanding indebtedness. Other principal sources of cash include proceeds from the issuance of debt and equity securities, borrowings pursuant to our credit facilities and sales of assets.</w:t>
      </w:r>
    </w:p>
    <w:p>
      <w:pPr>
        <w:spacing w:after="0" w:line="143"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Our primary uses of funds at our holding company level include payment of general operating expenses, payment of principal, interest and other expenses related to holding company debt, payment of stockholder dividends, amounts we owe to GE under the Tax Matters Agreement, contributions to subsidiaries, repurchase of stock and, potentially, acquisitions.</w:t>
      </w:r>
    </w:p>
    <w:p>
      <w:pPr>
        <w:spacing w:after="0" w:line="140"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Our holding company had $916 million and $1,298 million of cash and cash equivalents as of June 30, 2010 and December 31, 2009, respectively. During the six months ended June 30, 2010, we contributed $200 million to one of our life insurance subsidiaries to fund growth and invested $200 million in highly liquid U.S. government bonds.</w:t>
      </w:r>
    </w:p>
    <w:p>
      <w:pPr>
        <w:spacing w:after="0" w:line="140"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In November 2008, our Board of Directors decided to suspend the payment of dividends on our common stock indefinitely. The declaration and payment of future dividends to holders of our common stock will be at the discretion of our Board of Directors and will be dependent on many factors including the receipt of dividends from our operating subsidiaries, our financial condition and operating results, the capital requirements of our subsidiaries, legal requirements, regulatory constraints, our credit and financial strength ratings and such other factors as the Board of Directors deems relevant.</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Regulated insurance subsidiaries</w:t>
      </w:r>
    </w:p>
    <w:p>
      <w:pPr>
        <w:spacing w:after="0" w:line="90"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color w:val="auto"/>
        </w:rPr>
        <w:t>The liquidity requirements of our regulated insurance subsidiaries principally relate to the liabilities associated with their various insurance and investment products, operating costs and expenses, the payment of dividends to us, contributions to their subsidiaries, payment of principal and interest on their outstanding debt</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128</w:t>
      </w:r>
    </w:p>
    <w:p>
      <w:pPr>
        <w:sectPr>
          <w:pgSz w:w="11900" w:h="16838" w:orient="portrait"/>
          <w:cols w:equalWidth="0" w:num="1">
            <w:col w:w="11400"/>
          </w:cols>
          <w:pgMar w:left="240" w:top="459" w:right="259" w:bottom="1440" w:gutter="0" w:footer="0" w:header="0"/>
        </w:sectPr>
      </w:pPr>
    </w:p>
    <w:bookmarkStart w:id="128" w:name="page129"/>
    <w:bookmarkEnd w:id="1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spacing w:after="0" w:line="268" w:lineRule="auto"/>
        <w:rPr>
          <w:sz w:val="20"/>
          <w:szCs w:val="20"/>
          <w:color w:val="auto"/>
        </w:rPr>
      </w:pPr>
      <w:r>
        <w:rPr>
          <w:rFonts w:ascii="Arial" w:cs="Arial" w:eastAsia="Arial" w:hAnsi="Arial"/>
          <w:sz w:val="18"/>
          <w:szCs w:val="18"/>
          <w:color w:val="auto"/>
        </w:rPr>
        <w:t>obligations and income taxes. Liabilities arising from insurance and investment products include the payment of benefits, as well as cash payments in connection with policy surrenders and withdrawals, policy loans and obligations to redeem funding agreements.</w:t>
      </w:r>
    </w:p>
    <w:p>
      <w:pPr>
        <w:spacing w:after="0" w:line="132"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Our insurance subsidiaries have used cash flows from operations and investment activities to fund their liquidity requirements. Our insurance subsidiaries’ principal cash inflows from operating activities are derived from premiums, annuity deposits and insurance and investment product fees and other income, including commissions, cost of insurance, mortality, expense and surrender charges, contract underwriting fees, investment management fees and dividends and distributions from their subsidiaries. The principal cash inflows from investment activities result from repayments of principal, investment income and, as necessary, sales of invested assets.</w:t>
      </w:r>
    </w:p>
    <w:p>
      <w:pPr>
        <w:spacing w:after="0" w:line="143"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Our insurance subsidiaries maintain investment strategies intended to provide adequate funds to pay benefits without forced sales of investments. Products having liabilities with longer durations, such as certain life insurance and long-term care insurance policies, are matched with investments having similar estimated lives such as long-term fixed maturity securities and commercial mortgage loans. Shorter-term liabilities are matched with fixed maturity securities that have short- and medium-term fixed maturities. In addition, our insurance subsidiaries hold highly liquid, high-quality short-term investment securities and other liquid investment grade fixed maturity securities to fund anticipated operating expenses, surrenders and withdrawals. As of June 30, 2010, our total cash, cash equivalents and invested assets were $71.8 billion. Our investments in privately placed fixed maturity securities, commercial mortgage loans, policy loans, limited partnership interests and select mortgage-backed and asset-backed securities are relatively illiquid. These asset classes represented approximately 33% of the carrying value of our total cash, cash equivalents and invested assets as of June 30, 2010.</w:t>
      </w:r>
    </w:p>
    <w:p>
      <w:pPr>
        <w:spacing w:after="0" w:line="118"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As of June 30, 2010, we had approximately $860 million of GICs outstanding. Substantially all of these contracts allow for the payment of benefits at contract value to Employee Retirement Income Security Act of 1974 (“ERISA”) plans prior to contract maturity in the event of death, disability, retirement or change in investment election. Contracts also provide for early termination by the contractholder but are subject to an adjustment to the contract value for changes in the level of interest rates from the time the GIC was issued plus an early withdrawal penalty. We carefully underwrite these risks before issuing a GIC to a plan and historically have been able to effectively manage our exposure to these benefit payments. Our GICs typically credit interest at a fixed interest rate and have a fixed maturity generally ranging from two to six years.</w:t>
      </w:r>
    </w:p>
    <w:p>
      <w:pPr>
        <w:spacing w:after="0" w:line="144"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During 2005, certain of our domestic life insurance subsidiaries transferred primarily foreign-issued investment securities to an affiliated special-purpose entity (“SPE”) that is consolidated in our financial statements and whose sole purpose is to securitize these investment securities and issue secured notes to various affiliated insurance companies. The securitized investments are owned in their entirety by the SPE and are not available to satisfy the claims of our creditors. These securitized investments provide collateral to the notes issued by the SPE to the insurance companies. The value of those securities as of June 30, 2010 was $802 million. In July 2010, the affiliated SPE redeemed the structured notes that were held by our domestic life insurance subsidiaries with investment securities. There was no gain or loss recorded on the transaction.</w:t>
      </w:r>
    </w:p>
    <w:p>
      <w:pPr>
        <w:spacing w:after="0" w:line="20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Capital resources and financing activities</w:t>
      </w:r>
    </w:p>
    <w:p>
      <w:pPr>
        <w:spacing w:after="0" w:line="90" w:lineRule="exact"/>
        <w:rPr>
          <w:sz w:val="20"/>
          <w:szCs w:val="20"/>
          <w:color w:val="auto"/>
        </w:rPr>
      </w:pPr>
    </w:p>
    <w:p>
      <w:pPr>
        <w:ind w:right="100" w:firstLine="456"/>
        <w:spacing w:after="0" w:line="294" w:lineRule="auto"/>
        <w:rPr>
          <w:sz w:val="20"/>
          <w:szCs w:val="20"/>
          <w:color w:val="auto"/>
        </w:rPr>
      </w:pPr>
      <w:r>
        <w:rPr>
          <w:rFonts w:ascii="Arial" w:cs="Arial" w:eastAsia="Arial" w:hAnsi="Arial"/>
          <w:sz w:val="16"/>
          <w:szCs w:val="16"/>
          <w:color w:val="auto"/>
        </w:rPr>
        <w:t>We have two five-year revolving credit facilities that mature in May 2012 and August 2012. These facilities bear variable interest rates based on a one-month London Interbank Offered Rate (“LIBOR”) plus a margin. Each of these facilities originally had $1.0 billion available for borrowings. Lehman Commercial Paper Inc. (“LCP”) had committed $70 million under the August 2012 credit facility and Lehman Brothers Bank, FSB (“Lehman FSB”) had committed $70 million under the May 2012 credit facility. On October 5, 2008, LCP filed for protection under Chapter 11 of the Federal Bankruptcy Code in the U.S. Bankruptcy Court for the Southern District of New York. LCP was unable to fulfill its commitments under the August 2012 credit facility and</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129</w:t>
      </w:r>
    </w:p>
    <w:p>
      <w:pPr>
        <w:sectPr>
          <w:pgSz w:w="11900" w:h="16838" w:orient="portrait"/>
          <w:cols w:equalWidth="0" w:num="1">
            <w:col w:w="11400"/>
          </w:cols>
          <w:pgMar w:left="240" w:top="459" w:right="259" w:bottom="1440" w:gutter="0" w:footer="0" w:header="0"/>
        </w:sectPr>
      </w:pPr>
    </w:p>
    <w:bookmarkStart w:id="129" w:name="page130"/>
    <w:bookmarkEnd w:id="1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Lehman FSB declined to fulfill its commitment under the May 2012 credit facility. On April 1, 2010, a consent and waiver agreement was entered into which releases the Lehman Brothers-related commitments under the facilities and reduces the remaining commitments by those respective amounts. Therefore, as of June 30, 2010, we had access to $1.9 billion under these facilities. In June 2010, we repaid $100 million of outstanding borrowings under each of our five-year revolving credit facilities using the net proceeds from our senior notes offering that was completed in June 2010. As of June 30, 2010, we had borrowings of $730 million under these facilities, and we utilized $54 million of the commitment under these facilities primarily for the issuance of a letter of credit for the benefit of one of our lifestyle protection insurance subsidiaries. As of June 30, 2010, we have an unused credit capacity under our revolving credit facilities of $1.1 billion. These two facilities contain minimum consolidated net worth requirements. Consolidated net worth, as defined in these agreements, means all amounts that would be included on a consolidated balance sheet of the borrower and its subsidiaries under stockholders’ equity, excluding accumulated other comprehensive income (loss).</w:t>
      </w:r>
    </w:p>
    <w:p>
      <w:pPr>
        <w:spacing w:after="0" w:line="120" w:lineRule="exact"/>
        <w:rPr>
          <w:sz w:val="20"/>
          <w:szCs w:val="20"/>
          <w:color w:val="auto"/>
        </w:rPr>
      </w:pPr>
    </w:p>
    <w:p>
      <w:pPr>
        <w:ind w:right="160" w:firstLine="456"/>
        <w:spacing w:after="0" w:line="253" w:lineRule="auto"/>
        <w:rPr>
          <w:sz w:val="20"/>
          <w:szCs w:val="20"/>
          <w:color w:val="auto"/>
        </w:rPr>
      </w:pPr>
      <w:r>
        <w:rPr>
          <w:rFonts w:ascii="Arial" w:cs="Arial" w:eastAsia="Arial" w:hAnsi="Arial"/>
          <w:sz w:val="18"/>
          <w:szCs w:val="18"/>
          <w:color w:val="auto"/>
        </w:rPr>
        <w:t>In June 2010, we issued senior notes having an aggregate principal amount of $400 million, with an interest rate equal to 7.700% per year payable semi-annually, and maturing in June 2020 (“2020 Notes”). The 2020 Notes are our direct, unsecured obligations and will rank equally with all of our existing and future unsecured and unsubordinated obligations. We have the option to redeem all or a portion of the 2020 Notes at any time with proper notice to the note holders at a price equal to the greater of 100% of principal or the sum of the present value of the remaining scheduled payments of principal and interest discounted at the then-current treasury rate plus an applicable spread. The net proceeds of $397 million from the issuance of the 2020 Notes were used to repay $100 million of outstanding borrowings under each of our five-year revolving credit facilities and the remainder of the proceeds were used for general corporate purposes.</w:t>
      </w:r>
    </w:p>
    <w:p>
      <w:pPr>
        <w:spacing w:after="0" w:line="147"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In June 2010, our majority-owned subsidiary, Genworth Canada, issued CDN$275 million of 5.68% senior notes due 2020. The net proceeds of the offering will be used to fund transactions among Genworth Canada and its Canadian wholly-owned subsidiaries. Genworth Canada is expected to use any proceeds it receives from such transactions for general corporate and investment purposes, and/or to fund a distribution to, or a repurchase of common shares from, Genworth Canada’s shareholders. In July 2010, Genworth Canada announced a substantial issuer bid, pursuant to which it will offer to purchase for cancellation up to CDN$325 million of its common shares. Brookfield Life Assurance Company Limited, our wholly-owned subsidiary and majority shareholder of Genworth Canada, intends to ultimately sell a sufficient number of shares to maintain its ownership at the current 57.5% level.</w:t>
      </w:r>
    </w:p>
    <w:p>
      <w:pPr>
        <w:spacing w:after="0" w:line="120"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color w:val="auto"/>
        </w:rPr>
        <w:t>We believe our revolving credit facilities and anticipated cash flows from operations will provide us with sufficient capital flexibility and liquidity to meet our future operating requirements, as well as optimize our capital structure. In addition, we actively monitor our liquidity position, liquidity generation options and the credit markets given changing market conditions. However, we cannot predict with any certainty the impact to us from any further disruptions in the credit markets or further downgrades by one or more of the rating agencies of the financial strength ratings of our insurance company subsidiaries and/or the credit ratings of our holding company. The availability of additional funding will depend on a variety of factors such as market conditions, regulatory considerations, the general availability of credit, the overall availability of credit to the financial services industry, the level of activity and availability of reinsurers, our credit ratings and credit capacity and the performance of and outlook for our business.</w:t>
      </w:r>
    </w:p>
    <w:p>
      <w:pPr>
        <w:spacing w:after="0" w:line="199"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Contractual obligations and commercial commitments</w:t>
      </w:r>
    </w:p>
    <w:p>
      <w:pPr>
        <w:spacing w:after="0" w:line="90"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We enter into obligations to third parties in the ordinary course of our operations. However, we do not believe that our cash flow requirements can be assessed based upon analysis of these obligations as the funding of these future cash obligations will be from future cash flows from premiums, deposits, fees and investment income that are not reflected herein. Future cash outflows, whether they are contractual obligations or not, also will vary based upon our future needs. Although some outflows are fixed, others depend on future events. Examples of fixed obligations include our obligations to pay principal and interest on fixed-rate borrowings.</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130</w:t>
      </w:r>
    </w:p>
    <w:p>
      <w:pPr>
        <w:sectPr>
          <w:pgSz w:w="11900" w:h="16838" w:orient="portrait"/>
          <w:cols w:equalWidth="0" w:num="1">
            <w:col w:w="11420"/>
          </w:cols>
          <w:pgMar w:left="240" w:top="459" w:right="239" w:bottom="1440" w:gutter="0" w:footer="0" w:header="0"/>
        </w:sectPr>
      </w:pPr>
    </w:p>
    <w:bookmarkStart w:id="130" w:name="page131"/>
    <w:bookmarkEnd w:id="1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Examples of obligations that will vary include obligations to pay interest on variable-rate borrowings and insurance liabilities that depend on future interest rates and market performance. Many of our obligations are linked to cash-generating contracts. These obligations include payments to contractholders that assume those contractholders will continue to make deposits in accordance with the terms of their contracts. In addition, our operations involve significant expenditures that are not based upon “commitments.”</w:t>
      </w:r>
    </w:p>
    <w:p>
      <w:pPr>
        <w:spacing w:after="0" w:line="143"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There have been no material additions or changes to our contractual obligations and commercial commitments as set forth in our 2009 Annual Report on Form 10-K filed on February 26, 2010, except as discussed above under “Capital resources and financing activities.”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Securitization Entities</w:t>
      </w:r>
    </w:p>
    <w:p>
      <w:pPr>
        <w:spacing w:after="0" w:line="96" w:lineRule="exact"/>
        <w:rPr>
          <w:sz w:val="20"/>
          <w:szCs w:val="20"/>
          <w:color w:val="auto"/>
        </w:rPr>
      </w:pPr>
    </w:p>
    <w:p>
      <w:pPr>
        <w:ind w:right="480" w:firstLine="456"/>
        <w:spacing w:after="0" w:line="268" w:lineRule="auto"/>
        <w:rPr>
          <w:sz w:val="20"/>
          <w:szCs w:val="20"/>
          <w:color w:val="auto"/>
        </w:rPr>
      </w:pPr>
      <w:r>
        <w:rPr>
          <w:rFonts w:ascii="Arial" w:cs="Arial" w:eastAsia="Arial" w:hAnsi="Arial"/>
          <w:sz w:val="18"/>
          <w:szCs w:val="18"/>
          <w:color w:val="auto"/>
        </w:rPr>
        <w:t>There were no off-balance sheet securitization transactions in the six months ended June 30, 2010 or 2009. See note 7 in our “—Notes to Condensed Consolidated Financial Statements” for additional information related to consolidated securitization entities.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Standards</w:t>
      </w:r>
    </w:p>
    <w:p>
      <w:pPr>
        <w:spacing w:after="0" w:line="96" w:lineRule="exact"/>
        <w:rPr>
          <w:sz w:val="20"/>
          <w:szCs w:val="20"/>
          <w:color w:val="auto"/>
        </w:rPr>
      </w:pPr>
    </w:p>
    <w:p>
      <w:pPr>
        <w:ind w:right="800" w:firstLine="456"/>
        <w:spacing w:after="0" w:line="268" w:lineRule="auto"/>
        <w:rPr>
          <w:sz w:val="20"/>
          <w:szCs w:val="20"/>
          <w:color w:val="auto"/>
        </w:rPr>
      </w:pPr>
      <w:r>
        <w:rPr>
          <w:rFonts w:ascii="Arial" w:cs="Arial" w:eastAsia="Arial" w:hAnsi="Arial"/>
          <w:sz w:val="18"/>
          <w:szCs w:val="18"/>
          <w:color w:val="auto"/>
        </w:rPr>
        <w:t>For a discussion of recently adopted and not yet adopted accounting standards, see note 2 in our “—Notes to Condensed Consolidated Financial Statements.”</w:t>
      </w:r>
    </w:p>
    <w:p>
      <w:pPr>
        <w:spacing w:after="0" w:line="207"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96"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Market risk is the risk of the loss of fair value resulting from adverse changes in market rates and prices, such as interest rates, foreign currency exchange rates and equity prices. Market risk is directly influenced by the volatility and liquidity in the markets in which the related underlying financial instruments are traded. The following is a discussion of our market risk exposures and our risk management practices.</w:t>
      </w:r>
    </w:p>
    <w:p>
      <w:pPr>
        <w:spacing w:after="0" w:line="140"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Credit markets have continued to show signs of improvement across most asset classes in the first quarter of 2010. See “—Business trends and conditions” and “—Investments and Derivative Instruments” in “Item 2—Management’s Discussion and Analysis of Financial Condition and Results of Operations” for further discussion of recent market conditions.</w:t>
      </w:r>
    </w:p>
    <w:p>
      <w:pPr>
        <w:spacing w:after="0" w:line="140"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In the second quarter of 2010, the currencies in Canada and Australia strengthened against the U.S. dollar, while in Europe, the currencies weakened against the U.S. dollar, as compared to the prior year. This has generally resulted in higher levels of reported revenues and net income (loss), assets, liabilities and accumulated other comprehensive income (loss) in our U.S. dollar consolidated financial statements. See “Item 2—Management’s Discussion and Analysis of Financial Condition and Results of Operations” for further discussion on the impact changes in foreign currency exchange rates have had during the year.</w:t>
      </w:r>
    </w:p>
    <w:p>
      <w:pPr>
        <w:spacing w:after="0" w:line="11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There were no other material changes in these risks since December 31, 2009.</w:t>
      </w:r>
    </w:p>
    <w:p>
      <w:pPr>
        <w:spacing w:after="0" w:line="246"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Controls and Procedures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96"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As of June 30, 2010, an evaluation was conducted under the supervision and with the participation of our management, including our Chief Executive Officer and Chief Financial Officer, of the effectiveness of the design and operation of our disclosure controls and procedures (as defined in Rules 13a-15(e) and 15d-15(e) under the Securities Exchange Act of 1934). Based on this evaluation, the Chief Executive Officer and the Chief Financial Officer concluded that the design and operation of these disclosure controls and procedures were effective.</w:t>
      </w:r>
    </w:p>
    <w:p>
      <w:pPr>
        <w:spacing w:after="0" w:line="13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131</w:t>
      </w:r>
    </w:p>
    <w:p>
      <w:pPr>
        <w:sectPr>
          <w:pgSz w:w="11900" w:h="16838" w:orient="portrait"/>
          <w:cols w:equalWidth="0" w:num="1">
            <w:col w:w="11380"/>
          </w:cols>
          <w:pgMar w:left="240" w:top="459" w:right="279" w:bottom="1440" w:gutter="0" w:footer="0" w:header="0"/>
        </w:sectPr>
      </w:pPr>
    </w:p>
    <w:bookmarkStart w:id="131" w:name="page132"/>
    <w:bookmarkEnd w:id="1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 During the Quarter Ended June 30, 2010</w:t>
      </w:r>
    </w:p>
    <w:p>
      <w:pPr>
        <w:spacing w:after="0" w:line="96" w:lineRule="exact"/>
        <w:rPr>
          <w:sz w:val="20"/>
          <w:szCs w:val="20"/>
          <w:color w:val="auto"/>
        </w:rPr>
      </w:pPr>
    </w:p>
    <w:p>
      <w:pPr>
        <w:ind w:right="580" w:firstLine="456"/>
        <w:spacing w:after="0" w:line="268" w:lineRule="auto"/>
        <w:rPr>
          <w:sz w:val="20"/>
          <w:szCs w:val="20"/>
          <w:color w:val="auto"/>
        </w:rPr>
      </w:pPr>
      <w:r>
        <w:rPr>
          <w:rFonts w:ascii="Arial" w:cs="Arial" w:eastAsia="Arial" w:hAnsi="Arial"/>
          <w:sz w:val="18"/>
          <w:szCs w:val="18"/>
          <w:color w:val="auto"/>
        </w:rPr>
        <w:t>There were no changes in our internal control over financial reporting that occurred during the six months ended June 30, 2010 that have materially affected, or are reasonably likely to materially affect, our internal control over financial reporting.</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II—OTHER INFORMATION</w:t>
      </w:r>
    </w:p>
    <w:p>
      <w:pPr>
        <w:spacing w:after="0" w:line="90"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96"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We face a significant risk of litigation and regulatory investigations and actions in the ordinary course of operating our businesses, including the risk of class action lawsuits. Our pending legal and regulatory actions include proceedings specific to us and others generally applicable to business practices in the industries in which we operate. In our insurance operations, we are, have been, or may become subject to class actions and individual suits alleging, among other things, issues relating to sales or underwriting practices, payment of contingent or other sales commissions, bidding practices in connection with our management and administration of a third party’s municipal guaranteed investment contract business, claims payments and procedures, cancellation or rescission of coverage, product design, product disclosure, administration, additional premium charges for premiums paid on a periodic basis, denial or delay of benefits, charging excessive or impermissible fees on products, recommending unsuitable products to customers, our pricing structures and business practices in our mortgage insurance businesses, such as captive reinsurance arrangements with lenders and contract underwriting services, violations of RESPA or related state anti-inducement laws, and breaching fiduciary or other duties to customers. Plaintiffs in class action and other lawsuits against us may seek very large or indeterminate amounts, including punitive and treble damages, which may remain unknown for substantial periods of time. In our investment-related operations, we are subject to litigation involving commercial disputes with counterparties. We are also subject to litigation arising out of our general business activities such as our contractual and employment relationships. We are also subject to various regulatory inquiries, such as information requests, subpoenas, books and record examinations and market conduct and financial examinations from state, federal and international regulators and other authorities. A substantial legal liability or a significant regulatory action against us could have an adverse effect on our business, financial condition and results of operations. Moreover, even if we ultimately prevail in the litigation, regulatory action or investigation, we could suffer significant reputational harm, which could have an adverse effect on our business, financial condition and results of operations.</w:t>
      </w:r>
    </w:p>
    <w:p>
      <w:pPr>
        <w:spacing w:after="0" w:line="124" w:lineRule="exact"/>
        <w:rPr>
          <w:sz w:val="20"/>
          <w:szCs w:val="20"/>
          <w:color w:val="auto"/>
        </w:rPr>
      </w:pPr>
    </w:p>
    <w:p>
      <w:pPr>
        <w:jc w:val="both"/>
        <w:ind w:right="320" w:firstLine="456"/>
        <w:spacing w:after="0" w:line="259" w:lineRule="auto"/>
        <w:rPr>
          <w:sz w:val="20"/>
          <w:szCs w:val="20"/>
          <w:color w:val="auto"/>
        </w:rPr>
      </w:pPr>
      <w:r>
        <w:rPr>
          <w:rFonts w:ascii="Arial" w:cs="Arial" w:eastAsia="Arial" w:hAnsi="Arial"/>
          <w:sz w:val="18"/>
          <w:szCs w:val="18"/>
          <w:color w:val="auto"/>
        </w:rPr>
        <w:t>There were no material developments during the six months ended June 30, 2010 in any of the legal proceedings identified in Part I, Item 3 of our 2009 Annual Report on Form 10-K, as updated in Part II, Item 1 of our Quarterly Report on Form 10-Q for the quarterly period ended March 31, 2010. In addition, there were no new material legal proceedings during the six months ended June 30, 2010.</w:t>
      </w:r>
    </w:p>
    <w:p>
      <w:pPr>
        <w:spacing w:after="0" w:line="140" w:lineRule="exact"/>
        <w:rPr>
          <w:sz w:val="20"/>
          <w:szCs w:val="20"/>
          <w:color w:val="auto"/>
        </w:rPr>
      </w:pPr>
    </w:p>
    <w:p>
      <w:pPr>
        <w:ind w:right="240" w:firstLine="456"/>
        <w:spacing w:after="0" w:line="298" w:lineRule="auto"/>
        <w:rPr>
          <w:sz w:val="20"/>
          <w:szCs w:val="20"/>
          <w:color w:val="auto"/>
        </w:rPr>
      </w:pPr>
      <w:r>
        <w:rPr>
          <w:rFonts w:ascii="Arial" w:cs="Arial" w:eastAsia="Arial" w:hAnsi="Arial"/>
          <w:sz w:val="16"/>
          <w:szCs w:val="16"/>
          <w:color w:val="auto"/>
        </w:rPr>
        <w:t>We cannot ensure that the current investigations and proceedings will not have a material adverse effect on our business, financial condition or results of operations. In addition, it is possible that related investigations and proceedings may be commenced in the future, and we could become subject to further investigations and have lawsuits filed against us. Increased regulatory scrutiny and any resulting investigations or proceedings could result in new legal precedents and industry-wide regulations or practices that could adversely affect our business, financial condition and results of operations.</w:t>
      </w:r>
    </w:p>
    <w:p>
      <w:pPr>
        <w:spacing w:after="0" w:line="228"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96"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The discussion of our business and operations should be read together with the risk factors contained in Item 1A of our 2009 Annual Report on Form 10-K which describe various risks and uncertainties to which we are or may become subject. These risks and uncertainties have the potential to affect our business, financial condition, results of operations, cash flows, strategies or prospects in a material and adverse manner. As of June 30, 2010, there have been no material changes to the risk factors set forth in the above-referenced filing.</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132</w:t>
      </w:r>
    </w:p>
    <w:p>
      <w:pPr>
        <w:sectPr>
          <w:pgSz w:w="11900" w:h="16838" w:orient="portrait"/>
          <w:cols w:equalWidth="0" w:num="1">
            <w:col w:w="11420"/>
          </w:cols>
          <w:pgMar w:left="240" w:top="459" w:right="239" w:bottom="1440" w:gutter="0" w:footer="0" w:header="0"/>
        </w:sectPr>
      </w:pPr>
    </w:p>
    <w:bookmarkStart w:id="132" w:name="page133"/>
    <w:bookmarkEnd w:id="1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620" w:type="dxa"/>
            <w:vAlign w:val="bottom"/>
          </w:tcPr>
          <w:p>
            <w:pPr>
              <w:spacing w:after="0"/>
              <w:rPr>
                <w:sz w:val="20"/>
                <w:szCs w:val="20"/>
                <w:color w:val="auto"/>
              </w:rPr>
            </w:pPr>
            <w:r>
              <w:rPr>
                <w:rFonts w:ascii="Arial" w:cs="Arial" w:eastAsia="Arial" w:hAnsi="Arial"/>
                <w:sz w:val="18"/>
                <w:szCs w:val="18"/>
                <w:b w:val="1"/>
                <w:bCs w:val="1"/>
                <w:color w:val="auto"/>
              </w:rPr>
              <w:t>Item 6.</w:t>
            </w:r>
          </w:p>
        </w:tc>
        <w:tc>
          <w:tcPr>
            <w:tcW w:w="8160" w:type="dxa"/>
            <w:vAlign w:val="bottom"/>
          </w:tcPr>
          <w:p>
            <w:pPr>
              <w:ind w:left="100"/>
              <w:spacing w:after="0"/>
              <w:rPr>
                <w:sz w:val="20"/>
                <w:szCs w:val="20"/>
                <w:color w:val="auto"/>
              </w:rPr>
            </w:pPr>
            <w:r>
              <w:rPr>
                <w:rFonts w:ascii="Arial" w:cs="Arial" w:eastAsia="Arial" w:hAnsi="Arial"/>
                <w:sz w:val="18"/>
                <w:szCs w:val="18"/>
                <w:b w:val="1"/>
                <w:bCs w:val="1"/>
                <w:color w:val="auto"/>
              </w:rPr>
              <w:t>Exhibits</w:t>
            </w:r>
          </w:p>
        </w:tc>
      </w:tr>
      <w:tr>
        <w:trPr>
          <w:trHeight w:val="419"/>
        </w:trPr>
        <w:tc>
          <w:tcPr>
            <w:tcW w:w="620" w:type="dxa"/>
            <w:vAlign w:val="bottom"/>
          </w:tcPr>
          <w:p>
            <w:pPr>
              <w:spacing w:after="0"/>
              <w:rPr>
                <w:sz w:val="20"/>
                <w:szCs w:val="20"/>
                <w:color w:val="auto"/>
              </w:rPr>
            </w:pPr>
            <w:r>
              <w:rPr>
                <w:rFonts w:ascii="Arial" w:cs="Arial" w:eastAsia="Arial" w:hAnsi="Arial"/>
                <w:sz w:val="18"/>
                <w:szCs w:val="18"/>
                <w:color w:val="auto"/>
              </w:rPr>
              <w:t>12</w:t>
            </w:r>
          </w:p>
        </w:tc>
        <w:tc>
          <w:tcPr>
            <w:tcW w:w="8160" w:type="dxa"/>
            <w:vAlign w:val="bottom"/>
          </w:tcPr>
          <w:p>
            <w:pPr>
              <w:ind w:left="300"/>
              <w:spacing w:after="0"/>
              <w:rPr>
                <w:sz w:val="20"/>
                <w:szCs w:val="20"/>
                <w:color w:val="auto"/>
              </w:rPr>
            </w:pPr>
            <w:r>
              <w:rPr>
                <w:rFonts w:ascii="Arial" w:cs="Arial" w:eastAsia="Arial" w:hAnsi="Arial"/>
                <w:sz w:val="18"/>
                <w:szCs w:val="18"/>
                <w:color w:val="auto"/>
              </w:rPr>
              <w:t>Statement of Ratio of Income to Fixed Charges</w:t>
            </w:r>
          </w:p>
        </w:tc>
      </w:tr>
      <w:tr>
        <w:trPr>
          <w:trHeight w:val="324"/>
        </w:trPr>
        <w:tc>
          <w:tcPr>
            <w:tcW w:w="620" w:type="dxa"/>
            <w:vAlign w:val="bottom"/>
          </w:tcPr>
          <w:p>
            <w:pPr>
              <w:spacing w:after="0"/>
              <w:rPr>
                <w:sz w:val="20"/>
                <w:szCs w:val="20"/>
                <w:color w:val="auto"/>
              </w:rPr>
            </w:pPr>
            <w:r>
              <w:rPr>
                <w:rFonts w:ascii="Arial" w:cs="Arial" w:eastAsia="Arial" w:hAnsi="Arial"/>
                <w:sz w:val="18"/>
                <w:szCs w:val="18"/>
                <w:color w:val="auto"/>
              </w:rPr>
              <w:t>31.1</w:t>
            </w:r>
          </w:p>
        </w:tc>
        <w:tc>
          <w:tcPr>
            <w:tcW w:w="8160" w:type="dxa"/>
            <w:vAlign w:val="bottom"/>
          </w:tcPr>
          <w:p>
            <w:pPr>
              <w:ind w:left="300"/>
              <w:spacing w:after="0"/>
              <w:rPr>
                <w:sz w:val="20"/>
                <w:szCs w:val="20"/>
                <w:color w:val="auto"/>
              </w:rPr>
            </w:pPr>
            <w:r>
              <w:rPr>
                <w:rFonts w:ascii="Arial" w:cs="Arial" w:eastAsia="Arial" w:hAnsi="Arial"/>
                <w:sz w:val="18"/>
                <w:szCs w:val="18"/>
                <w:color w:val="auto"/>
              </w:rPr>
              <w:t>Certification of Michael D. Fraizer</w:t>
            </w:r>
          </w:p>
        </w:tc>
      </w:tr>
      <w:tr>
        <w:trPr>
          <w:trHeight w:val="324"/>
        </w:trPr>
        <w:tc>
          <w:tcPr>
            <w:tcW w:w="620" w:type="dxa"/>
            <w:vAlign w:val="bottom"/>
          </w:tcPr>
          <w:p>
            <w:pPr>
              <w:spacing w:after="0"/>
              <w:rPr>
                <w:sz w:val="20"/>
                <w:szCs w:val="20"/>
                <w:color w:val="auto"/>
              </w:rPr>
            </w:pPr>
            <w:r>
              <w:rPr>
                <w:rFonts w:ascii="Arial" w:cs="Arial" w:eastAsia="Arial" w:hAnsi="Arial"/>
                <w:sz w:val="18"/>
                <w:szCs w:val="18"/>
                <w:color w:val="auto"/>
              </w:rPr>
              <w:t>31.2</w:t>
            </w:r>
          </w:p>
        </w:tc>
        <w:tc>
          <w:tcPr>
            <w:tcW w:w="8160" w:type="dxa"/>
            <w:vAlign w:val="bottom"/>
          </w:tcPr>
          <w:p>
            <w:pPr>
              <w:ind w:left="300"/>
              <w:spacing w:after="0"/>
              <w:rPr>
                <w:sz w:val="20"/>
                <w:szCs w:val="20"/>
                <w:color w:val="auto"/>
              </w:rPr>
            </w:pPr>
            <w:r>
              <w:rPr>
                <w:rFonts w:ascii="Arial" w:cs="Arial" w:eastAsia="Arial" w:hAnsi="Arial"/>
                <w:sz w:val="18"/>
                <w:szCs w:val="18"/>
                <w:color w:val="auto"/>
              </w:rPr>
              <w:t>Certification of Patrick B. Kelleher</w:t>
            </w:r>
          </w:p>
        </w:tc>
      </w:tr>
      <w:tr>
        <w:trPr>
          <w:trHeight w:val="324"/>
        </w:trPr>
        <w:tc>
          <w:tcPr>
            <w:tcW w:w="620" w:type="dxa"/>
            <w:vAlign w:val="bottom"/>
          </w:tcPr>
          <w:p>
            <w:pPr>
              <w:spacing w:after="0"/>
              <w:rPr>
                <w:sz w:val="20"/>
                <w:szCs w:val="20"/>
                <w:color w:val="auto"/>
              </w:rPr>
            </w:pPr>
            <w:r>
              <w:rPr>
                <w:rFonts w:ascii="Arial" w:cs="Arial" w:eastAsia="Arial" w:hAnsi="Arial"/>
                <w:sz w:val="18"/>
                <w:szCs w:val="18"/>
                <w:color w:val="auto"/>
              </w:rPr>
              <w:t>32.1</w:t>
            </w:r>
          </w:p>
        </w:tc>
        <w:tc>
          <w:tcPr>
            <w:tcW w:w="8160" w:type="dxa"/>
            <w:vAlign w:val="bottom"/>
          </w:tcPr>
          <w:p>
            <w:pPr>
              <w:ind w:left="300"/>
              <w:spacing w:after="0"/>
              <w:rPr>
                <w:sz w:val="20"/>
                <w:szCs w:val="20"/>
                <w:color w:val="auto"/>
              </w:rPr>
            </w:pPr>
            <w:r>
              <w:rPr>
                <w:rFonts w:ascii="Arial" w:cs="Arial" w:eastAsia="Arial" w:hAnsi="Arial"/>
                <w:sz w:val="18"/>
                <w:szCs w:val="18"/>
                <w:color w:val="auto"/>
                <w:w w:val="89"/>
              </w:rPr>
              <w:t>Certification Pursuant to Section 1350 of Chapter 63 of Title 18 of the United States Code—Michael D. Fraizer</w:t>
            </w:r>
          </w:p>
        </w:tc>
      </w:tr>
      <w:tr>
        <w:trPr>
          <w:trHeight w:val="324"/>
        </w:trPr>
        <w:tc>
          <w:tcPr>
            <w:tcW w:w="620" w:type="dxa"/>
            <w:vAlign w:val="bottom"/>
          </w:tcPr>
          <w:p>
            <w:pPr>
              <w:spacing w:after="0"/>
              <w:rPr>
                <w:sz w:val="20"/>
                <w:szCs w:val="20"/>
                <w:color w:val="auto"/>
              </w:rPr>
            </w:pPr>
            <w:r>
              <w:rPr>
                <w:rFonts w:ascii="Arial" w:cs="Arial" w:eastAsia="Arial" w:hAnsi="Arial"/>
                <w:sz w:val="18"/>
                <w:szCs w:val="18"/>
                <w:color w:val="auto"/>
              </w:rPr>
              <w:t>32.2</w:t>
            </w:r>
          </w:p>
        </w:tc>
        <w:tc>
          <w:tcPr>
            <w:tcW w:w="8160" w:type="dxa"/>
            <w:vAlign w:val="bottom"/>
          </w:tcPr>
          <w:p>
            <w:pPr>
              <w:ind w:left="300"/>
              <w:spacing w:after="0"/>
              <w:rPr>
                <w:sz w:val="20"/>
                <w:szCs w:val="20"/>
                <w:color w:val="auto"/>
              </w:rPr>
            </w:pPr>
            <w:r>
              <w:rPr>
                <w:rFonts w:ascii="Arial" w:cs="Arial" w:eastAsia="Arial" w:hAnsi="Arial"/>
                <w:sz w:val="18"/>
                <w:szCs w:val="18"/>
                <w:color w:val="auto"/>
                <w:w w:val="89"/>
              </w:rPr>
              <w:t>Certification Pursuant to Section 1350 of Chapter 63 of Title 18 of the United States Code—Patrick B. Kelleher</w:t>
            </w:r>
          </w:p>
        </w:tc>
      </w:tr>
    </w:tbl>
    <w:p>
      <w:pPr>
        <w:spacing w:after="0" w:line="102" w:lineRule="exact"/>
        <w:rPr>
          <w:sz w:val="20"/>
          <w:szCs w:val="20"/>
          <w:color w:val="auto"/>
        </w:rPr>
      </w:pPr>
    </w:p>
    <w:p>
      <w:pPr>
        <w:ind w:left="920" w:hanging="912"/>
        <w:spacing w:after="0" w:line="256" w:lineRule="auto"/>
        <w:tabs>
          <w:tab w:leader="none" w:pos="9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The following consolidated financial statements from Genworth Financial, Inc.’s Quarterly Report on Form 10-Q for the quarter ended June 30, 2010, filed on July 30, 2010, formatted in XBRL: (i) Condensed Consolidated Statements of Income, (ii) Condensed Consolidated Balance Sheets, (iii) Condensed Consolidated Statements of Cash Flows, (iv) Consolidated Statements of Stockholders’ Equity and (v) the Notes to Condensed Consolidated Financial Statements, tagged as blocks of text.</w:t>
      </w:r>
    </w:p>
    <w:p>
      <w:pPr>
        <w:spacing w:after="0" w:line="13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133</w:t>
      </w:r>
    </w:p>
    <w:p>
      <w:pPr>
        <w:sectPr>
          <w:pgSz w:w="11900" w:h="16838" w:orient="portrait"/>
          <w:cols w:equalWidth="0" w:num="1">
            <w:col w:w="11240"/>
          </w:cols>
          <w:pgMar w:left="240" w:top="459" w:right="419" w:bottom="1440" w:gutter="0" w:footer="0" w:header="0"/>
        </w:sectPr>
      </w:pPr>
    </w:p>
    <w:bookmarkStart w:id="133" w:name="page134"/>
    <w:bookmarkEnd w:id="1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7"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2"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GENWORTH FINANCIAL, INC.</w:t>
      </w:r>
    </w:p>
    <w:p>
      <w:pPr>
        <w:spacing w:after="0" w:line="15"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(Registrant)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Date: July 30, 2010</w:t>
      </w:r>
    </w:p>
    <w:p>
      <w:pPr>
        <w:spacing w:after="0" w:line="15" w:lineRule="exact"/>
        <w:rPr>
          <w:sz w:val="20"/>
          <w:szCs w:val="20"/>
          <w:color w:val="auto"/>
        </w:rPr>
      </w:pPr>
    </w:p>
    <w:p>
      <w:pPr>
        <w:ind w:left="5500"/>
        <w:spacing w:after="0"/>
        <w:tabs>
          <w:tab w:leader="none" w:pos="7880" w:val="left"/>
          <w:tab w:leader="none" w:pos="82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A</w:t>
      </w:r>
      <w:r>
        <w:rPr>
          <w:rFonts w:ascii="Arial" w:cs="Arial" w:eastAsia="Arial" w:hAnsi="Arial"/>
          <w:sz w:val="14"/>
          <w:szCs w:val="14"/>
          <w:color w:val="auto"/>
        </w:rPr>
        <w:t>MY</w:t>
      </w:r>
      <w:r>
        <w:rPr>
          <w:rFonts w:ascii="Arial" w:cs="Arial" w:eastAsia="Arial" w:hAnsi="Arial"/>
          <w:sz w:val="18"/>
          <w:szCs w:val="18"/>
          <w:color w:val="auto"/>
        </w:rPr>
        <w:t xml:space="preserve"> R. C</w:t>
      </w:r>
      <w:r>
        <w:rPr>
          <w:rFonts w:ascii="Arial" w:cs="Arial" w:eastAsia="Arial" w:hAnsi="Arial"/>
          <w:sz w:val="14"/>
          <w:szCs w:val="14"/>
          <w:color w:val="auto"/>
        </w:rPr>
        <w:t>ORBIN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6985</wp:posOffset>
            </wp:positionV>
            <wp:extent cx="332740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7"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Amy R. Corbin</w:t>
      </w:r>
    </w:p>
    <w:p>
      <w:pPr>
        <w:jc w:val="center"/>
        <w:ind w:left="6180"/>
        <w:spacing w:after="0" w:line="221" w:lineRule="auto"/>
        <w:rPr>
          <w:sz w:val="20"/>
          <w:szCs w:val="20"/>
          <w:color w:val="auto"/>
        </w:rPr>
      </w:pPr>
      <w:r>
        <w:rPr>
          <w:rFonts w:ascii="Arial" w:cs="Arial" w:eastAsia="Arial" w:hAnsi="Arial"/>
          <w:sz w:val="14"/>
          <w:szCs w:val="14"/>
          <w:b w:val="1"/>
          <w:bCs w:val="1"/>
          <w:color w:val="auto"/>
        </w:rPr>
        <w:t>Vice President and Controller</w:t>
      </w:r>
    </w:p>
    <w:p>
      <w:pPr>
        <w:jc w:val="center"/>
        <w:ind w:left="6180"/>
        <w:spacing w:after="0" w:line="221" w:lineRule="auto"/>
        <w:rPr>
          <w:sz w:val="20"/>
          <w:szCs w:val="20"/>
          <w:color w:val="auto"/>
        </w:rPr>
      </w:pPr>
      <w:r>
        <w:rPr>
          <w:rFonts w:ascii="Arial" w:cs="Arial" w:eastAsia="Arial" w:hAnsi="Arial"/>
          <w:sz w:val="14"/>
          <w:szCs w:val="14"/>
          <w:b w:val="1"/>
          <w:bCs w:val="1"/>
          <w:color w:val="auto"/>
        </w:rPr>
        <w:t>(Duly Authorized Officer and</w:t>
      </w:r>
    </w:p>
    <w:p>
      <w:pPr>
        <w:jc w:val="center"/>
        <w:ind w:left="6180"/>
        <w:spacing w:after="0"/>
        <w:rPr>
          <w:sz w:val="20"/>
          <w:szCs w:val="20"/>
          <w:color w:val="auto"/>
        </w:rPr>
      </w:pPr>
      <w:r>
        <w:rPr>
          <w:rFonts w:ascii="Arial" w:cs="Arial" w:eastAsia="Arial" w:hAnsi="Arial"/>
          <w:sz w:val="14"/>
          <w:szCs w:val="14"/>
          <w:b w:val="1"/>
          <w:bCs w:val="1"/>
          <w:color w:val="auto"/>
        </w:rPr>
        <w:t>Principal Accounting Officer)</w:t>
      </w:r>
    </w:p>
    <w:p>
      <w:pPr>
        <w:spacing w:after="0" w:line="1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134</w:t>
      </w:r>
    </w:p>
    <w:p>
      <w:pPr>
        <w:sectPr>
          <w:pgSz w:w="11900" w:h="16838" w:orient="portrait"/>
          <w:cols w:equalWidth="0" w:num="1">
            <w:col w:w="11400"/>
          </w:cols>
          <w:pgMar w:left="240" w:top="459" w:right="259" w:bottom="1440" w:gutter="0" w:footer="0" w:header="0"/>
        </w:sectPr>
      </w:pPr>
    </w:p>
    <w:bookmarkStart w:id="134" w:name="page135"/>
    <w:bookmarkEnd w:id="134"/>
    <w:p>
      <w:pPr>
        <w:jc w:val="right"/>
        <w:spacing w:after="0"/>
        <w:rPr>
          <w:sz w:val="20"/>
          <w:szCs w:val="20"/>
          <w:color w:val="auto"/>
        </w:rPr>
      </w:pPr>
      <w:r>
        <w:rPr>
          <w:rFonts w:ascii="Arial" w:cs="Arial" w:eastAsia="Arial" w:hAnsi="Arial"/>
          <w:sz w:val="18"/>
          <w:szCs w:val="18"/>
          <w:b w:val="1"/>
          <w:bCs w:val="1"/>
          <w:color w:val="auto"/>
        </w:rPr>
        <w:t>Exhibit 12</w:t>
      </w:r>
    </w:p>
    <w:p>
      <w:pPr>
        <w:spacing w:after="0" w:line="171" w:lineRule="exact"/>
        <w:rPr>
          <w:sz w:val="20"/>
          <w:szCs w:val="20"/>
          <w:color w:val="auto"/>
        </w:rPr>
      </w:pPr>
    </w:p>
    <w:p>
      <w:pPr>
        <w:ind w:left="4780"/>
        <w:spacing w:after="0"/>
        <w:rPr>
          <w:sz w:val="20"/>
          <w:szCs w:val="20"/>
          <w:color w:val="auto"/>
        </w:rPr>
      </w:pPr>
      <w:r>
        <w:rPr>
          <w:rFonts w:ascii="Arial" w:cs="Arial" w:eastAsia="Arial" w:hAnsi="Arial"/>
          <w:sz w:val="18"/>
          <w:szCs w:val="18"/>
          <w:b w:val="1"/>
          <w:bCs w:val="1"/>
          <w:color w:val="auto"/>
        </w:rPr>
        <w:t>Genworth Financial, Inc.</w:t>
      </w:r>
    </w:p>
    <w:p>
      <w:pPr>
        <w:spacing w:after="0" w:line="90" w:lineRule="exact"/>
        <w:rPr>
          <w:sz w:val="20"/>
          <w:szCs w:val="20"/>
          <w:color w:val="auto"/>
        </w:rPr>
      </w:pPr>
    </w:p>
    <w:p>
      <w:pPr>
        <w:ind w:left="3960"/>
        <w:spacing w:after="0"/>
        <w:rPr>
          <w:sz w:val="20"/>
          <w:szCs w:val="20"/>
          <w:color w:val="auto"/>
        </w:rPr>
      </w:pPr>
      <w:r>
        <w:rPr>
          <w:rFonts w:ascii="Arial" w:cs="Arial" w:eastAsia="Arial" w:hAnsi="Arial"/>
          <w:sz w:val="18"/>
          <w:szCs w:val="18"/>
          <w:b w:val="1"/>
          <w:bCs w:val="1"/>
          <w:color w:val="auto"/>
        </w:rPr>
        <w:t>Statement of Ratio of Income to Fixed Charges</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 amounts in millions)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gridSpan w:val="2"/>
          </w:tcPr>
          <w:p>
            <w:pPr>
              <w:ind w:left="20"/>
              <w:spacing w:after="0"/>
              <w:rPr>
                <w:sz w:val="20"/>
                <w:szCs w:val="20"/>
                <w:color w:val="auto"/>
              </w:rPr>
            </w:pPr>
            <w:r>
              <w:rPr>
                <w:rFonts w:ascii="Arial" w:cs="Arial" w:eastAsia="Arial" w:hAnsi="Arial"/>
                <w:sz w:val="14"/>
                <w:szCs w:val="14"/>
                <w:b w:val="1"/>
                <w:bCs w:val="1"/>
                <w:color w:val="auto"/>
                <w:w w:val="82"/>
              </w:rPr>
              <w:t>Six months</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80" w:type="dxa"/>
            <w:vAlign w:val="bottom"/>
            <w:gridSpan w:val="7"/>
            <w:vMerge w:val="restart"/>
          </w:tcPr>
          <w:p>
            <w:pPr>
              <w:jc w:val="right"/>
              <w:spacing w:after="0"/>
              <w:rPr>
                <w:sz w:val="20"/>
                <w:szCs w:val="20"/>
                <w:color w:val="auto"/>
              </w:rPr>
            </w:pPr>
            <w:r>
              <w:rPr>
                <w:rFonts w:ascii="Arial" w:cs="Arial" w:eastAsia="Arial" w:hAnsi="Arial"/>
                <w:sz w:val="14"/>
                <w:szCs w:val="14"/>
                <w:b w:val="1"/>
                <w:bCs w:val="1"/>
                <w:color w:val="auto"/>
                <w:w w:val="96"/>
              </w:rPr>
              <w:t>Years ended December 31,</w:t>
            </w:r>
          </w:p>
        </w:tc>
        <w:tc>
          <w:tcPr>
            <w:tcW w:w="4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0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ind w:right="94"/>
              <w:spacing w:after="0" w:line="148" w:lineRule="exact"/>
              <w:rPr>
                <w:sz w:val="20"/>
                <w:szCs w:val="20"/>
                <w:color w:val="auto"/>
              </w:rPr>
            </w:pPr>
            <w:r>
              <w:rPr>
                <w:rFonts w:ascii="Arial" w:cs="Arial" w:eastAsia="Arial" w:hAnsi="Arial"/>
                <w:sz w:val="14"/>
                <w:szCs w:val="14"/>
                <w:b w:val="1"/>
                <w:bCs w:val="1"/>
                <w:color w:val="auto"/>
                <w:w w:val="82"/>
              </w:rPr>
              <w:t>ended</w:t>
            </w:r>
          </w:p>
        </w:tc>
        <w:tc>
          <w:tcPr>
            <w:tcW w:w="3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780" w:type="dxa"/>
            <w:vAlign w:val="bottom"/>
            <w:tcBorders>
              <w:bottom w:val="single" w:sz="8" w:color="auto"/>
            </w:tcBorders>
            <w:gridSpan w:val="7"/>
            <w:vMerge w:val="continue"/>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0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9"/>
              </w:rPr>
              <w:t>June 30,</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0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rPr>
              <w:t>2010</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ind w:right="33"/>
              <w:spacing w:after="0"/>
              <w:rPr>
                <w:sz w:val="20"/>
                <w:szCs w:val="20"/>
                <w:color w:val="auto"/>
              </w:rPr>
            </w:pPr>
            <w:r>
              <w:rPr>
                <w:rFonts w:ascii="Arial" w:cs="Arial" w:eastAsia="Arial" w:hAnsi="Arial"/>
                <w:sz w:val="14"/>
                <w:szCs w:val="14"/>
                <w:b w:val="1"/>
                <w:bCs w:val="1"/>
                <w:color w:val="auto"/>
                <w:w w:val="83"/>
              </w:rPr>
              <w:t>2009</w:t>
            </w: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w w:val="83"/>
              </w:rPr>
              <w:t>2008</w:t>
            </w: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ind w:right="13"/>
              <w:spacing w:after="0"/>
              <w:rPr>
                <w:sz w:val="20"/>
                <w:szCs w:val="20"/>
                <w:color w:val="auto"/>
              </w:rPr>
            </w:pPr>
            <w:r>
              <w:rPr>
                <w:rFonts w:ascii="Arial" w:cs="Arial" w:eastAsia="Arial" w:hAnsi="Arial"/>
                <w:sz w:val="14"/>
                <w:szCs w:val="14"/>
                <w:b w:val="1"/>
                <w:bCs w:val="1"/>
                <w:color w:val="auto"/>
                <w:w w:val="89"/>
              </w:rPr>
              <w:t>2007</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ind w:right="33"/>
              <w:spacing w:after="0"/>
              <w:rPr>
                <w:sz w:val="20"/>
                <w:szCs w:val="20"/>
                <w:color w:val="auto"/>
              </w:rPr>
            </w:pPr>
            <w:r>
              <w:rPr>
                <w:rFonts w:ascii="Arial" w:cs="Arial" w:eastAsia="Arial" w:hAnsi="Arial"/>
                <w:sz w:val="14"/>
                <w:szCs w:val="14"/>
                <w:b w:val="1"/>
                <w:bCs w:val="1"/>
                <w:color w:val="auto"/>
                <w:w w:val="83"/>
              </w:rPr>
              <w:t>2006</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ind w:right="33"/>
              <w:spacing w:after="0"/>
              <w:rPr>
                <w:sz w:val="20"/>
                <w:szCs w:val="20"/>
                <w:color w:val="auto"/>
              </w:rPr>
            </w:pPr>
            <w:r>
              <w:rPr>
                <w:rFonts w:ascii="Arial" w:cs="Arial" w:eastAsia="Arial" w:hAnsi="Arial"/>
                <w:sz w:val="14"/>
                <w:szCs w:val="14"/>
                <w:b w:val="1"/>
                <w:bCs w:val="1"/>
                <w:color w:val="auto"/>
                <w:w w:val="83"/>
              </w:rPr>
              <w:t>2005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60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7"/>
              </w:rPr>
              <w:t>Income (loss) from continuing operations before income taxes and accounting</w:t>
            </w: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changes</w:t>
            </w:r>
          </w:p>
        </w:tc>
        <w:tc>
          <w:tcPr>
            <w:tcW w:w="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(792)</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(942)</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1,606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1,853</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1,745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Less: income attributable to noncontrolling interests before income taxes</w:t>
            </w: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98</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87</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w w:val="97"/>
              </w:rPr>
              <w:t>Income (loss) from continuing operations before income taxes and accounting</w:t>
            </w:r>
          </w:p>
        </w:tc>
        <w:tc>
          <w:tcPr>
            <w:tcW w:w="2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changes and excluding income attributable to noncontrolling interests</w:t>
            </w:r>
          </w:p>
        </w:tc>
        <w:tc>
          <w:tcPr>
            <w:tcW w:w="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(879)</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(942)</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1,606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1,853</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1,745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100" w:type="dxa"/>
            <w:vAlign w:val="bottom"/>
            <w:gridSpan w:val="2"/>
            <w:vMerge w:val="restart"/>
          </w:tcPr>
          <w:p>
            <w:pPr>
              <w:spacing w:after="0"/>
              <w:rPr>
                <w:sz w:val="20"/>
                <w:szCs w:val="20"/>
                <w:color w:val="auto"/>
              </w:rPr>
            </w:pPr>
            <w:r>
              <w:rPr>
                <w:rFonts w:ascii="Arial" w:cs="Arial" w:eastAsia="Arial" w:hAnsi="Arial"/>
                <w:sz w:val="18"/>
                <w:szCs w:val="18"/>
                <w:color w:val="auto"/>
              </w:rPr>
              <w:t>Fixed charges included in income (loss) from continuing operations:</w:t>
            </w: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100" w:type="dxa"/>
            <w:vAlign w:val="bottom"/>
            <w:gridSpan w:val="2"/>
            <w:vMerge w:val="continue"/>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0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393</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470</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481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364</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420"/>
              <w:spacing w:after="0"/>
              <w:rPr>
                <w:sz w:val="20"/>
                <w:szCs w:val="20"/>
                <w:color w:val="auto"/>
              </w:rPr>
            </w:pPr>
            <w:r>
              <w:rPr>
                <w:rFonts w:ascii="Arial" w:cs="Arial" w:eastAsia="Arial" w:hAnsi="Arial"/>
                <w:sz w:val="18"/>
                <w:szCs w:val="18"/>
                <w:color w:val="auto"/>
              </w:rPr>
              <w:t>Interest portion of rental expense</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8</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14</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18</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15</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860"/>
              <w:spacing w:after="0"/>
              <w:rPr>
                <w:sz w:val="20"/>
                <w:szCs w:val="20"/>
                <w:color w:val="auto"/>
              </w:rPr>
            </w:pPr>
            <w:r>
              <w:rPr>
                <w:rFonts w:ascii="Arial" w:cs="Arial" w:eastAsia="Arial" w:hAnsi="Arial"/>
                <w:sz w:val="18"/>
                <w:szCs w:val="18"/>
                <w:color w:val="auto"/>
              </w:rPr>
              <w:t>Subtotal</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407</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488</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496</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379</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420"/>
              <w:spacing w:after="0"/>
              <w:rPr>
                <w:sz w:val="20"/>
                <w:szCs w:val="20"/>
                <w:color w:val="auto"/>
              </w:rPr>
            </w:pPr>
            <w:r>
              <w:rPr>
                <w:rFonts w:ascii="Arial" w:cs="Arial" w:eastAsia="Arial" w:hAnsi="Arial"/>
                <w:sz w:val="18"/>
                <w:szCs w:val="18"/>
                <w:color w:val="auto"/>
              </w:rPr>
              <w:t>Interest credited to investment contractholders</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424</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984</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1,293</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w w:val="84"/>
              </w:rPr>
              <w:t>1,552</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1,520</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1,423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fixed charges from continuing operations</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656</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1,391</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1,781</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2,048</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1,899</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1,729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Arial" w:cs="Arial" w:eastAsia="Arial" w:hAnsi="Arial"/>
                <w:sz w:val="18"/>
                <w:szCs w:val="18"/>
                <w:color w:val="auto"/>
              </w:rPr>
              <w:t>Fixed charges included in income from discontinued operations:</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80" w:type="dxa"/>
            <w:vAlign w:val="bottom"/>
          </w:tcPr>
          <w:p>
            <w:pPr>
              <w:ind w:left="420"/>
              <w:spacing w:after="0"/>
              <w:rPr>
                <w:sz w:val="20"/>
                <w:szCs w:val="20"/>
                <w:color w:val="auto"/>
              </w:rPr>
            </w:pPr>
            <w:r>
              <w:rPr>
                <w:rFonts w:ascii="Arial" w:cs="Arial" w:eastAsia="Arial" w:hAnsi="Arial"/>
                <w:sz w:val="18"/>
                <w:szCs w:val="18"/>
                <w:color w:val="auto"/>
              </w:rPr>
              <w:t>Interest portion of rental expense</w:t>
            </w:r>
          </w:p>
        </w:tc>
        <w:tc>
          <w:tcPr>
            <w:tcW w:w="2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860"/>
              <w:spacing w:after="0"/>
              <w:rPr>
                <w:sz w:val="20"/>
                <w:szCs w:val="20"/>
                <w:color w:val="auto"/>
              </w:rPr>
            </w:pPr>
            <w:r>
              <w:rPr>
                <w:rFonts w:ascii="Arial" w:cs="Arial" w:eastAsia="Arial" w:hAnsi="Arial"/>
                <w:sz w:val="18"/>
                <w:szCs w:val="18"/>
                <w:color w:val="auto"/>
              </w:rPr>
              <w:t>Subtotal</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ind w:left="420"/>
              <w:spacing w:after="0"/>
              <w:rPr>
                <w:sz w:val="20"/>
                <w:szCs w:val="20"/>
                <w:color w:val="auto"/>
              </w:rPr>
            </w:pPr>
            <w:r>
              <w:rPr>
                <w:rFonts w:ascii="Arial" w:cs="Arial" w:eastAsia="Arial" w:hAnsi="Arial"/>
                <w:sz w:val="18"/>
                <w:szCs w:val="18"/>
                <w:color w:val="auto"/>
              </w:rPr>
              <w:t>Interest credited to investment contractholders</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fixed charges from discontinued operations</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100" w:type="dxa"/>
            <w:vAlign w:val="bottom"/>
            <w:gridSpan w:val="2"/>
            <w:vMerge w:val="restart"/>
          </w:tcPr>
          <w:p>
            <w:pPr>
              <w:spacing w:after="0"/>
              <w:rPr>
                <w:sz w:val="20"/>
                <w:szCs w:val="20"/>
                <w:color w:val="auto"/>
              </w:rPr>
            </w:pPr>
            <w:r>
              <w:rPr>
                <w:rFonts w:ascii="Arial" w:cs="Arial" w:eastAsia="Arial" w:hAnsi="Arial"/>
                <w:sz w:val="18"/>
                <w:szCs w:val="18"/>
                <w:color w:val="auto"/>
              </w:rPr>
              <w:t>Total fixed charges</w:t>
            </w:r>
          </w:p>
        </w:tc>
        <w:tc>
          <w:tcPr>
            <w:tcW w:w="2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100" w:type="dxa"/>
            <w:vAlign w:val="bottom"/>
            <w:gridSpan w:val="2"/>
            <w:vMerge w:val="continue"/>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656</w:t>
            </w:r>
          </w:p>
        </w:tc>
        <w:tc>
          <w:tcPr>
            <w:tcW w:w="44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w w:val="84"/>
              </w:rPr>
              <w:t>1,391</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660" w:type="dxa"/>
            <w:vAlign w:val="bottom"/>
            <w:gridSpan w:val="2"/>
          </w:tcPr>
          <w:p>
            <w:pPr>
              <w:jc w:val="right"/>
              <w:ind w:right="260"/>
              <w:spacing w:after="0"/>
              <w:rPr>
                <w:sz w:val="20"/>
                <w:szCs w:val="20"/>
                <w:color w:val="auto"/>
              </w:rPr>
            </w:pPr>
            <w:r>
              <w:rPr>
                <w:rFonts w:ascii="Arial" w:cs="Arial" w:eastAsia="Arial" w:hAnsi="Arial"/>
                <w:sz w:val="18"/>
                <w:szCs w:val="18"/>
                <w:color w:val="auto"/>
                <w:w w:val="84"/>
              </w:rPr>
              <w:t>1,781</w:t>
            </w:r>
          </w:p>
        </w:tc>
        <w:tc>
          <w:tcPr>
            <w:tcW w:w="2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w w:val="84"/>
              </w:rPr>
              <w:t>2,049</w:t>
            </w: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1,901</w:t>
            </w:r>
          </w:p>
        </w:tc>
        <w:tc>
          <w:tcPr>
            <w:tcW w:w="44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w w:val="84"/>
              </w:rPr>
              <w:t>1,731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6080" w:type="dxa"/>
            <w:vAlign w:val="bottom"/>
            <w:shd w:val="clear" w:color="auto" w:fill="CCEEFF"/>
          </w:tcPr>
          <w:p>
            <w:pPr>
              <w:spacing w:after="0" w:line="203" w:lineRule="exact"/>
              <w:rPr>
                <w:sz w:val="20"/>
                <w:szCs w:val="20"/>
                <w:color w:val="auto"/>
              </w:rPr>
            </w:pPr>
            <w:r>
              <w:rPr>
                <w:rFonts w:ascii="Arial" w:cs="Arial" w:eastAsia="Arial" w:hAnsi="Arial"/>
                <w:sz w:val="18"/>
                <w:szCs w:val="18"/>
                <w:color w:val="auto"/>
                <w:w w:val="93"/>
              </w:rPr>
              <w:t>Income (loss) available for fixed charges (including interest credited to investment</w:t>
            </w: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contractholders)</w:t>
            </w:r>
          </w:p>
        </w:tc>
        <w:tc>
          <w:tcPr>
            <w:tcW w:w="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749</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512</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839</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3,655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3,754</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3,476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100" w:type="dxa"/>
            <w:vAlign w:val="bottom"/>
            <w:gridSpan w:val="2"/>
            <w:vMerge w:val="restart"/>
          </w:tcPr>
          <w:p>
            <w:pPr>
              <w:spacing w:after="0"/>
              <w:rPr>
                <w:sz w:val="20"/>
                <w:szCs w:val="20"/>
                <w:color w:val="auto"/>
              </w:rPr>
            </w:pPr>
            <w:r>
              <w:rPr>
                <w:rFonts w:ascii="Arial" w:cs="Arial" w:eastAsia="Arial" w:hAnsi="Arial"/>
                <w:sz w:val="18"/>
                <w:szCs w:val="18"/>
                <w:color w:val="auto"/>
                <w:w w:val="96"/>
              </w:rPr>
              <w:t>Ratio of income (loss) to fixed charges (including interest credited to investment</w:t>
            </w: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6100" w:type="dxa"/>
            <w:vAlign w:val="bottom"/>
            <w:gridSpan w:val="2"/>
            <w:vMerge w:val="continue"/>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80" w:type="dxa"/>
            <w:vAlign w:val="bottom"/>
          </w:tcPr>
          <w:p>
            <w:pPr>
              <w:ind w:left="200"/>
              <w:spacing w:after="0"/>
              <w:rPr>
                <w:sz w:val="20"/>
                <w:szCs w:val="20"/>
                <w:color w:val="auto"/>
              </w:rPr>
            </w:pPr>
            <w:r>
              <w:rPr>
                <w:rFonts w:ascii="Arial" w:cs="Arial" w:eastAsia="Arial" w:hAnsi="Arial"/>
                <w:sz w:val="18"/>
                <w:szCs w:val="18"/>
                <w:color w:val="auto"/>
              </w:rPr>
              <w:t>contractholders)</w:t>
            </w: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1.14</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0.37</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gridSpan w:val="2"/>
          </w:tcPr>
          <w:p>
            <w:pPr>
              <w:jc w:val="right"/>
              <w:ind w:right="260"/>
              <w:spacing w:after="0"/>
              <w:rPr>
                <w:sz w:val="20"/>
                <w:szCs w:val="20"/>
                <w:color w:val="auto"/>
              </w:rPr>
            </w:pPr>
            <w:r>
              <w:rPr>
                <w:rFonts w:ascii="Arial" w:cs="Arial" w:eastAsia="Arial" w:hAnsi="Arial"/>
                <w:sz w:val="18"/>
                <w:szCs w:val="18"/>
                <w:color w:val="auto"/>
              </w:rPr>
              <w:t>0.47</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rPr>
              <w:t>1.78</w:t>
            </w: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1.97</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2.01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6080" w:type="dxa"/>
            <w:vAlign w:val="bottom"/>
            <w:shd w:val="clear" w:color="auto" w:fill="CCEEFF"/>
          </w:tcPr>
          <w:p>
            <w:pPr>
              <w:spacing w:after="0" w:line="203" w:lineRule="exact"/>
              <w:rPr>
                <w:sz w:val="20"/>
                <w:szCs w:val="20"/>
                <w:color w:val="auto"/>
              </w:rPr>
            </w:pPr>
            <w:r>
              <w:rPr>
                <w:rFonts w:ascii="Arial" w:cs="Arial" w:eastAsia="Arial" w:hAnsi="Arial"/>
                <w:sz w:val="18"/>
                <w:szCs w:val="18"/>
                <w:color w:val="auto"/>
                <w:w w:val="92"/>
              </w:rPr>
              <w:t>Income (loss) available for fixed charges (excluding interest credited to investment</w:t>
            </w: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contractholders)</w:t>
            </w:r>
          </w:p>
        </w:tc>
        <w:tc>
          <w:tcPr>
            <w:tcW w:w="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325</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(472)</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(454)</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2,102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2,232</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2,051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100" w:type="dxa"/>
            <w:vAlign w:val="bottom"/>
            <w:gridSpan w:val="2"/>
            <w:vMerge w:val="restart"/>
          </w:tcPr>
          <w:p>
            <w:pPr>
              <w:spacing w:after="0"/>
              <w:rPr>
                <w:sz w:val="20"/>
                <w:szCs w:val="20"/>
                <w:color w:val="auto"/>
              </w:rPr>
            </w:pPr>
            <w:r>
              <w:rPr>
                <w:rFonts w:ascii="Arial" w:cs="Arial" w:eastAsia="Arial" w:hAnsi="Arial"/>
                <w:sz w:val="18"/>
                <w:szCs w:val="18"/>
                <w:color w:val="auto"/>
                <w:w w:val="95"/>
              </w:rPr>
              <w:t>Ratio of income (loss) to fixed charges (excluding interest credited to investment</w:t>
            </w: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6100" w:type="dxa"/>
            <w:vAlign w:val="bottom"/>
            <w:gridSpan w:val="2"/>
            <w:vMerge w:val="continue"/>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80" w:type="dxa"/>
            <w:vAlign w:val="bottom"/>
          </w:tcPr>
          <w:p>
            <w:pPr>
              <w:ind w:left="200"/>
              <w:spacing w:after="0"/>
              <w:rPr>
                <w:sz w:val="20"/>
                <w:szCs w:val="20"/>
                <w:color w:val="auto"/>
              </w:rPr>
            </w:pPr>
            <w:r>
              <w:rPr>
                <w:rFonts w:ascii="Arial" w:cs="Arial" w:eastAsia="Arial" w:hAnsi="Arial"/>
                <w:sz w:val="18"/>
                <w:szCs w:val="18"/>
                <w:color w:val="auto"/>
              </w:rPr>
              <w:t>contractholders)</w:t>
            </w: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1.40</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w w:val="93"/>
              </w:rPr>
              <w:t>(1.16)</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gridSpan w:val="2"/>
          </w:tcPr>
          <w:p>
            <w:pPr>
              <w:jc w:val="right"/>
              <w:ind w:right="200"/>
              <w:spacing w:after="0"/>
              <w:rPr>
                <w:sz w:val="20"/>
                <w:szCs w:val="20"/>
                <w:color w:val="auto"/>
              </w:rPr>
            </w:pPr>
            <w:r>
              <w:rPr>
                <w:rFonts w:ascii="Arial" w:cs="Arial" w:eastAsia="Arial" w:hAnsi="Arial"/>
                <w:sz w:val="18"/>
                <w:szCs w:val="18"/>
                <w:color w:val="auto"/>
                <w:w w:val="93"/>
              </w:rPr>
              <w:t>(0.93)</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rPr>
              <w:t>4.24</w:t>
            </w: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5.89</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6.70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740" w:firstLine="456"/>
        <w:spacing w:after="0" w:line="268" w:lineRule="auto"/>
        <w:rPr>
          <w:sz w:val="20"/>
          <w:szCs w:val="20"/>
          <w:color w:val="auto"/>
        </w:rPr>
      </w:pPr>
      <w:r>
        <w:rPr>
          <w:rFonts w:ascii="Arial" w:cs="Arial" w:eastAsia="Arial" w:hAnsi="Arial"/>
          <w:sz w:val="18"/>
          <w:szCs w:val="18"/>
          <w:color w:val="auto"/>
        </w:rPr>
        <w:t>For the years ended December 31, 2009 and 2008, our deficiency in income necessary to cover fixed charges was $879 million and $942 million, respectively.</w:t>
      </w:r>
    </w:p>
    <w:p>
      <w:pPr>
        <w:sectPr>
          <w:pgSz w:w="11900" w:h="16838" w:orient="portrait"/>
          <w:cols w:equalWidth="0" w:num="1">
            <w:col w:w="11420"/>
          </w:cols>
          <w:pgMar w:left="240" w:top="125" w:right="239" w:bottom="1440" w:gutter="0" w:footer="0" w:header="0"/>
        </w:sectPr>
      </w:pPr>
    </w:p>
    <w:bookmarkStart w:id="135" w:name="page136"/>
    <w:bookmarkEnd w:id="135"/>
    <w:p>
      <w:pPr>
        <w:jc w:val="right"/>
        <w:spacing w:after="0"/>
        <w:rPr>
          <w:sz w:val="20"/>
          <w:szCs w:val="20"/>
          <w:color w:val="auto"/>
        </w:rPr>
      </w:pPr>
      <w:r>
        <w:rPr>
          <w:rFonts w:ascii="Arial" w:cs="Arial" w:eastAsia="Arial" w:hAnsi="Arial"/>
          <w:sz w:val="18"/>
          <w:szCs w:val="18"/>
          <w:b w:val="1"/>
          <w:bCs w:val="1"/>
          <w:color w:val="auto"/>
        </w:rPr>
        <w:t>Exhibit 31.1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I, Michael D. Fraizer, certify that:</w:t>
      </w:r>
    </w:p>
    <w:p>
      <w:pPr>
        <w:spacing w:after="0" w:line="90" w:lineRule="exact"/>
        <w:rPr>
          <w:sz w:val="20"/>
          <w:szCs w:val="20"/>
          <w:color w:val="auto"/>
        </w:rPr>
      </w:pPr>
    </w:p>
    <w:p>
      <w:pPr>
        <w:ind w:left="640" w:hanging="176"/>
        <w:spacing w:after="0"/>
        <w:tabs>
          <w:tab w:leader="none" w:pos="64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Genworth Financial, Inc.;</w:t>
      </w:r>
    </w:p>
    <w:p>
      <w:pPr>
        <w:spacing w:after="0" w:line="171" w:lineRule="exact"/>
        <w:rPr>
          <w:rFonts w:ascii="Arial" w:cs="Arial" w:eastAsia="Arial" w:hAnsi="Arial"/>
          <w:sz w:val="18"/>
          <w:szCs w:val="18"/>
          <w:color w:val="auto"/>
        </w:rPr>
      </w:pPr>
    </w:p>
    <w:p>
      <w:pPr>
        <w:ind w:right="560" w:firstLine="464"/>
        <w:spacing w:after="0" w:line="370" w:lineRule="auto"/>
        <w:tabs>
          <w:tab w:leader="none" w:pos="632" w:val="left"/>
        </w:tabs>
        <w:numPr>
          <w:ilvl w:val="0"/>
          <w:numId w:val="123"/>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2" w:lineRule="exact"/>
        <w:rPr>
          <w:rFonts w:ascii="Arial" w:cs="Arial" w:eastAsia="Arial" w:hAnsi="Arial"/>
          <w:sz w:val="15"/>
          <w:szCs w:val="15"/>
          <w:color w:val="auto"/>
        </w:rPr>
      </w:pPr>
    </w:p>
    <w:p>
      <w:pPr>
        <w:ind w:right="540" w:firstLine="464"/>
        <w:spacing w:after="0" w:line="332" w:lineRule="auto"/>
        <w:tabs>
          <w:tab w:leader="none" w:pos="632" w:val="left"/>
        </w:tabs>
        <w:numPr>
          <w:ilvl w:val="0"/>
          <w:numId w:val="123"/>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85" w:lineRule="exact"/>
        <w:rPr>
          <w:rFonts w:ascii="Arial" w:cs="Arial" w:eastAsia="Arial" w:hAnsi="Arial"/>
          <w:sz w:val="16"/>
          <w:szCs w:val="16"/>
          <w:color w:val="auto"/>
        </w:rPr>
      </w:pPr>
    </w:p>
    <w:p>
      <w:pPr>
        <w:ind w:right="280" w:firstLine="464"/>
        <w:spacing w:after="0" w:line="259" w:lineRule="auto"/>
        <w:tabs>
          <w:tab w:leader="none" w:pos="632" w:val="left"/>
        </w:tabs>
        <w:numPr>
          <w:ilvl w:val="0"/>
          <w:numId w:val="123"/>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59" w:lineRule="exact"/>
        <w:rPr>
          <w:rFonts w:ascii="Arial" w:cs="Arial" w:eastAsia="Arial" w:hAnsi="Arial"/>
          <w:sz w:val="18"/>
          <w:szCs w:val="18"/>
          <w:color w:val="auto"/>
        </w:rPr>
      </w:pPr>
    </w:p>
    <w:p>
      <w:pPr>
        <w:ind w:left="460" w:right="320" w:firstLine="443"/>
        <w:spacing w:after="0" w:line="259" w:lineRule="auto"/>
        <w:tabs>
          <w:tab w:leader="none" w:pos="1137" w:val="left"/>
        </w:tabs>
        <w:numPr>
          <w:ilvl w:val="1"/>
          <w:numId w:val="12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9" w:lineRule="exact"/>
        <w:rPr>
          <w:rFonts w:ascii="Arial" w:cs="Arial" w:eastAsia="Arial" w:hAnsi="Arial"/>
          <w:sz w:val="18"/>
          <w:szCs w:val="18"/>
          <w:color w:val="auto"/>
        </w:rPr>
      </w:pPr>
    </w:p>
    <w:p>
      <w:pPr>
        <w:ind w:left="1160" w:hanging="257"/>
        <w:spacing w:after="0"/>
        <w:tabs>
          <w:tab w:leader="none" w:pos="1160" w:val="left"/>
        </w:tabs>
        <w:numPr>
          <w:ilvl w:val="1"/>
          <w:numId w:val="123"/>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w:t>
      </w:r>
    </w:p>
    <w:p>
      <w:pPr>
        <w:spacing w:after="0" w:line="38" w:lineRule="exact"/>
        <w:rPr>
          <w:rFonts w:ascii="Arial" w:cs="Arial" w:eastAsia="Arial" w:hAnsi="Arial"/>
          <w:sz w:val="16"/>
          <w:szCs w:val="16"/>
          <w:color w:val="auto"/>
        </w:rPr>
      </w:pPr>
    </w:p>
    <w:p>
      <w:pPr>
        <w:ind w:left="460" w:right="20"/>
        <w:spacing w:after="0" w:line="261" w:lineRule="auto"/>
        <w:rPr>
          <w:rFonts w:ascii="Arial" w:cs="Arial" w:eastAsia="Arial" w:hAnsi="Arial"/>
          <w:sz w:val="16"/>
          <w:szCs w:val="16"/>
          <w:color w:val="auto"/>
        </w:rPr>
      </w:pPr>
      <w:r>
        <w:rPr>
          <w:rFonts w:ascii="Arial" w:cs="Arial" w:eastAsia="Arial" w:hAnsi="Arial"/>
          <w:sz w:val="18"/>
          <w:szCs w:val="18"/>
          <w:color w:val="auto"/>
        </w:rPr>
        <w:t>supervision, to provide reasonable assurance regarding the reliability of financial reporting and the preparation of financial statements for external purposes in accordance with generally accepted accounting principles;</w:t>
      </w:r>
    </w:p>
    <w:p>
      <w:pPr>
        <w:spacing w:after="0" w:line="56" w:lineRule="exact"/>
        <w:rPr>
          <w:rFonts w:ascii="Arial" w:cs="Arial" w:eastAsia="Arial" w:hAnsi="Arial"/>
          <w:sz w:val="16"/>
          <w:szCs w:val="16"/>
          <w:color w:val="auto"/>
        </w:rPr>
      </w:pPr>
    </w:p>
    <w:p>
      <w:pPr>
        <w:ind w:left="460" w:right="820" w:firstLine="443"/>
        <w:spacing w:after="0" w:line="332" w:lineRule="auto"/>
        <w:tabs>
          <w:tab w:leader="none" w:pos="1137" w:val="left"/>
        </w:tabs>
        <w:numPr>
          <w:ilvl w:val="1"/>
          <w:numId w:val="12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4" w:lineRule="exact"/>
        <w:rPr>
          <w:rFonts w:ascii="Arial" w:cs="Arial" w:eastAsia="Arial" w:hAnsi="Arial"/>
          <w:sz w:val="16"/>
          <w:szCs w:val="16"/>
          <w:color w:val="auto"/>
        </w:rPr>
      </w:pPr>
    </w:p>
    <w:p>
      <w:pPr>
        <w:ind w:left="460" w:right="220" w:firstLine="443"/>
        <w:spacing w:after="0" w:line="259" w:lineRule="auto"/>
        <w:tabs>
          <w:tab w:leader="none" w:pos="1147" w:val="left"/>
        </w:tabs>
        <w:numPr>
          <w:ilvl w:val="1"/>
          <w:numId w:val="12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0" w:lineRule="exact"/>
        <w:rPr>
          <w:rFonts w:ascii="Arial" w:cs="Arial" w:eastAsia="Arial" w:hAnsi="Arial"/>
          <w:sz w:val="18"/>
          <w:szCs w:val="18"/>
          <w:color w:val="auto"/>
        </w:rPr>
      </w:pPr>
    </w:p>
    <w:p>
      <w:pPr>
        <w:ind w:right="280" w:firstLine="464"/>
        <w:spacing w:after="0" w:line="332" w:lineRule="auto"/>
        <w:tabs>
          <w:tab w:leader="none" w:pos="632" w:val="left"/>
        </w:tabs>
        <w:numPr>
          <w:ilvl w:val="0"/>
          <w:numId w:val="123"/>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4" w:lineRule="exact"/>
        <w:rPr>
          <w:rFonts w:ascii="Arial" w:cs="Arial" w:eastAsia="Arial" w:hAnsi="Arial"/>
          <w:sz w:val="16"/>
          <w:szCs w:val="16"/>
          <w:color w:val="auto"/>
        </w:rPr>
      </w:pPr>
    </w:p>
    <w:p>
      <w:pPr>
        <w:ind w:left="460" w:right="220" w:firstLine="443"/>
        <w:spacing w:after="0" w:line="268" w:lineRule="auto"/>
        <w:tabs>
          <w:tab w:leader="none" w:pos="1137" w:val="left"/>
        </w:tabs>
        <w:numPr>
          <w:ilvl w:val="1"/>
          <w:numId w:val="123"/>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0" w:lineRule="exact"/>
        <w:rPr>
          <w:rFonts w:ascii="Arial" w:cs="Arial" w:eastAsia="Arial" w:hAnsi="Arial"/>
          <w:sz w:val="18"/>
          <w:szCs w:val="18"/>
          <w:color w:val="auto"/>
        </w:rPr>
      </w:pPr>
    </w:p>
    <w:p>
      <w:pPr>
        <w:ind w:left="460" w:right="180" w:firstLine="443"/>
        <w:spacing w:after="0" w:line="268" w:lineRule="auto"/>
        <w:tabs>
          <w:tab w:leader="none" w:pos="1147" w:val="left"/>
        </w:tabs>
        <w:numPr>
          <w:ilvl w:val="1"/>
          <w:numId w:val="12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Dated: July 30, 2010</w:t>
      </w:r>
    </w:p>
    <w:p>
      <w:pPr>
        <w:spacing w:after="0" w:line="212" w:lineRule="exact"/>
        <w:rPr>
          <w:sz w:val="20"/>
          <w:szCs w:val="20"/>
          <w:color w:val="auto"/>
        </w:rPr>
      </w:pPr>
    </w:p>
    <w:p>
      <w:pPr>
        <w:ind w:left="8040"/>
        <w:spacing w:after="0"/>
        <w:tabs>
          <w:tab w:leader="none" w:pos="8360" w:val="left"/>
        </w:tabs>
        <w:rPr>
          <w:sz w:val="20"/>
          <w:szCs w:val="20"/>
          <w:color w:val="auto"/>
        </w:rPr>
      </w:pPr>
      <w:r>
        <w:rPr>
          <w:rFonts w:ascii="Arial" w:cs="Arial" w:eastAsia="Arial" w:hAnsi="Arial"/>
          <w:sz w:val="18"/>
          <w:szCs w:val="18"/>
          <w:color w:val="auto"/>
        </w:rPr>
        <w:t>/s/</w:t>
        <w:tab/>
        <w:t>M</w:t>
      </w:r>
      <w:r>
        <w:rPr>
          <w:rFonts w:ascii="Arial" w:cs="Arial" w:eastAsia="Arial" w:hAnsi="Arial"/>
          <w:sz w:val="14"/>
          <w:szCs w:val="14"/>
          <w:color w:val="auto"/>
        </w:rPr>
        <w:t>ICHAEL</w:t>
      </w:r>
      <w:r>
        <w:rPr>
          <w:rFonts w:ascii="Arial" w:cs="Arial" w:eastAsia="Arial" w:hAnsi="Arial"/>
          <w:sz w:val="18"/>
          <w:szCs w:val="18"/>
          <w:color w:val="auto"/>
        </w:rPr>
        <w:t xml:space="preserve"> D. F</w:t>
      </w:r>
      <w:r>
        <w:rPr>
          <w:rFonts w:ascii="Arial" w:cs="Arial" w:eastAsia="Arial" w:hAnsi="Arial"/>
          <w:sz w:val="14"/>
          <w:szCs w:val="14"/>
          <w:color w:val="auto"/>
        </w:rPr>
        <w:t>RAIZER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10795</wp:posOffset>
            </wp:positionV>
            <wp:extent cx="2898775"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2" w:lineRule="exact"/>
        <w:rPr>
          <w:sz w:val="20"/>
          <w:szCs w:val="20"/>
          <w:color w:val="auto"/>
        </w:rPr>
      </w:pPr>
    </w:p>
    <w:p>
      <w:pPr>
        <w:jc w:val="center"/>
        <w:ind w:left="6860"/>
        <w:spacing w:after="0"/>
        <w:rPr>
          <w:sz w:val="20"/>
          <w:szCs w:val="20"/>
          <w:color w:val="auto"/>
        </w:rPr>
      </w:pPr>
      <w:r>
        <w:rPr>
          <w:rFonts w:ascii="Arial" w:cs="Arial" w:eastAsia="Arial" w:hAnsi="Arial"/>
          <w:sz w:val="14"/>
          <w:szCs w:val="14"/>
          <w:b w:val="1"/>
          <w:bCs w:val="1"/>
          <w:color w:val="auto"/>
        </w:rPr>
        <w:t>Michael D. Fraizer</w:t>
      </w:r>
    </w:p>
    <w:p>
      <w:pPr>
        <w:jc w:val="center"/>
        <w:ind w:left="6860"/>
        <w:spacing w:after="0" w:line="223" w:lineRule="auto"/>
        <w:rPr>
          <w:sz w:val="20"/>
          <w:szCs w:val="20"/>
          <w:color w:val="auto"/>
        </w:rPr>
      </w:pPr>
      <w:r>
        <w:rPr>
          <w:rFonts w:ascii="Arial" w:cs="Arial" w:eastAsia="Arial" w:hAnsi="Arial"/>
          <w:sz w:val="14"/>
          <w:szCs w:val="14"/>
          <w:b w:val="1"/>
          <w:bCs w:val="1"/>
          <w:color w:val="auto"/>
        </w:rPr>
        <w:t>Chairman of the Board, President and Chief Executive Officer</w:t>
      </w:r>
    </w:p>
    <w:p>
      <w:pPr>
        <w:jc w:val="center"/>
        <w:ind w:left="6860"/>
        <w:spacing w:after="0"/>
        <w:rPr>
          <w:sz w:val="20"/>
          <w:szCs w:val="20"/>
          <w:color w:val="auto"/>
        </w:rPr>
      </w:pPr>
      <w:r>
        <w:rPr>
          <w:rFonts w:ascii="Arial" w:cs="Arial" w:eastAsia="Arial" w:hAnsi="Arial"/>
          <w:sz w:val="14"/>
          <w:szCs w:val="14"/>
          <w:b w:val="1"/>
          <w:bCs w:val="1"/>
          <w:color w:val="auto"/>
        </w:rPr>
        <w:t>(Principal Executive Officer)</w:t>
      </w:r>
    </w:p>
    <w:p>
      <w:pPr>
        <w:sectPr>
          <w:pgSz w:w="11900" w:h="16838" w:orient="portrait"/>
          <w:cols w:equalWidth="0" w:num="1">
            <w:col w:w="11420"/>
          </w:cols>
          <w:pgMar w:left="240" w:top="125" w:right="239" w:bottom="1440" w:gutter="0" w:footer="0" w:header="0"/>
        </w:sectPr>
      </w:pPr>
    </w:p>
    <w:bookmarkStart w:id="136" w:name="page137"/>
    <w:bookmarkEnd w:id="136"/>
    <w:p>
      <w:pPr>
        <w:jc w:val="right"/>
        <w:spacing w:after="0"/>
        <w:rPr>
          <w:sz w:val="20"/>
          <w:szCs w:val="20"/>
          <w:color w:val="auto"/>
        </w:rPr>
      </w:pPr>
      <w:r>
        <w:rPr>
          <w:rFonts w:ascii="Arial" w:cs="Arial" w:eastAsia="Arial" w:hAnsi="Arial"/>
          <w:sz w:val="18"/>
          <w:szCs w:val="18"/>
          <w:b w:val="1"/>
          <w:bCs w:val="1"/>
          <w:color w:val="auto"/>
        </w:rPr>
        <w:t>Exhibit 31.2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I, Patrick B. Kelleher, certify that:</w:t>
      </w:r>
    </w:p>
    <w:p>
      <w:pPr>
        <w:spacing w:after="0" w:line="90" w:lineRule="exact"/>
        <w:rPr>
          <w:sz w:val="20"/>
          <w:szCs w:val="20"/>
          <w:color w:val="auto"/>
        </w:rPr>
      </w:pPr>
    </w:p>
    <w:p>
      <w:pPr>
        <w:ind w:left="640" w:hanging="176"/>
        <w:spacing w:after="0"/>
        <w:tabs>
          <w:tab w:leader="none" w:pos="64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Genworth Financial, Inc.;</w:t>
      </w:r>
    </w:p>
    <w:p>
      <w:pPr>
        <w:spacing w:after="0" w:line="171" w:lineRule="exact"/>
        <w:rPr>
          <w:rFonts w:ascii="Arial" w:cs="Arial" w:eastAsia="Arial" w:hAnsi="Arial"/>
          <w:sz w:val="18"/>
          <w:szCs w:val="18"/>
          <w:color w:val="auto"/>
        </w:rPr>
      </w:pPr>
    </w:p>
    <w:p>
      <w:pPr>
        <w:ind w:right="560" w:firstLine="464"/>
        <w:spacing w:after="0" w:line="370" w:lineRule="auto"/>
        <w:tabs>
          <w:tab w:leader="none" w:pos="632" w:val="left"/>
        </w:tabs>
        <w:numPr>
          <w:ilvl w:val="0"/>
          <w:numId w:val="124"/>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2" w:lineRule="exact"/>
        <w:rPr>
          <w:rFonts w:ascii="Arial" w:cs="Arial" w:eastAsia="Arial" w:hAnsi="Arial"/>
          <w:sz w:val="15"/>
          <w:szCs w:val="15"/>
          <w:color w:val="auto"/>
        </w:rPr>
      </w:pPr>
    </w:p>
    <w:p>
      <w:pPr>
        <w:ind w:right="540" w:firstLine="464"/>
        <w:spacing w:after="0" w:line="332" w:lineRule="auto"/>
        <w:tabs>
          <w:tab w:leader="none" w:pos="632" w:val="left"/>
        </w:tabs>
        <w:numPr>
          <w:ilvl w:val="0"/>
          <w:numId w:val="124"/>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85" w:lineRule="exact"/>
        <w:rPr>
          <w:rFonts w:ascii="Arial" w:cs="Arial" w:eastAsia="Arial" w:hAnsi="Arial"/>
          <w:sz w:val="16"/>
          <w:szCs w:val="16"/>
          <w:color w:val="auto"/>
        </w:rPr>
      </w:pPr>
    </w:p>
    <w:p>
      <w:pPr>
        <w:ind w:right="280" w:firstLine="464"/>
        <w:spacing w:after="0" w:line="259" w:lineRule="auto"/>
        <w:tabs>
          <w:tab w:leader="none" w:pos="632" w:val="left"/>
        </w:tabs>
        <w:numPr>
          <w:ilvl w:val="0"/>
          <w:numId w:val="124"/>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59" w:lineRule="exact"/>
        <w:rPr>
          <w:rFonts w:ascii="Arial" w:cs="Arial" w:eastAsia="Arial" w:hAnsi="Arial"/>
          <w:sz w:val="18"/>
          <w:szCs w:val="18"/>
          <w:color w:val="auto"/>
        </w:rPr>
      </w:pPr>
    </w:p>
    <w:p>
      <w:pPr>
        <w:ind w:left="460" w:right="320" w:firstLine="443"/>
        <w:spacing w:after="0" w:line="259" w:lineRule="auto"/>
        <w:tabs>
          <w:tab w:leader="none" w:pos="1137" w:val="left"/>
        </w:tabs>
        <w:numPr>
          <w:ilvl w:val="1"/>
          <w:numId w:val="12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9" w:lineRule="exact"/>
        <w:rPr>
          <w:rFonts w:ascii="Arial" w:cs="Arial" w:eastAsia="Arial" w:hAnsi="Arial"/>
          <w:sz w:val="18"/>
          <w:szCs w:val="18"/>
          <w:color w:val="auto"/>
        </w:rPr>
      </w:pPr>
    </w:p>
    <w:p>
      <w:pPr>
        <w:ind w:left="1160" w:hanging="257"/>
        <w:spacing w:after="0"/>
        <w:tabs>
          <w:tab w:leader="none" w:pos="1160" w:val="left"/>
        </w:tabs>
        <w:numPr>
          <w:ilvl w:val="1"/>
          <w:numId w:val="124"/>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w:t>
      </w:r>
    </w:p>
    <w:p>
      <w:pPr>
        <w:spacing w:after="0" w:line="38" w:lineRule="exact"/>
        <w:rPr>
          <w:rFonts w:ascii="Arial" w:cs="Arial" w:eastAsia="Arial" w:hAnsi="Arial"/>
          <w:sz w:val="16"/>
          <w:szCs w:val="16"/>
          <w:color w:val="auto"/>
        </w:rPr>
      </w:pPr>
    </w:p>
    <w:p>
      <w:pPr>
        <w:ind w:left="460" w:right="20"/>
        <w:spacing w:after="0" w:line="261" w:lineRule="auto"/>
        <w:rPr>
          <w:rFonts w:ascii="Arial" w:cs="Arial" w:eastAsia="Arial" w:hAnsi="Arial"/>
          <w:sz w:val="16"/>
          <w:szCs w:val="16"/>
          <w:color w:val="auto"/>
        </w:rPr>
      </w:pPr>
      <w:r>
        <w:rPr>
          <w:rFonts w:ascii="Arial" w:cs="Arial" w:eastAsia="Arial" w:hAnsi="Arial"/>
          <w:sz w:val="18"/>
          <w:szCs w:val="18"/>
          <w:color w:val="auto"/>
        </w:rPr>
        <w:t>supervision, to provide reasonable assurance regarding the reliability of financial reporting and the preparation of financial statements for external purposes in accordance with generally accepted accounting principles;</w:t>
      </w:r>
    </w:p>
    <w:p>
      <w:pPr>
        <w:spacing w:after="0" w:line="56" w:lineRule="exact"/>
        <w:rPr>
          <w:rFonts w:ascii="Arial" w:cs="Arial" w:eastAsia="Arial" w:hAnsi="Arial"/>
          <w:sz w:val="16"/>
          <w:szCs w:val="16"/>
          <w:color w:val="auto"/>
        </w:rPr>
      </w:pPr>
    </w:p>
    <w:p>
      <w:pPr>
        <w:ind w:left="460" w:right="820" w:firstLine="443"/>
        <w:spacing w:after="0" w:line="332" w:lineRule="auto"/>
        <w:tabs>
          <w:tab w:leader="none" w:pos="1137" w:val="left"/>
        </w:tabs>
        <w:numPr>
          <w:ilvl w:val="1"/>
          <w:numId w:val="12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4" w:lineRule="exact"/>
        <w:rPr>
          <w:rFonts w:ascii="Arial" w:cs="Arial" w:eastAsia="Arial" w:hAnsi="Arial"/>
          <w:sz w:val="16"/>
          <w:szCs w:val="16"/>
          <w:color w:val="auto"/>
        </w:rPr>
      </w:pPr>
    </w:p>
    <w:p>
      <w:pPr>
        <w:ind w:left="460" w:right="220" w:firstLine="443"/>
        <w:spacing w:after="0" w:line="259" w:lineRule="auto"/>
        <w:tabs>
          <w:tab w:leader="none" w:pos="1147" w:val="left"/>
        </w:tabs>
        <w:numPr>
          <w:ilvl w:val="1"/>
          <w:numId w:val="12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0" w:lineRule="exact"/>
        <w:rPr>
          <w:rFonts w:ascii="Arial" w:cs="Arial" w:eastAsia="Arial" w:hAnsi="Arial"/>
          <w:sz w:val="18"/>
          <w:szCs w:val="18"/>
          <w:color w:val="auto"/>
        </w:rPr>
      </w:pPr>
    </w:p>
    <w:p>
      <w:pPr>
        <w:ind w:right="280" w:firstLine="464"/>
        <w:spacing w:after="0" w:line="332" w:lineRule="auto"/>
        <w:tabs>
          <w:tab w:leader="none" w:pos="632" w:val="left"/>
        </w:tabs>
        <w:numPr>
          <w:ilvl w:val="0"/>
          <w:numId w:val="124"/>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4" w:lineRule="exact"/>
        <w:rPr>
          <w:rFonts w:ascii="Arial" w:cs="Arial" w:eastAsia="Arial" w:hAnsi="Arial"/>
          <w:sz w:val="16"/>
          <w:szCs w:val="16"/>
          <w:color w:val="auto"/>
        </w:rPr>
      </w:pPr>
    </w:p>
    <w:p>
      <w:pPr>
        <w:ind w:left="460" w:right="220" w:firstLine="443"/>
        <w:spacing w:after="0" w:line="268" w:lineRule="auto"/>
        <w:tabs>
          <w:tab w:leader="none" w:pos="1137" w:val="left"/>
        </w:tabs>
        <w:numPr>
          <w:ilvl w:val="1"/>
          <w:numId w:val="12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0" w:lineRule="exact"/>
        <w:rPr>
          <w:rFonts w:ascii="Arial" w:cs="Arial" w:eastAsia="Arial" w:hAnsi="Arial"/>
          <w:sz w:val="18"/>
          <w:szCs w:val="18"/>
          <w:color w:val="auto"/>
        </w:rPr>
      </w:pPr>
    </w:p>
    <w:p>
      <w:pPr>
        <w:ind w:left="460" w:right="180" w:firstLine="443"/>
        <w:spacing w:after="0" w:line="268" w:lineRule="auto"/>
        <w:tabs>
          <w:tab w:leader="none" w:pos="1147" w:val="left"/>
        </w:tabs>
        <w:numPr>
          <w:ilvl w:val="1"/>
          <w:numId w:val="12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Dated: July 30, 2010</w:t>
      </w:r>
    </w:p>
    <w:p>
      <w:pPr>
        <w:spacing w:after="0" w:line="212" w:lineRule="exact"/>
        <w:rPr>
          <w:sz w:val="20"/>
          <w:szCs w:val="20"/>
          <w:color w:val="auto"/>
        </w:rPr>
      </w:pPr>
    </w:p>
    <w:p>
      <w:pPr>
        <w:ind w:left="8000"/>
        <w:spacing w:after="0"/>
        <w:tabs>
          <w:tab w:leader="none" w:pos="832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P</w:t>
      </w:r>
      <w:r>
        <w:rPr>
          <w:rFonts w:ascii="Arial" w:cs="Arial" w:eastAsia="Arial" w:hAnsi="Arial"/>
          <w:sz w:val="13"/>
          <w:szCs w:val="13"/>
          <w:color w:val="auto"/>
        </w:rPr>
        <w:t>ATRICK</w:t>
      </w:r>
      <w:r>
        <w:rPr>
          <w:rFonts w:ascii="Arial" w:cs="Arial" w:eastAsia="Arial" w:hAnsi="Arial"/>
          <w:sz w:val="16"/>
          <w:szCs w:val="16"/>
          <w:color w:val="auto"/>
        </w:rPr>
        <w:t xml:space="preserve"> B. K</w:t>
      </w:r>
      <w:r>
        <w:rPr>
          <w:rFonts w:ascii="Arial" w:cs="Arial" w:eastAsia="Arial" w:hAnsi="Arial"/>
          <w:sz w:val="13"/>
          <w:szCs w:val="13"/>
          <w:color w:val="auto"/>
        </w:rPr>
        <w:t>ELLEHER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10795</wp:posOffset>
            </wp:positionV>
            <wp:extent cx="2898775"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2" w:lineRule="exact"/>
        <w:rPr>
          <w:sz w:val="20"/>
          <w:szCs w:val="20"/>
          <w:color w:val="auto"/>
        </w:rPr>
      </w:pPr>
    </w:p>
    <w:p>
      <w:pPr>
        <w:jc w:val="center"/>
        <w:ind w:left="6860"/>
        <w:spacing w:after="0"/>
        <w:rPr>
          <w:sz w:val="20"/>
          <w:szCs w:val="20"/>
          <w:color w:val="auto"/>
        </w:rPr>
      </w:pPr>
      <w:r>
        <w:rPr>
          <w:rFonts w:ascii="Arial" w:cs="Arial" w:eastAsia="Arial" w:hAnsi="Arial"/>
          <w:sz w:val="14"/>
          <w:szCs w:val="14"/>
          <w:b w:val="1"/>
          <w:bCs w:val="1"/>
          <w:color w:val="auto"/>
        </w:rPr>
        <w:t>Patrick B. Kelleher</w:t>
      </w:r>
    </w:p>
    <w:p>
      <w:pPr>
        <w:jc w:val="center"/>
        <w:ind w:left="6860"/>
        <w:spacing w:after="0" w:line="223" w:lineRule="auto"/>
        <w:rPr>
          <w:sz w:val="20"/>
          <w:szCs w:val="20"/>
          <w:color w:val="auto"/>
        </w:rPr>
      </w:pPr>
      <w:r>
        <w:rPr>
          <w:rFonts w:ascii="Arial" w:cs="Arial" w:eastAsia="Arial" w:hAnsi="Arial"/>
          <w:sz w:val="14"/>
          <w:szCs w:val="14"/>
          <w:b w:val="1"/>
          <w:bCs w:val="1"/>
          <w:color w:val="auto"/>
        </w:rPr>
        <w:t>Senior Vice President—Chief Financial Officer</w:t>
      </w:r>
    </w:p>
    <w:p>
      <w:pPr>
        <w:jc w:val="center"/>
        <w:ind w:left="6860"/>
        <w:spacing w:after="0"/>
        <w:rPr>
          <w:sz w:val="20"/>
          <w:szCs w:val="20"/>
          <w:color w:val="auto"/>
        </w:rPr>
      </w:pPr>
      <w:r>
        <w:rPr>
          <w:rFonts w:ascii="Arial" w:cs="Arial" w:eastAsia="Arial" w:hAnsi="Arial"/>
          <w:sz w:val="14"/>
          <w:szCs w:val="14"/>
          <w:b w:val="1"/>
          <w:bCs w:val="1"/>
          <w:color w:val="auto"/>
        </w:rPr>
        <w:t>(Principal Financial Officer)</w:t>
      </w:r>
    </w:p>
    <w:p>
      <w:pPr>
        <w:sectPr>
          <w:pgSz w:w="11900" w:h="16838" w:orient="portrait"/>
          <w:cols w:equalWidth="0" w:num="1">
            <w:col w:w="11420"/>
          </w:cols>
          <w:pgMar w:left="240" w:top="125" w:right="239" w:bottom="1440" w:gutter="0" w:footer="0" w:header="0"/>
        </w:sectPr>
      </w:pPr>
    </w:p>
    <w:bookmarkStart w:id="137" w:name="page138"/>
    <w:bookmarkEnd w:id="137"/>
    <w:p>
      <w:pPr>
        <w:jc w:val="right"/>
        <w:spacing w:after="0"/>
        <w:rPr>
          <w:sz w:val="20"/>
          <w:szCs w:val="20"/>
          <w:color w:val="auto"/>
        </w:rPr>
      </w:pPr>
      <w:r>
        <w:rPr>
          <w:rFonts w:ascii="Arial" w:cs="Arial" w:eastAsia="Arial" w:hAnsi="Arial"/>
          <w:sz w:val="18"/>
          <w:szCs w:val="18"/>
          <w:b w:val="1"/>
          <w:bCs w:val="1"/>
          <w:color w:val="auto"/>
        </w:rPr>
        <w:t>Exhibit 32.1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65"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I, Michael D. Fraizer, as Chairman of the Board, President and Chief Executive Officer of Genworth Financial, Inc. (the “Company”), certify, pursuant to 18 U.S.C. Section 1350 (as adopted pursuant to Section 906 of the Sarbanes-Oxley Act of 2002), that to my knowledge:</w:t>
      </w:r>
    </w:p>
    <w:p>
      <w:pPr>
        <w:spacing w:after="0" w:line="51" w:lineRule="exact"/>
        <w:rPr>
          <w:sz w:val="20"/>
          <w:szCs w:val="20"/>
          <w:color w:val="auto"/>
        </w:rPr>
      </w:pPr>
    </w:p>
    <w:p>
      <w:pPr>
        <w:ind w:left="900" w:right="360" w:hanging="446"/>
        <w:spacing w:after="0" w:line="259" w:lineRule="auto"/>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the accompanying Quarterly Report on Form 10-Q of the Company for the six months ended June 30, 2010 (the “Report”), filed with the U.S. Securities and Exchange Commission, fully complies with the requirements of Section 13(a) or 15(d) of the Securities Exchange Act of 1934, as amended; and</w:t>
      </w:r>
    </w:p>
    <w:p>
      <w:pPr>
        <w:spacing w:after="0" w:line="59" w:lineRule="exact"/>
        <w:rPr>
          <w:rFonts w:ascii="Arial" w:cs="Arial" w:eastAsia="Arial" w:hAnsi="Arial"/>
          <w:sz w:val="18"/>
          <w:szCs w:val="18"/>
          <w:color w:val="auto"/>
        </w:rPr>
      </w:pPr>
    </w:p>
    <w:p>
      <w:pPr>
        <w:ind w:left="900" w:hanging="446"/>
        <w:spacing w:after="0"/>
        <w:tabs>
          <w:tab w:leader="none" w:pos="900" w:val="left"/>
        </w:tabs>
        <w:numPr>
          <w:ilvl w:val="0"/>
          <w:numId w:val="125"/>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Dated: July 30, 2010</w:t>
      </w:r>
    </w:p>
    <w:p>
      <w:pPr>
        <w:spacing w:after="0" w:line="212" w:lineRule="exact"/>
        <w:rPr>
          <w:sz w:val="20"/>
          <w:szCs w:val="20"/>
          <w:color w:val="auto"/>
        </w:rPr>
      </w:pPr>
    </w:p>
    <w:p>
      <w:pPr>
        <w:ind w:left="8040"/>
        <w:spacing w:after="0"/>
        <w:tabs>
          <w:tab w:leader="none" w:pos="8360" w:val="left"/>
        </w:tabs>
        <w:rPr>
          <w:sz w:val="20"/>
          <w:szCs w:val="20"/>
          <w:color w:val="auto"/>
        </w:rPr>
      </w:pPr>
      <w:r>
        <w:rPr>
          <w:rFonts w:ascii="Arial" w:cs="Arial" w:eastAsia="Arial" w:hAnsi="Arial"/>
          <w:sz w:val="18"/>
          <w:szCs w:val="18"/>
          <w:color w:val="auto"/>
        </w:rPr>
        <w:t>/s/</w:t>
        <w:tab/>
        <w:t>M</w:t>
      </w:r>
      <w:r>
        <w:rPr>
          <w:rFonts w:ascii="Arial" w:cs="Arial" w:eastAsia="Arial" w:hAnsi="Arial"/>
          <w:sz w:val="14"/>
          <w:szCs w:val="14"/>
          <w:color w:val="auto"/>
        </w:rPr>
        <w:t>ICHAEL</w:t>
      </w:r>
      <w:r>
        <w:rPr>
          <w:rFonts w:ascii="Arial" w:cs="Arial" w:eastAsia="Arial" w:hAnsi="Arial"/>
          <w:sz w:val="18"/>
          <w:szCs w:val="18"/>
          <w:color w:val="auto"/>
        </w:rPr>
        <w:t xml:space="preserve"> D. F</w:t>
      </w:r>
      <w:r>
        <w:rPr>
          <w:rFonts w:ascii="Arial" w:cs="Arial" w:eastAsia="Arial" w:hAnsi="Arial"/>
          <w:sz w:val="14"/>
          <w:szCs w:val="14"/>
          <w:color w:val="auto"/>
        </w:rPr>
        <w:t>RAIZER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10795</wp:posOffset>
            </wp:positionV>
            <wp:extent cx="2898775"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2" w:lineRule="exact"/>
        <w:rPr>
          <w:sz w:val="20"/>
          <w:szCs w:val="20"/>
          <w:color w:val="auto"/>
        </w:rPr>
      </w:pPr>
    </w:p>
    <w:p>
      <w:pPr>
        <w:jc w:val="center"/>
        <w:ind w:left="6860"/>
        <w:spacing w:after="0"/>
        <w:rPr>
          <w:sz w:val="20"/>
          <w:szCs w:val="20"/>
          <w:color w:val="auto"/>
        </w:rPr>
      </w:pPr>
      <w:r>
        <w:rPr>
          <w:rFonts w:ascii="Arial" w:cs="Arial" w:eastAsia="Arial" w:hAnsi="Arial"/>
          <w:sz w:val="14"/>
          <w:szCs w:val="14"/>
          <w:b w:val="1"/>
          <w:bCs w:val="1"/>
          <w:color w:val="auto"/>
        </w:rPr>
        <w:t>Michael D. Fraizer</w:t>
      </w:r>
    </w:p>
    <w:p>
      <w:pPr>
        <w:jc w:val="center"/>
        <w:ind w:left="6860"/>
        <w:spacing w:after="0" w:line="223" w:lineRule="auto"/>
        <w:rPr>
          <w:sz w:val="20"/>
          <w:szCs w:val="20"/>
          <w:color w:val="auto"/>
        </w:rPr>
      </w:pPr>
      <w:r>
        <w:rPr>
          <w:rFonts w:ascii="Arial" w:cs="Arial" w:eastAsia="Arial" w:hAnsi="Arial"/>
          <w:sz w:val="14"/>
          <w:szCs w:val="14"/>
          <w:b w:val="1"/>
          <w:bCs w:val="1"/>
          <w:color w:val="auto"/>
        </w:rPr>
        <w:t>Chairman of the Board, President and Chief Executive Officer</w:t>
      </w:r>
    </w:p>
    <w:p>
      <w:pPr>
        <w:jc w:val="center"/>
        <w:ind w:left="6860"/>
        <w:spacing w:after="0"/>
        <w:rPr>
          <w:sz w:val="20"/>
          <w:szCs w:val="20"/>
          <w:color w:val="auto"/>
        </w:rPr>
      </w:pPr>
      <w:r>
        <w:rPr>
          <w:rFonts w:ascii="Arial" w:cs="Arial" w:eastAsia="Arial" w:hAnsi="Arial"/>
          <w:sz w:val="14"/>
          <w:szCs w:val="14"/>
          <w:b w:val="1"/>
          <w:bCs w:val="1"/>
          <w:color w:val="auto"/>
        </w:rPr>
        <w:t>(Principal Executive Officer)</w:t>
      </w:r>
    </w:p>
    <w:p>
      <w:pPr>
        <w:sectPr>
          <w:pgSz w:w="11900" w:h="16838" w:orient="portrait"/>
          <w:cols w:equalWidth="0" w:num="1">
            <w:col w:w="11420"/>
          </w:cols>
          <w:pgMar w:left="240" w:top="125" w:right="239" w:bottom="1440" w:gutter="0" w:footer="0" w:header="0"/>
        </w:sectPr>
      </w:pPr>
    </w:p>
    <w:bookmarkStart w:id="138" w:name="page139"/>
    <w:bookmarkEnd w:id="138"/>
    <w:p>
      <w:pPr>
        <w:jc w:val="right"/>
        <w:spacing w:after="0"/>
        <w:rPr>
          <w:sz w:val="20"/>
          <w:szCs w:val="20"/>
          <w:color w:val="auto"/>
        </w:rPr>
      </w:pPr>
      <w:r>
        <w:rPr>
          <w:rFonts w:ascii="Arial" w:cs="Arial" w:eastAsia="Arial" w:hAnsi="Arial"/>
          <w:sz w:val="18"/>
          <w:szCs w:val="18"/>
          <w:b w:val="1"/>
          <w:bCs w:val="1"/>
          <w:color w:val="auto"/>
        </w:rPr>
        <w:t>Exhibit 32.2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 Patrick B. Kelleher, as Senior Vice President—Chief Financial Officer of Genworth Financial, Inc. (the “Company”), certify, pursuant to 18 U.S.C.</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Section 1350 (as adopted pursuant to Section 906 of the Sarbanes-Oxley Act of 2002), that to my knowledge:</w:t>
      </w:r>
    </w:p>
    <w:p>
      <w:pPr>
        <w:spacing w:after="0" w:line="84" w:lineRule="exact"/>
        <w:rPr>
          <w:sz w:val="20"/>
          <w:szCs w:val="20"/>
          <w:color w:val="auto"/>
        </w:rPr>
      </w:pPr>
    </w:p>
    <w:p>
      <w:pPr>
        <w:ind w:left="900" w:right="360" w:hanging="446"/>
        <w:spacing w:after="0" w:line="259" w:lineRule="auto"/>
        <w:tabs>
          <w:tab w:leader="none" w:pos="900" w:val="left"/>
        </w:tabs>
        <w:numPr>
          <w:ilvl w:val="0"/>
          <w:numId w:val="126"/>
        </w:numPr>
        <w:rPr>
          <w:rFonts w:ascii="Arial" w:cs="Arial" w:eastAsia="Arial" w:hAnsi="Arial"/>
          <w:sz w:val="18"/>
          <w:szCs w:val="18"/>
          <w:color w:val="auto"/>
        </w:rPr>
      </w:pPr>
      <w:r>
        <w:rPr>
          <w:rFonts w:ascii="Arial" w:cs="Arial" w:eastAsia="Arial" w:hAnsi="Arial"/>
          <w:sz w:val="18"/>
          <w:szCs w:val="18"/>
          <w:color w:val="auto"/>
        </w:rPr>
        <w:t>the accompanying Quarterly Report on Form 10-Q of the Company for the six months ended June 30, 2010 (the “Report”), filed with the U.S. Securities and Exchange Commission, fully complies with the requirements of Section 13(a) or 15(d) of the Securities Exchange Act of 1934, as amended; and</w:t>
      </w:r>
    </w:p>
    <w:p>
      <w:pPr>
        <w:spacing w:after="0" w:line="59" w:lineRule="exact"/>
        <w:rPr>
          <w:rFonts w:ascii="Arial" w:cs="Arial" w:eastAsia="Arial" w:hAnsi="Arial"/>
          <w:sz w:val="18"/>
          <w:szCs w:val="18"/>
          <w:color w:val="auto"/>
        </w:rPr>
      </w:pPr>
    </w:p>
    <w:p>
      <w:pPr>
        <w:ind w:left="900" w:hanging="446"/>
        <w:spacing w:after="0"/>
        <w:tabs>
          <w:tab w:leader="none" w:pos="900" w:val="left"/>
        </w:tabs>
        <w:numPr>
          <w:ilvl w:val="0"/>
          <w:numId w:val="126"/>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Dated: July 30, 2010</w:t>
      </w:r>
    </w:p>
    <w:p>
      <w:pPr>
        <w:spacing w:after="0" w:line="212" w:lineRule="exact"/>
        <w:rPr>
          <w:sz w:val="20"/>
          <w:szCs w:val="20"/>
          <w:color w:val="auto"/>
        </w:rPr>
      </w:pPr>
    </w:p>
    <w:p>
      <w:pPr>
        <w:ind w:left="8000"/>
        <w:spacing w:after="0"/>
        <w:tabs>
          <w:tab w:leader="none" w:pos="832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P</w:t>
      </w:r>
      <w:r>
        <w:rPr>
          <w:rFonts w:ascii="Arial" w:cs="Arial" w:eastAsia="Arial" w:hAnsi="Arial"/>
          <w:sz w:val="13"/>
          <w:szCs w:val="13"/>
          <w:color w:val="auto"/>
        </w:rPr>
        <w:t>ATRICK</w:t>
      </w:r>
      <w:r>
        <w:rPr>
          <w:rFonts w:ascii="Arial" w:cs="Arial" w:eastAsia="Arial" w:hAnsi="Arial"/>
          <w:sz w:val="16"/>
          <w:szCs w:val="16"/>
          <w:color w:val="auto"/>
        </w:rPr>
        <w:t xml:space="preserve"> B. K</w:t>
      </w:r>
      <w:r>
        <w:rPr>
          <w:rFonts w:ascii="Arial" w:cs="Arial" w:eastAsia="Arial" w:hAnsi="Arial"/>
          <w:sz w:val="13"/>
          <w:szCs w:val="13"/>
          <w:color w:val="auto"/>
        </w:rPr>
        <w:t>ELLEHER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10795</wp:posOffset>
            </wp:positionV>
            <wp:extent cx="2898775"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2" w:lineRule="exact"/>
        <w:rPr>
          <w:sz w:val="20"/>
          <w:szCs w:val="20"/>
          <w:color w:val="auto"/>
        </w:rPr>
      </w:pPr>
    </w:p>
    <w:p>
      <w:pPr>
        <w:jc w:val="center"/>
        <w:ind w:left="6860"/>
        <w:spacing w:after="0"/>
        <w:rPr>
          <w:sz w:val="20"/>
          <w:szCs w:val="20"/>
          <w:color w:val="auto"/>
        </w:rPr>
      </w:pPr>
      <w:r>
        <w:rPr>
          <w:rFonts w:ascii="Arial" w:cs="Arial" w:eastAsia="Arial" w:hAnsi="Arial"/>
          <w:sz w:val="14"/>
          <w:szCs w:val="14"/>
          <w:b w:val="1"/>
          <w:bCs w:val="1"/>
          <w:color w:val="auto"/>
        </w:rPr>
        <w:t>Patrick B. Kelleher</w:t>
      </w:r>
    </w:p>
    <w:p>
      <w:pPr>
        <w:jc w:val="center"/>
        <w:ind w:left="6860"/>
        <w:spacing w:after="0" w:line="223" w:lineRule="auto"/>
        <w:rPr>
          <w:sz w:val="20"/>
          <w:szCs w:val="20"/>
          <w:color w:val="auto"/>
        </w:rPr>
      </w:pPr>
      <w:r>
        <w:rPr>
          <w:rFonts w:ascii="Arial" w:cs="Arial" w:eastAsia="Arial" w:hAnsi="Arial"/>
          <w:sz w:val="14"/>
          <w:szCs w:val="14"/>
          <w:b w:val="1"/>
          <w:bCs w:val="1"/>
          <w:color w:val="auto"/>
        </w:rPr>
        <w:t>Senior Vice President—Chief Financial Officer</w:t>
      </w:r>
    </w:p>
    <w:p>
      <w:pPr>
        <w:jc w:val="center"/>
        <w:ind w:left="6860"/>
        <w:spacing w:after="0"/>
        <w:rPr>
          <w:sz w:val="20"/>
          <w:szCs w:val="20"/>
          <w:color w:val="auto"/>
        </w:rPr>
      </w:pPr>
      <w:r>
        <w:rPr>
          <w:rFonts w:ascii="Arial" w:cs="Arial" w:eastAsia="Arial" w:hAnsi="Arial"/>
          <w:sz w:val="14"/>
          <w:szCs w:val="14"/>
          <w:b w:val="1"/>
          <w:bCs w:val="1"/>
          <w:color w:val="auto"/>
        </w:rPr>
        <w:t>(Principal Financial Officer)</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79BE4F1"/>
    <w:multiLevelType w:val="hybridMultilevel"/>
    <w:lvl w:ilvl="0">
      <w:lvlJc w:val="left"/>
      <w:lvlText w:val="☒"/>
      <w:numFmt w:val="bullet"/>
      <w:start w:val="1"/>
    </w:lvl>
  </w:abstractNum>
  <w:abstractNum w:abstractNumId="1">
    <w:nsid w:val="310C50B3"/>
    <w:multiLevelType w:val="hybridMultilevel"/>
    <w:lvl w:ilvl="0">
      <w:lvlJc w:val="left"/>
      <w:lvlText w:val="☐"/>
      <w:numFmt w:val="bullet"/>
      <w:start w:val="1"/>
    </w:lvl>
  </w:abstractNum>
  <w:abstractNum w:abstractNumId="2">
    <w:nsid w:val="5FF87E05"/>
    <w:multiLevelType w:val="hybridMultilevel"/>
    <w:lvl w:ilvl="0">
      <w:lvlJc w:val="left"/>
      <w:lvlText w:val="•"/>
      <w:numFmt w:val="bullet"/>
      <w:start w:val="1"/>
    </w:lvl>
  </w:abstractNum>
  <w:abstractNum w:abstractNumId="3">
    <w:nsid w:val="2F305DEF"/>
    <w:multiLevelType w:val="hybridMultilevel"/>
    <w:lvl w:ilvl="0">
      <w:lvlJc w:val="left"/>
      <w:lvlText w:val="(%1)"/>
      <w:numFmt w:val="decimal"/>
      <w:start w:val="2"/>
    </w:lvl>
  </w:abstractNum>
  <w:abstractNum w:abstractNumId="4">
    <w:nsid w:val="25A70BF7"/>
    <w:multiLevelType w:val="hybridMultilevel"/>
    <w:lvl w:ilvl="0">
      <w:lvlJc w:val="left"/>
      <w:lvlText w:val="$"/>
      <w:numFmt w:val="bullet"/>
      <w:start w:val="1"/>
    </w:lvl>
  </w:abstractNum>
  <w:abstractNum w:abstractNumId="5">
    <w:nsid w:val="1DBABF00"/>
    <w:multiLevelType w:val="hybridMultilevel"/>
    <w:lvl w:ilvl="0">
      <w:lvlJc w:val="left"/>
      <w:lvlText w:val="(%1)"/>
      <w:numFmt w:val="decimal"/>
      <w:start w:val="1"/>
    </w:lvl>
  </w:abstractNum>
  <w:abstractNum w:abstractNumId="6">
    <w:nsid w:val="4AD084E9"/>
    <w:multiLevelType w:val="hybridMultilevel"/>
    <w:lvl w:ilvl="0">
      <w:lvlJc w:val="left"/>
      <w:lvlText w:val="(%1)"/>
      <w:numFmt w:val="decimal"/>
      <w:start w:val="1"/>
    </w:lvl>
  </w:abstractNum>
  <w:abstractNum w:abstractNumId="7">
    <w:nsid w:val="1F48EAA1"/>
    <w:multiLevelType w:val="hybridMultilevel"/>
    <w:lvl w:ilvl="0">
      <w:lvlJc w:val="left"/>
      <w:lvlText w:val="(%1)"/>
      <w:numFmt w:val="decimal"/>
      <w:start w:val="4"/>
    </w:lvl>
    <w:lvl w:ilvl="1">
      <w:lvlJc w:val="left"/>
      <w:lvlText w:val="(%2)"/>
      <w:numFmt w:val="lowerLetter"/>
      <w:start w:val="1"/>
    </w:lvl>
  </w:abstractNum>
  <w:abstractNum w:abstractNumId="8">
    <w:nsid w:val="1381823A"/>
    <w:multiLevelType w:val="hybridMultilevel"/>
    <w:lvl w:ilvl="0">
      <w:lvlJc w:val="left"/>
      <w:lvlText w:val="(%1)"/>
      <w:numFmt w:val="decimal"/>
      <w:start w:val="1"/>
    </w:lvl>
  </w:abstractNum>
  <w:abstractNum w:abstractNumId="9">
    <w:nsid w:val="5DB70AE5"/>
    <w:multiLevelType w:val="hybridMultilevel"/>
    <w:lvl w:ilvl="0">
      <w:lvlJc w:val="left"/>
      <w:lvlText w:val="(%1)"/>
      <w:numFmt w:val="decimal"/>
      <w:start w:val="1"/>
    </w:lvl>
  </w:abstractNum>
  <w:abstractNum w:abstractNumId="10">
    <w:nsid w:val="100F8FCA"/>
    <w:multiLevelType w:val="hybridMultilevel"/>
    <w:lvl w:ilvl="0">
      <w:lvlJc w:val="left"/>
      <w:lvlText w:val="(%1)"/>
      <w:numFmt w:val="decimal"/>
      <w:start w:val="1"/>
    </w:lvl>
  </w:abstractNum>
  <w:abstractNum w:abstractNumId="11">
    <w:nsid w:val="6590700B"/>
    <w:multiLevelType w:val="hybridMultilevel"/>
    <w:lvl w:ilvl="0">
      <w:lvlJc w:val="left"/>
      <w:lvlText w:val="(%1)"/>
      <w:numFmt w:val="decimal"/>
      <w:start w:val="1"/>
    </w:lvl>
  </w:abstractNum>
  <w:abstractNum w:abstractNumId="12">
    <w:nsid w:val="15014ACB"/>
    <w:multiLevelType w:val="hybridMultilevel"/>
    <w:lvl w:ilvl="0">
      <w:lvlJc w:val="left"/>
      <w:lvlText w:val="%1"/>
      <w:numFmt w:val="lowerLetter"/>
      <w:start w:val="1"/>
    </w:lvl>
    <w:lvl w:ilvl="1">
      <w:lvlJc w:val="left"/>
      <w:lvlText w:val="(%2)"/>
      <w:numFmt w:val="decimal"/>
      <w:start w:val="1"/>
    </w:lvl>
  </w:abstractNum>
  <w:abstractNum w:abstractNumId="13">
    <w:nsid w:val="5F5E7FD0"/>
    <w:multiLevelType w:val="hybridMultilevel"/>
    <w:lvl w:ilvl="0">
      <w:lvlJc w:val="left"/>
      <w:lvlText w:val="(%1)"/>
      <w:numFmt w:val="lowerLetter"/>
      <w:start w:val="6"/>
    </w:lvl>
    <w:lvl w:ilvl="1">
      <w:lvlJc w:val="left"/>
      <w:lvlText w:val="%2"/>
      <w:numFmt w:val="decimal"/>
      <w:start w:val="1"/>
    </w:lvl>
  </w:abstractNum>
  <w:abstractNum w:abstractNumId="14">
    <w:nsid w:val="98A3148"/>
    <w:multiLevelType w:val="hybridMultilevel"/>
    <w:lvl w:ilvl="0">
      <w:lvlJc w:val="left"/>
      <w:lvlText w:val="(%1)"/>
      <w:numFmt w:val="decimal"/>
      <w:start w:val="1"/>
    </w:lvl>
  </w:abstractNum>
  <w:abstractNum w:abstractNumId="15">
    <w:nsid w:val="799D0247"/>
    <w:multiLevelType w:val="hybridMultilevel"/>
    <w:lvl w:ilvl="0">
      <w:lvlJc w:val="left"/>
      <w:lvlText w:val="(%1)"/>
      <w:numFmt w:val="decimal"/>
      <w:start w:val="1"/>
    </w:lvl>
  </w:abstractNum>
  <w:abstractNum w:abstractNumId="16">
    <w:nsid w:val="6B94764"/>
    <w:multiLevelType w:val="hybridMultilevel"/>
    <w:lvl w:ilvl="0">
      <w:lvlJc w:val="left"/>
      <w:lvlText w:val="(%1)"/>
      <w:numFmt w:val="decimal"/>
      <w:start w:val="1"/>
    </w:lvl>
  </w:abstractNum>
  <w:abstractNum w:abstractNumId="17">
    <w:nsid w:val="42C296BD"/>
    <w:multiLevelType w:val="hybridMultilevel"/>
    <w:lvl w:ilvl="0">
      <w:lvlJc w:val="left"/>
      <w:lvlText w:val="(%1)"/>
      <w:numFmt w:val="decimal"/>
      <w:start w:val="1"/>
    </w:lvl>
  </w:abstractNum>
  <w:abstractNum w:abstractNumId="18">
    <w:nsid w:val="168E121F"/>
    <w:multiLevelType w:val="hybridMultilevel"/>
    <w:lvl w:ilvl="0">
      <w:lvlJc w:val="left"/>
      <w:lvlText w:val="(%1)"/>
      <w:numFmt w:val="decimal"/>
      <w:start w:val="1"/>
    </w:lvl>
  </w:abstractNum>
  <w:abstractNum w:abstractNumId="19">
    <w:nsid w:val="1EBA5D23"/>
    <w:multiLevelType w:val="hybridMultilevel"/>
    <w:lvl w:ilvl="0">
      <w:lvlJc w:val="left"/>
      <w:lvlText w:val="(%1)"/>
      <w:numFmt w:val="decimal"/>
      <w:start w:val="1"/>
    </w:lvl>
  </w:abstractNum>
  <w:abstractNum w:abstractNumId="20">
    <w:nsid w:val="661E3F1E"/>
    <w:multiLevelType w:val="hybridMultilevel"/>
    <w:lvl w:ilvl="0">
      <w:lvlJc w:val="left"/>
      <w:lvlText w:val="(%1)"/>
      <w:numFmt w:val="decimal"/>
      <w:start w:val="1"/>
    </w:lvl>
  </w:abstractNum>
  <w:abstractNum w:abstractNumId="21">
    <w:nsid w:val="5DC79EA8"/>
    <w:multiLevelType w:val="hybridMultilevel"/>
    <w:lvl w:ilvl="0">
      <w:lvlJc w:val="left"/>
      <w:lvlText w:val="(%1)"/>
      <w:numFmt w:val="decimal"/>
      <w:start w:val="1"/>
    </w:lvl>
  </w:abstractNum>
  <w:abstractNum w:abstractNumId="22">
    <w:nsid w:val="540A471C"/>
    <w:multiLevelType w:val="hybridMultilevel"/>
    <w:lvl w:ilvl="0">
      <w:lvlJc w:val="left"/>
      <w:lvlText w:val="(%1)"/>
      <w:numFmt w:val="decimal"/>
      <w:start w:val="1"/>
    </w:lvl>
  </w:abstractNum>
  <w:abstractNum w:abstractNumId="23">
    <w:nsid w:val="7BD3EE7B"/>
    <w:multiLevelType w:val="hybridMultilevel"/>
    <w:lvl w:ilvl="0">
      <w:lvlJc w:val="left"/>
      <w:lvlText w:val="(%1)"/>
      <w:numFmt w:val="decimal"/>
      <w:start w:val="1"/>
    </w:lvl>
  </w:abstractNum>
  <w:abstractNum w:abstractNumId="24">
    <w:nsid w:val="51D9C564"/>
    <w:multiLevelType w:val="hybridMultilevel"/>
    <w:lvl w:ilvl="0">
      <w:lvlJc w:val="left"/>
      <w:lvlText w:val="(%1)"/>
      <w:numFmt w:val="decimal"/>
      <w:start w:val="1"/>
    </w:lvl>
  </w:abstractNum>
  <w:abstractNum w:abstractNumId="25">
    <w:nsid w:val="613EFDC5"/>
    <w:multiLevelType w:val="hybridMultilevel"/>
    <w:lvl w:ilvl="0">
      <w:lvlJc w:val="left"/>
      <w:lvlText w:val="(%1)"/>
      <w:numFmt w:val="decimal"/>
      <w:start w:val="1"/>
    </w:lvl>
  </w:abstractNum>
  <w:abstractNum w:abstractNumId="26">
    <w:nsid w:val="BF72B14"/>
    <w:multiLevelType w:val="hybridMultilevel"/>
    <w:lvl w:ilvl="0">
      <w:lvlJc w:val="left"/>
      <w:lvlText w:val="(%1)"/>
      <w:numFmt w:val="decimal"/>
      <w:start w:val="1"/>
    </w:lvl>
  </w:abstractNum>
  <w:abstractNum w:abstractNumId="27">
    <w:nsid w:val="11447B73"/>
    <w:multiLevelType w:val="hybridMultilevel"/>
    <w:lvl w:ilvl="0">
      <w:lvlJc w:val="left"/>
      <w:lvlText w:val="(%1)"/>
      <w:numFmt w:val="decimal"/>
      <w:start w:val="1"/>
    </w:lvl>
  </w:abstractNum>
  <w:abstractNum w:abstractNumId="28">
    <w:nsid w:val="42963E5A"/>
    <w:multiLevelType w:val="hybridMultilevel"/>
    <w:lvl w:ilvl="0">
      <w:lvlJc w:val="left"/>
      <w:lvlText w:val="(%1)"/>
      <w:numFmt w:val="decimal"/>
      <w:start w:val="2"/>
    </w:lvl>
  </w:abstractNum>
  <w:abstractNum w:abstractNumId="29">
    <w:nsid w:val="A0382C5"/>
    <w:multiLevelType w:val="hybridMultilevel"/>
    <w:lvl w:ilvl="0">
      <w:lvlJc w:val="left"/>
      <w:lvlText w:val="(%1)"/>
      <w:numFmt w:val="decimal"/>
      <w:start w:val="2"/>
    </w:lvl>
  </w:abstractNum>
  <w:abstractNum w:abstractNumId="30">
    <w:nsid w:val="8F2B15E"/>
    <w:multiLevelType w:val="hybridMultilevel"/>
    <w:lvl w:ilvl="0">
      <w:lvlJc w:val="left"/>
      <w:lvlText w:val="•"/>
      <w:numFmt w:val="bullet"/>
      <w:start w:val="1"/>
    </w:lvl>
  </w:abstractNum>
  <w:abstractNum w:abstractNumId="31">
    <w:nsid w:val="1A32234B"/>
    <w:multiLevelType w:val="hybridMultilevel"/>
    <w:lvl w:ilvl="0">
      <w:lvlJc w:val="left"/>
      <w:lvlText w:val="(%1)"/>
      <w:numFmt w:val="decimal"/>
      <w:start w:val="9"/>
    </w:lvl>
  </w:abstractNum>
  <w:abstractNum w:abstractNumId="32">
    <w:nsid w:val="3B0FD379"/>
    <w:multiLevelType w:val="hybridMultilevel"/>
    <w:lvl w:ilvl="0">
      <w:lvlJc w:val="left"/>
      <w:lvlText w:val="(%1)"/>
      <w:numFmt w:val="decimal"/>
      <w:start w:val="1"/>
    </w:lvl>
  </w:abstractNum>
  <w:abstractNum w:abstractNumId="33">
    <w:nsid w:val="68EB2F63"/>
    <w:multiLevelType w:val="hybridMultilevel"/>
    <w:lvl w:ilvl="0">
      <w:lvlJc w:val="left"/>
      <w:lvlText w:val="•"/>
      <w:numFmt w:val="bullet"/>
      <w:start w:val="1"/>
    </w:lvl>
  </w:abstractNum>
  <w:abstractNum w:abstractNumId="34">
    <w:nsid w:val="4962813B"/>
    <w:multiLevelType w:val="hybridMultilevel"/>
    <w:lvl w:ilvl="0">
      <w:lvlJc w:val="left"/>
      <w:lvlText w:val="•"/>
      <w:numFmt w:val="bullet"/>
      <w:start w:val="1"/>
    </w:lvl>
  </w:abstractNum>
  <w:abstractNum w:abstractNumId="35">
    <w:nsid w:val="60B6DF70"/>
    <w:multiLevelType w:val="hybridMultilevel"/>
    <w:lvl w:ilvl="0">
      <w:lvlJc w:val="left"/>
      <w:lvlText w:val="•"/>
      <w:numFmt w:val="bullet"/>
      <w:start w:val="1"/>
    </w:lvl>
  </w:abstractNum>
  <w:abstractNum w:abstractNumId="36">
    <w:nsid w:val="6A5EE64"/>
    <w:multiLevelType w:val="hybridMultilevel"/>
    <w:lvl w:ilvl="0">
      <w:lvlJc w:val="left"/>
      <w:lvlText w:val="•"/>
      <w:numFmt w:val="bullet"/>
      <w:start w:val="1"/>
    </w:lvl>
  </w:abstractNum>
  <w:abstractNum w:abstractNumId="37">
    <w:nsid w:val="14330624"/>
    <w:multiLevelType w:val="hybridMultilevel"/>
    <w:lvl w:ilvl="0">
      <w:lvlJc w:val="left"/>
      <w:lvlText w:val="•"/>
      <w:numFmt w:val="bullet"/>
      <w:start w:val="1"/>
    </w:lvl>
  </w:abstractNum>
  <w:abstractNum w:abstractNumId="38">
    <w:nsid w:val="7FFFCA11"/>
    <w:multiLevelType w:val="hybridMultilevel"/>
    <w:lvl w:ilvl="0">
      <w:lvlJc w:val="left"/>
      <w:lvlText w:val="•"/>
      <w:numFmt w:val="bullet"/>
      <w:start w:val="1"/>
    </w:lvl>
  </w:abstractNum>
  <w:abstractNum w:abstractNumId="39">
    <w:nsid w:val="1A27709E"/>
    <w:multiLevelType w:val="hybridMultilevel"/>
    <w:lvl w:ilvl="0">
      <w:lvlJc w:val="left"/>
      <w:lvlText w:val="•"/>
      <w:numFmt w:val="bullet"/>
      <w:start w:val="1"/>
    </w:lvl>
  </w:abstractNum>
  <w:abstractNum w:abstractNumId="40">
    <w:nsid w:val="71EA1109"/>
    <w:multiLevelType w:val="hybridMultilevel"/>
    <w:lvl w:ilvl="0">
      <w:lvlJc w:val="left"/>
      <w:lvlText w:val="•"/>
      <w:numFmt w:val="bullet"/>
      <w:start w:val="1"/>
    </w:lvl>
  </w:abstractNum>
  <w:abstractNum w:abstractNumId="41">
    <w:nsid w:val="100F59DC"/>
    <w:multiLevelType w:val="hybridMultilevel"/>
    <w:lvl w:ilvl="0">
      <w:lvlJc w:val="left"/>
      <w:lvlText w:val="•"/>
      <w:numFmt w:val="bullet"/>
      <w:start w:val="1"/>
    </w:lvl>
  </w:abstractNum>
  <w:abstractNum w:abstractNumId="42">
    <w:nsid w:val="7FB7E0AA"/>
    <w:multiLevelType w:val="hybridMultilevel"/>
    <w:lvl w:ilvl="0">
      <w:lvlJc w:val="left"/>
      <w:lvlText w:val="•"/>
      <w:numFmt w:val="bullet"/>
      <w:start w:val="1"/>
    </w:lvl>
  </w:abstractNum>
  <w:abstractNum w:abstractNumId="43">
    <w:nsid w:val="6EB5BD4"/>
    <w:multiLevelType w:val="hybridMultilevel"/>
    <w:lvl w:ilvl="0">
      <w:lvlJc w:val="left"/>
      <w:lvlText w:val="•"/>
      <w:numFmt w:val="bullet"/>
      <w:start w:val="1"/>
    </w:lvl>
  </w:abstractNum>
  <w:abstractNum w:abstractNumId="44">
    <w:nsid w:val="6F6DD9AC"/>
    <w:multiLevelType w:val="hybridMultilevel"/>
    <w:lvl w:ilvl="0">
      <w:lvlJc w:val="left"/>
      <w:lvlText w:val="•"/>
      <w:numFmt w:val="bullet"/>
      <w:start w:val="1"/>
    </w:lvl>
  </w:abstractNum>
  <w:abstractNum w:abstractNumId="45">
    <w:nsid w:val="94211F2"/>
    <w:multiLevelType w:val="hybridMultilevel"/>
    <w:lvl w:ilvl="0">
      <w:lvlJc w:val="left"/>
      <w:lvlText w:val="•"/>
      <w:numFmt w:val="bullet"/>
      <w:start w:val="1"/>
    </w:lvl>
  </w:abstractNum>
  <w:abstractNum w:abstractNumId="46">
    <w:nsid w:val="885E1B"/>
    <w:multiLevelType w:val="hybridMultilevel"/>
    <w:lvl w:ilvl="0">
      <w:lvlJc w:val="left"/>
      <w:lvlText w:val="(%1)"/>
      <w:numFmt w:val="decimal"/>
      <w:start w:val="1"/>
    </w:lvl>
    <w:lvl w:ilvl="1">
      <w:lvlJc w:val="left"/>
      <w:lvlText w:val="•"/>
      <w:numFmt w:val="bullet"/>
      <w:start w:val="1"/>
    </w:lvl>
  </w:abstractNum>
  <w:abstractNum w:abstractNumId="47">
    <w:nsid w:val="76272110"/>
    <w:multiLevelType w:val="hybridMultilevel"/>
    <w:lvl w:ilvl="0">
      <w:lvlJc w:val="left"/>
      <w:lvlText w:val="•"/>
      <w:numFmt w:val="bullet"/>
      <w:start w:val="1"/>
    </w:lvl>
  </w:abstractNum>
  <w:abstractNum w:abstractNumId="48">
    <w:nsid w:val="4C04A8AF"/>
    <w:multiLevelType w:val="hybridMultilevel"/>
    <w:lvl w:ilvl="0">
      <w:lvlJc w:val="left"/>
      <w:lvlText w:val="•"/>
      <w:numFmt w:val="bullet"/>
      <w:start w:val="1"/>
    </w:lvl>
  </w:abstractNum>
  <w:abstractNum w:abstractNumId="49">
    <w:nsid w:val="1716703B"/>
    <w:multiLevelType w:val="hybridMultilevel"/>
    <w:lvl w:ilvl="0">
      <w:lvlJc w:val="left"/>
      <w:lvlText w:val="•"/>
      <w:numFmt w:val="bullet"/>
      <w:start w:val="1"/>
    </w:lvl>
  </w:abstractNum>
  <w:abstractNum w:abstractNumId="50">
    <w:nsid w:val="14E17E33"/>
    <w:multiLevelType w:val="hybridMultilevel"/>
    <w:lvl w:ilvl="0">
      <w:lvlJc w:val="left"/>
      <w:lvlText w:val="•"/>
      <w:numFmt w:val="bullet"/>
      <w:start w:val="1"/>
    </w:lvl>
  </w:abstractNum>
  <w:abstractNum w:abstractNumId="51">
    <w:nsid w:val="3222E7CD"/>
    <w:multiLevelType w:val="hybridMultilevel"/>
    <w:lvl w:ilvl="0">
      <w:lvlJc w:val="left"/>
      <w:lvlText w:val="•"/>
      <w:numFmt w:val="bullet"/>
      <w:start w:val="1"/>
    </w:lvl>
  </w:abstractNum>
  <w:abstractNum w:abstractNumId="52">
    <w:nsid w:val="74DE0EE3"/>
    <w:multiLevelType w:val="hybridMultilevel"/>
    <w:lvl w:ilvl="0">
      <w:lvlJc w:val="left"/>
      <w:lvlText w:val="•"/>
      <w:numFmt w:val="bullet"/>
      <w:start w:val="1"/>
    </w:lvl>
  </w:abstractNum>
  <w:abstractNum w:abstractNumId="53">
    <w:nsid w:val="68EBC550"/>
    <w:multiLevelType w:val="hybridMultilevel"/>
    <w:lvl w:ilvl="0">
      <w:lvlJc w:val="left"/>
      <w:lvlText w:val="•"/>
      <w:numFmt w:val="bullet"/>
      <w:start w:val="1"/>
    </w:lvl>
  </w:abstractNum>
  <w:abstractNum w:abstractNumId="54">
    <w:nsid w:val="2DF6D648"/>
    <w:multiLevelType w:val="hybridMultilevel"/>
    <w:lvl w:ilvl="0">
      <w:lvlJc w:val="left"/>
      <w:lvlText w:val="•"/>
      <w:numFmt w:val="bullet"/>
      <w:start w:val="1"/>
    </w:lvl>
  </w:abstractNum>
  <w:abstractNum w:abstractNumId="55">
    <w:nsid w:val="46B7D447"/>
    <w:multiLevelType w:val="hybridMultilevel"/>
    <w:lvl w:ilvl="0">
      <w:lvlJc w:val="left"/>
      <w:lvlText w:val="(%1)"/>
      <w:numFmt w:val="decimal"/>
      <w:start w:val="1"/>
    </w:lvl>
  </w:abstractNum>
  <w:abstractNum w:abstractNumId="56">
    <w:nsid w:val="4A2AC315"/>
    <w:multiLevelType w:val="hybridMultilevel"/>
    <w:lvl w:ilvl="0">
      <w:lvlJc w:val="left"/>
      <w:lvlText w:val="(%1)"/>
      <w:numFmt w:val="decimal"/>
      <w:start w:val="1"/>
    </w:lvl>
  </w:abstractNum>
  <w:abstractNum w:abstractNumId="57">
    <w:nsid w:val="39EE015C"/>
    <w:multiLevelType w:val="hybridMultilevel"/>
    <w:lvl w:ilvl="0">
      <w:lvlJc w:val="left"/>
      <w:lvlText w:val="(%1)"/>
      <w:numFmt w:val="decimal"/>
      <w:start w:val="1"/>
    </w:lvl>
  </w:abstractNum>
  <w:abstractNum w:abstractNumId="58">
    <w:nsid w:val="57FC4FBB"/>
    <w:multiLevelType w:val="hybridMultilevel"/>
    <w:lvl w:ilvl="0">
      <w:lvlJc w:val="left"/>
      <w:lvlText w:val="•"/>
      <w:numFmt w:val="bullet"/>
      <w:start w:val="1"/>
    </w:lvl>
  </w:abstractNum>
  <w:abstractNum w:abstractNumId="59">
    <w:nsid w:val="CC1016F"/>
    <w:multiLevelType w:val="hybridMultilevel"/>
    <w:lvl w:ilvl="0">
      <w:lvlJc w:val="left"/>
      <w:lvlText w:val="•"/>
      <w:numFmt w:val="bullet"/>
      <w:start w:val="1"/>
    </w:lvl>
  </w:abstractNum>
  <w:abstractNum w:abstractNumId="60">
    <w:nsid w:val="43F18422"/>
    <w:multiLevelType w:val="hybridMultilevel"/>
    <w:lvl w:ilvl="0">
      <w:lvlJc w:val="left"/>
      <w:lvlText w:val="•"/>
      <w:numFmt w:val="bullet"/>
      <w:start w:val="1"/>
    </w:lvl>
  </w:abstractNum>
  <w:abstractNum w:abstractNumId="61">
    <w:nsid w:val="60EF0119"/>
    <w:multiLevelType w:val="hybridMultilevel"/>
    <w:lvl w:ilvl="0">
      <w:lvlJc w:val="left"/>
      <w:lvlText w:val="•"/>
      <w:numFmt w:val="bullet"/>
      <w:start w:val="1"/>
    </w:lvl>
  </w:abstractNum>
  <w:abstractNum w:abstractNumId="62">
    <w:nsid w:val="26F324BA"/>
    <w:multiLevelType w:val="hybridMultilevel"/>
    <w:lvl w:ilvl="0">
      <w:lvlJc w:val="left"/>
      <w:lvlText w:val="•"/>
      <w:numFmt w:val="bullet"/>
      <w:start w:val="1"/>
    </w:lvl>
  </w:abstractNum>
  <w:abstractNum w:abstractNumId="63">
    <w:nsid w:val="7F01579B"/>
    <w:multiLevelType w:val="hybridMultilevel"/>
    <w:lvl w:ilvl="0">
      <w:lvlJc w:val="left"/>
      <w:lvlText w:val="•"/>
      <w:numFmt w:val="bullet"/>
      <w:start w:val="1"/>
    </w:lvl>
  </w:abstractNum>
  <w:abstractNum w:abstractNumId="64">
    <w:nsid w:val="49DA307D"/>
    <w:multiLevelType w:val="hybridMultilevel"/>
    <w:lvl w:ilvl="0">
      <w:lvlJc w:val="left"/>
      <w:lvlText w:val="•"/>
      <w:numFmt w:val="bullet"/>
      <w:start w:val="1"/>
    </w:lvl>
  </w:abstractNum>
  <w:abstractNum w:abstractNumId="65">
    <w:nsid w:val="7055A5F5"/>
    <w:multiLevelType w:val="hybridMultilevel"/>
    <w:lvl w:ilvl="0">
      <w:lvlJc w:val="left"/>
      <w:lvlText w:val="•"/>
      <w:numFmt w:val="bullet"/>
      <w:start w:val="1"/>
    </w:lvl>
  </w:abstractNum>
  <w:abstractNum w:abstractNumId="66">
    <w:nsid w:val="5FB8370B"/>
    <w:multiLevelType w:val="hybridMultilevel"/>
    <w:lvl w:ilvl="0">
      <w:lvlJc w:val="left"/>
      <w:lvlText w:val="•"/>
      <w:numFmt w:val="bullet"/>
      <w:start w:val="1"/>
    </w:lvl>
  </w:abstractNum>
  <w:abstractNum w:abstractNumId="67">
    <w:nsid w:val="50801EE1"/>
    <w:multiLevelType w:val="hybridMultilevel"/>
    <w:lvl w:ilvl="0">
      <w:lvlJc w:val="left"/>
      <w:lvlText w:val="•"/>
      <w:numFmt w:val="bullet"/>
      <w:start w:val="1"/>
    </w:lvl>
  </w:abstractNum>
  <w:abstractNum w:abstractNumId="68">
    <w:nsid w:val="488AC1A"/>
    <w:multiLevelType w:val="hybridMultilevel"/>
    <w:lvl w:ilvl="0">
      <w:lvlJc w:val="left"/>
      <w:lvlText w:val="•"/>
      <w:numFmt w:val="bullet"/>
      <w:start w:val="1"/>
    </w:lvl>
  </w:abstractNum>
  <w:abstractNum w:abstractNumId="69">
    <w:nsid w:val="5FB8011C"/>
    <w:multiLevelType w:val="hybridMultilevel"/>
    <w:lvl w:ilvl="0">
      <w:lvlJc w:val="left"/>
      <w:lvlText w:val="•"/>
      <w:numFmt w:val="bullet"/>
      <w:start w:val="1"/>
    </w:lvl>
  </w:abstractNum>
  <w:abstractNum w:abstractNumId="70">
    <w:nsid w:val="6AA78F7F"/>
    <w:multiLevelType w:val="hybridMultilevel"/>
    <w:lvl w:ilvl="0">
      <w:lvlJc w:val="left"/>
      <w:lvlText w:val="•"/>
      <w:numFmt w:val="bullet"/>
      <w:start w:val="1"/>
    </w:lvl>
  </w:abstractNum>
  <w:abstractNum w:abstractNumId="71">
    <w:nsid w:val="7672BD23"/>
    <w:multiLevelType w:val="hybridMultilevel"/>
    <w:lvl w:ilvl="0">
      <w:lvlJc w:val="left"/>
      <w:lvlText w:val="•"/>
      <w:numFmt w:val="bullet"/>
      <w:start w:val="1"/>
    </w:lvl>
  </w:abstractNum>
  <w:abstractNum w:abstractNumId="72">
    <w:nsid w:val="6FC75AF8"/>
    <w:multiLevelType w:val="hybridMultilevel"/>
    <w:lvl w:ilvl="0">
      <w:lvlJc w:val="left"/>
      <w:lvlText w:val="•"/>
      <w:numFmt w:val="bullet"/>
      <w:start w:val="1"/>
    </w:lvl>
  </w:abstractNum>
  <w:abstractNum w:abstractNumId="73">
    <w:nsid w:val="6A5F7029"/>
    <w:multiLevelType w:val="hybridMultilevel"/>
    <w:lvl w:ilvl="0">
      <w:lvlJc w:val="left"/>
      <w:lvlText w:val="•"/>
      <w:numFmt w:val="bullet"/>
      <w:start w:val="1"/>
    </w:lvl>
  </w:abstractNum>
  <w:abstractNum w:abstractNumId="74">
    <w:nsid w:val="7D5E18F8"/>
    <w:multiLevelType w:val="hybridMultilevel"/>
    <w:lvl w:ilvl="0">
      <w:lvlJc w:val="left"/>
      <w:lvlText w:val="•"/>
      <w:numFmt w:val="bullet"/>
      <w:start w:val="1"/>
    </w:lvl>
  </w:abstractNum>
  <w:abstractNum w:abstractNumId="75">
    <w:nsid w:val="5F3534A4"/>
    <w:multiLevelType w:val="hybridMultilevel"/>
    <w:lvl w:ilvl="0">
      <w:lvlJc w:val="left"/>
      <w:lvlText w:val="(%1)"/>
      <w:numFmt w:val="decimal"/>
      <w:start w:val="1"/>
    </w:lvl>
  </w:abstractNum>
  <w:abstractNum w:abstractNumId="76">
    <w:nsid w:val="73A1821B"/>
    <w:multiLevelType w:val="hybridMultilevel"/>
    <w:lvl w:ilvl="0">
      <w:lvlJc w:val="left"/>
      <w:lvlText w:val="(%1)"/>
      <w:numFmt w:val="decimal"/>
      <w:start w:val="1"/>
    </w:lvl>
  </w:abstractNum>
  <w:abstractNum w:abstractNumId="77">
    <w:nsid w:val="7DE67713"/>
    <w:multiLevelType w:val="hybridMultilevel"/>
    <w:lvl w:ilvl="0">
      <w:lvlJc w:val="left"/>
      <w:lvlText w:val="(%1)"/>
      <w:numFmt w:val="decimal"/>
      <w:start w:val="1"/>
    </w:lvl>
  </w:abstractNum>
  <w:abstractNum w:abstractNumId="78">
    <w:nsid w:val="555C55B5"/>
    <w:multiLevelType w:val="hybridMultilevel"/>
    <w:lvl w:ilvl="0">
      <w:lvlJc w:val="left"/>
      <w:lvlText w:val="•"/>
      <w:numFmt w:val="bullet"/>
      <w:start w:val="1"/>
    </w:lvl>
  </w:abstractNum>
  <w:abstractNum w:abstractNumId="79">
    <w:nsid w:val="3FA62ACA"/>
    <w:multiLevelType w:val="hybridMultilevel"/>
    <w:lvl w:ilvl="0">
      <w:lvlJc w:val="left"/>
      <w:lvlText w:val="•"/>
      <w:numFmt w:val="bullet"/>
      <w:start w:val="1"/>
    </w:lvl>
  </w:abstractNum>
  <w:abstractNum w:abstractNumId="80">
    <w:nsid w:val="14FCE74E"/>
    <w:multiLevelType w:val="hybridMultilevel"/>
    <w:lvl w:ilvl="0">
      <w:lvlJc w:val="left"/>
      <w:lvlText w:val="•"/>
      <w:numFmt w:val="bullet"/>
      <w:start w:val="1"/>
    </w:lvl>
  </w:abstractNum>
  <w:abstractNum w:abstractNumId="81">
    <w:nsid w:val="6A3DD3E8"/>
    <w:multiLevelType w:val="hybridMultilevel"/>
    <w:lvl w:ilvl="0">
      <w:lvlJc w:val="left"/>
      <w:lvlText w:val="•"/>
      <w:numFmt w:val="bullet"/>
      <w:start w:val="1"/>
    </w:lvl>
  </w:abstractNum>
  <w:abstractNum w:abstractNumId="82">
    <w:nsid w:val="71C91298"/>
    <w:multiLevelType w:val="hybridMultilevel"/>
    <w:lvl w:ilvl="0">
      <w:lvlJc w:val="left"/>
      <w:lvlText w:val="•"/>
      <w:numFmt w:val="bullet"/>
      <w:start w:val="1"/>
    </w:lvl>
  </w:abstractNum>
  <w:abstractNum w:abstractNumId="83">
    <w:nsid w:val="9DAF632"/>
    <w:multiLevelType w:val="hybridMultilevel"/>
    <w:lvl w:ilvl="0">
      <w:lvlJc w:val="left"/>
      <w:lvlText w:val="•"/>
      <w:numFmt w:val="bullet"/>
      <w:start w:val="1"/>
    </w:lvl>
  </w:abstractNum>
  <w:abstractNum w:abstractNumId="84">
    <w:nsid w:val="53299938"/>
    <w:multiLevelType w:val="hybridMultilevel"/>
    <w:lvl w:ilvl="0">
      <w:lvlJc w:val="left"/>
      <w:lvlText w:val="(%1)"/>
      <w:numFmt w:val="decimal"/>
      <w:start w:val="1"/>
    </w:lvl>
  </w:abstractNum>
  <w:abstractNum w:abstractNumId="85">
    <w:nsid w:val="1FBFE8E0"/>
    <w:multiLevelType w:val="hybridMultilevel"/>
    <w:lvl w:ilvl="0">
      <w:lvlJc w:val="left"/>
      <w:lvlText w:val="•"/>
      <w:numFmt w:val="bullet"/>
      <w:start w:val="1"/>
    </w:lvl>
  </w:abstractNum>
  <w:abstractNum w:abstractNumId="86">
    <w:nsid w:val="5092CA79"/>
    <w:multiLevelType w:val="hybridMultilevel"/>
    <w:lvl w:ilvl="0">
      <w:lvlJc w:val="left"/>
      <w:lvlText w:val="•"/>
      <w:numFmt w:val="bullet"/>
      <w:start w:val="1"/>
    </w:lvl>
  </w:abstractNum>
  <w:abstractNum w:abstractNumId="87">
    <w:nsid w:val="1D545C4D"/>
    <w:multiLevelType w:val="hybridMultilevel"/>
    <w:lvl w:ilvl="0">
      <w:lvlJc w:val="left"/>
      <w:lvlText w:val="•"/>
      <w:numFmt w:val="bullet"/>
      <w:start w:val="1"/>
    </w:lvl>
  </w:abstractNum>
  <w:abstractNum w:abstractNumId="88">
    <w:nsid w:val="59ADEA3D"/>
    <w:multiLevelType w:val="hybridMultilevel"/>
    <w:lvl w:ilvl="0">
      <w:lvlJc w:val="left"/>
      <w:lvlText w:val="•"/>
      <w:numFmt w:val="bullet"/>
      <w:start w:val="1"/>
    </w:lvl>
  </w:abstractNum>
  <w:abstractNum w:abstractNumId="89">
    <w:nsid w:val="288F1A34"/>
    <w:multiLevelType w:val="hybridMultilevel"/>
    <w:lvl w:ilvl="0">
      <w:lvlJc w:val="left"/>
      <w:lvlText w:val="•"/>
      <w:numFmt w:val="bullet"/>
      <w:start w:val="1"/>
    </w:lvl>
  </w:abstractNum>
  <w:abstractNum w:abstractNumId="90">
    <w:nsid w:val="2A155DBC"/>
    <w:multiLevelType w:val="hybridMultilevel"/>
    <w:lvl w:ilvl="0">
      <w:lvlJc w:val="left"/>
      <w:lvlText w:val="•"/>
      <w:numFmt w:val="bullet"/>
      <w:start w:val="1"/>
    </w:lvl>
  </w:abstractNum>
  <w:abstractNum w:abstractNumId="91">
    <w:nsid w:val="1D9F6E5F"/>
    <w:multiLevelType w:val="hybridMultilevel"/>
    <w:lvl w:ilvl="0">
      <w:lvlJc w:val="left"/>
      <w:lvlText w:val="(%1)"/>
      <w:numFmt w:val="decimal"/>
      <w:start w:val="1"/>
    </w:lvl>
  </w:abstractNum>
  <w:abstractNum w:abstractNumId="92">
    <w:nsid w:val="97E1B4E"/>
    <w:multiLevelType w:val="hybridMultilevel"/>
    <w:lvl w:ilvl="0">
      <w:lvlJc w:val="left"/>
      <w:lvlText w:val="(%1)"/>
      <w:numFmt w:val="decimal"/>
      <w:start w:val="1"/>
    </w:lvl>
  </w:abstractNum>
  <w:abstractNum w:abstractNumId="93">
    <w:nsid w:val="51088277"/>
    <w:multiLevelType w:val="hybridMultilevel"/>
    <w:lvl w:ilvl="0">
      <w:lvlJc w:val="left"/>
      <w:lvlText w:val="(%1)"/>
      <w:numFmt w:val="decimal"/>
      <w:start w:val="1"/>
    </w:lvl>
  </w:abstractNum>
  <w:abstractNum w:abstractNumId="94">
    <w:nsid w:val="1CA0C5FA"/>
    <w:multiLevelType w:val="hybridMultilevel"/>
    <w:lvl w:ilvl="0">
      <w:lvlJc w:val="left"/>
      <w:lvlText w:val="(%1)"/>
      <w:numFmt w:val="decimal"/>
      <w:start w:val="1"/>
    </w:lvl>
  </w:abstractNum>
  <w:abstractNum w:abstractNumId="95">
    <w:nsid w:val="53584BCB"/>
    <w:multiLevelType w:val="hybridMultilevel"/>
    <w:lvl w:ilvl="0">
      <w:lvlJc w:val="left"/>
      <w:lvlText w:val="(%1)"/>
      <w:numFmt w:val="decimal"/>
      <w:start w:val="1"/>
    </w:lvl>
  </w:abstractNum>
  <w:abstractNum w:abstractNumId="96">
    <w:nsid w:val="415E286C"/>
    <w:multiLevelType w:val="hybridMultilevel"/>
    <w:lvl w:ilvl="0">
      <w:lvlJc w:val="left"/>
      <w:lvlText w:val="(%1)"/>
      <w:numFmt w:val="decimal"/>
      <w:start w:val="1"/>
    </w:lvl>
  </w:abstractNum>
  <w:abstractNum w:abstractNumId="97">
    <w:nsid w:val="7C58FD05"/>
    <w:multiLevelType w:val="hybridMultilevel"/>
    <w:lvl w:ilvl="0">
      <w:lvlJc w:val="left"/>
      <w:lvlText w:val="(%1)"/>
      <w:numFmt w:val="decimal"/>
      <w:start w:val="1"/>
    </w:lvl>
  </w:abstractNum>
  <w:abstractNum w:abstractNumId="98">
    <w:nsid w:val="23D86AAC"/>
    <w:multiLevelType w:val="hybridMultilevel"/>
    <w:lvl w:ilvl="0">
      <w:lvlJc w:val="left"/>
      <w:lvlText w:val="(%1)"/>
      <w:numFmt w:val="decimal"/>
      <w:start w:val="1"/>
    </w:lvl>
  </w:abstractNum>
  <w:abstractNum w:abstractNumId="99">
    <w:nsid w:val="45E6D486"/>
    <w:multiLevelType w:val="hybridMultilevel"/>
    <w:lvl w:ilvl="0">
      <w:lvlJc w:val="left"/>
      <w:lvlText w:val="(%1)"/>
      <w:numFmt w:val="decimal"/>
      <w:start w:val="1"/>
    </w:lvl>
  </w:abstractNum>
  <w:abstractNum w:abstractNumId="100">
    <w:nsid w:val="5C10FE21"/>
    <w:multiLevelType w:val="hybridMultilevel"/>
    <w:lvl w:ilvl="0">
      <w:lvlJc w:val="left"/>
      <w:lvlText w:val="(%1)"/>
      <w:numFmt w:val="decimal"/>
      <w:start w:val="1"/>
    </w:lvl>
  </w:abstractNum>
  <w:abstractNum w:abstractNumId="101">
    <w:nsid w:val="E7FFA2B"/>
    <w:multiLevelType w:val="hybridMultilevel"/>
    <w:lvl w:ilvl="0">
      <w:lvlJc w:val="left"/>
      <w:lvlText w:val="(%1)"/>
      <w:numFmt w:val="decimal"/>
      <w:start w:val="1"/>
    </w:lvl>
    <w:lvl w:ilvl="1">
      <w:lvlJc w:val="left"/>
      <w:lvlText w:val="•"/>
      <w:numFmt w:val="bullet"/>
      <w:start w:val="1"/>
    </w:lvl>
  </w:abstractNum>
  <w:abstractNum w:abstractNumId="102">
    <w:nsid w:val="3C5991AA"/>
    <w:multiLevelType w:val="hybridMultilevel"/>
    <w:lvl w:ilvl="0">
      <w:lvlJc w:val="left"/>
      <w:lvlText w:val="•"/>
      <w:numFmt w:val="bullet"/>
      <w:start w:val="1"/>
    </w:lvl>
  </w:abstractNum>
  <w:abstractNum w:abstractNumId="103">
    <w:nsid w:val="4BD8591A"/>
    <w:multiLevelType w:val="hybridMultilevel"/>
    <w:lvl w:ilvl="0">
      <w:lvlJc w:val="left"/>
      <w:lvlText w:val="•"/>
      <w:numFmt w:val="bullet"/>
      <w:start w:val="1"/>
    </w:lvl>
  </w:abstractNum>
  <w:abstractNum w:abstractNumId="104">
    <w:nsid w:val="78DF6A55"/>
    <w:multiLevelType w:val="hybridMultilevel"/>
    <w:lvl w:ilvl="0">
      <w:lvlJc w:val="left"/>
      <w:lvlText w:val="•"/>
      <w:numFmt w:val="bullet"/>
      <w:start w:val="1"/>
    </w:lvl>
  </w:abstractNum>
  <w:abstractNum w:abstractNumId="105">
    <w:nsid w:val="39B7AAA2"/>
    <w:multiLevelType w:val="hybridMultilevel"/>
    <w:lvl w:ilvl="0">
      <w:lvlJc w:val="left"/>
      <w:lvlText w:val="(%1)"/>
      <w:numFmt w:val="decimal"/>
      <w:start w:val="1"/>
    </w:lvl>
  </w:abstractNum>
  <w:abstractNum w:abstractNumId="106">
    <w:nsid w:val="2B0D8DBE"/>
    <w:multiLevelType w:val="hybridMultilevel"/>
    <w:lvl w:ilvl="0">
      <w:lvlJc w:val="left"/>
      <w:lvlText w:val="(%1)"/>
      <w:numFmt w:val="decimal"/>
      <w:start w:val="1"/>
    </w:lvl>
  </w:abstractNum>
  <w:abstractNum w:abstractNumId="107">
    <w:nsid w:val="6C80EC70"/>
    <w:multiLevelType w:val="hybridMultilevel"/>
    <w:lvl w:ilvl="0">
      <w:lvlJc w:val="left"/>
      <w:lvlText w:val="(%1)"/>
      <w:numFmt w:val="decimal"/>
      <w:start w:val="1"/>
    </w:lvl>
  </w:abstractNum>
  <w:abstractNum w:abstractNumId="108">
    <w:nsid w:val="379E21B5"/>
    <w:multiLevelType w:val="hybridMultilevel"/>
    <w:lvl w:ilvl="0">
      <w:lvlJc w:val="left"/>
      <w:lvlText w:val="(%1)"/>
      <w:numFmt w:val="decimal"/>
      <w:start w:val="1"/>
    </w:lvl>
  </w:abstractNum>
  <w:abstractNum w:abstractNumId="109">
    <w:nsid w:val="69E373"/>
    <w:multiLevelType w:val="hybridMultilevel"/>
    <w:lvl w:ilvl="0">
      <w:lvlJc w:val="left"/>
      <w:lvlText w:val="(%1)"/>
      <w:numFmt w:val="decimal"/>
      <w:start w:val="1"/>
    </w:lvl>
  </w:abstractNum>
  <w:abstractNum w:abstractNumId="110">
    <w:nsid w:val="2C27173B"/>
    <w:multiLevelType w:val="hybridMultilevel"/>
    <w:lvl w:ilvl="0">
      <w:lvlJc w:val="left"/>
      <w:lvlText w:val="(%1)"/>
      <w:numFmt w:val="decimal"/>
      <w:start w:val="1"/>
    </w:lvl>
  </w:abstractNum>
  <w:abstractNum w:abstractNumId="111">
    <w:nsid w:val="4C9B0904"/>
    <w:multiLevelType w:val="hybridMultilevel"/>
    <w:lvl w:ilvl="0">
      <w:lvlJc w:val="left"/>
      <w:lvlText w:val="(%1)"/>
      <w:numFmt w:val="decimal"/>
      <w:start w:val="1"/>
    </w:lvl>
  </w:abstractNum>
  <w:abstractNum w:abstractNumId="112">
    <w:nsid w:val="6AA7B75C"/>
    <w:multiLevelType w:val="hybridMultilevel"/>
    <w:lvl w:ilvl="0">
      <w:lvlJc w:val="left"/>
      <w:lvlText w:val="(%1)"/>
      <w:numFmt w:val="decimal"/>
      <w:start w:val="1"/>
    </w:lvl>
  </w:abstractNum>
  <w:abstractNum w:abstractNumId="113">
    <w:nsid w:val="1DF029D3"/>
    <w:multiLevelType w:val="hybridMultilevel"/>
    <w:lvl w:ilvl="0">
      <w:lvlJc w:val="left"/>
      <w:lvlText w:val="(%1)"/>
      <w:numFmt w:val="decimal"/>
      <w:start w:val="1"/>
    </w:lvl>
  </w:abstractNum>
  <w:abstractNum w:abstractNumId="114">
    <w:nsid w:val="5675FF36"/>
    <w:multiLevelType w:val="hybridMultilevel"/>
    <w:lvl w:ilvl="0">
      <w:lvlJc w:val="left"/>
      <w:lvlText w:val="(%1)"/>
      <w:numFmt w:val="decimal"/>
      <w:start w:val="1"/>
    </w:lvl>
  </w:abstractNum>
  <w:abstractNum w:abstractNumId="115">
    <w:nsid w:val="3DD15094"/>
    <w:multiLevelType w:val="hybridMultilevel"/>
    <w:lvl w:ilvl="0">
      <w:lvlJc w:val="left"/>
      <w:lvlText w:val="(%1)"/>
      <w:numFmt w:val="decimal"/>
      <w:start w:val="1"/>
    </w:lvl>
  </w:abstractNum>
  <w:abstractNum w:abstractNumId="116">
    <w:nsid w:val="3DB012B3"/>
    <w:multiLevelType w:val="hybridMultilevel"/>
    <w:lvl w:ilvl="0">
      <w:lvlJc w:val="left"/>
      <w:lvlText w:val="(%1)"/>
      <w:numFmt w:val="decimal"/>
      <w:start w:val="1"/>
    </w:lvl>
  </w:abstractNum>
  <w:abstractNum w:abstractNumId="117">
    <w:nsid w:val="2708C9AF"/>
    <w:multiLevelType w:val="hybridMultilevel"/>
    <w:lvl w:ilvl="0">
      <w:lvlJc w:val="left"/>
      <w:lvlText w:val="(%1)"/>
      <w:numFmt w:val="decimal"/>
      <w:start w:val="1"/>
    </w:lvl>
  </w:abstractNum>
  <w:abstractNum w:abstractNumId="118">
    <w:nsid w:val="5B25ACE2"/>
    <w:multiLevelType w:val="hybridMultilevel"/>
    <w:lvl w:ilvl="0">
      <w:lvlJc w:val="left"/>
      <w:lvlText w:val="•"/>
      <w:numFmt w:val="bullet"/>
      <w:start w:val="1"/>
    </w:lvl>
  </w:abstractNum>
  <w:abstractNum w:abstractNumId="119">
    <w:nsid w:val="175DFCF0"/>
    <w:multiLevelType w:val="hybridMultilevel"/>
    <w:lvl w:ilvl="0">
      <w:lvlJc w:val="left"/>
      <w:lvlText w:val="•"/>
      <w:numFmt w:val="bullet"/>
      <w:start w:val="1"/>
    </w:lvl>
  </w:abstractNum>
  <w:abstractNum w:abstractNumId="120">
    <w:nsid w:val="4F97E3E4"/>
    <w:multiLevelType w:val="hybridMultilevel"/>
    <w:lvl w:ilvl="0">
      <w:lvlJc w:val="left"/>
      <w:lvlText w:val="•"/>
      <w:numFmt w:val="bullet"/>
      <w:start w:val="1"/>
    </w:lvl>
  </w:abstractNum>
  <w:abstractNum w:abstractNumId="121">
    <w:nsid w:val="53B0A9E"/>
    <w:multiLevelType w:val="hybridMultilevel"/>
    <w:lvl w:ilvl="0">
      <w:lvlJc w:val="left"/>
      <w:lvlText w:val="%1"/>
      <w:numFmt w:val="decimal"/>
      <w:start w:val="101"/>
    </w:lvl>
  </w:abstractNum>
  <w:abstractNum w:abstractNumId="122">
    <w:nsid w:val="34FD6B4F"/>
    <w:multiLevelType w:val="hybridMultilevel"/>
    <w:lvl w:ilvl="0">
      <w:lvlJc w:val="left"/>
      <w:lvlText w:val="%1."/>
      <w:numFmt w:val="decimal"/>
      <w:start w:val="1"/>
    </w:lvl>
    <w:lvl w:ilvl="1">
      <w:lvlJc w:val="left"/>
      <w:lvlText w:val="(%2)"/>
      <w:numFmt w:val="lowerLetter"/>
      <w:start w:val="1"/>
    </w:lvl>
  </w:abstractNum>
  <w:abstractNum w:abstractNumId="123">
    <w:nsid w:val="5915FF32"/>
    <w:multiLevelType w:val="hybridMultilevel"/>
    <w:lvl w:ilvl="0">
      <w:lvlJc w:val="left"/>
      <w:lvlText w:val="%1."/>
      <w:numFmt w:val="decimal"/>
      <w:start w:val="1"/>
    </w:lvl>
    <w:lvl w:ilvl="1">
      <w:lvlJc w:val="left"/>
      <w:lvlText w:val="(%2)"/>
      <w:numFmt w:val="lowerLetter"/>
      <w:start w:val="1"/>
    </w:lvl>
  </w:abstractNum>
  <w:abstractNum w:abstractNumId="124">
    <w:nsid w:val="56438D15"/>
    <w:multiLevelType w:val="hybridMultilevel"/>
    <w:lvl w:ilvl="0">
      <w:lvlJc w:val="left"/>
      <w:lvlText w:val="(%1)"/>
      <w:numFmt w:val="decimal"/>
      <w:start w:val="1"/>
    </w:lvl>
  </w:abstractNum>
  <w:abstractNum w:abstractNumId="125">
    <w:nsid w:val="519E314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2020-01-29T16:26:10Z</dcterms:created>
  <dcterms:modified xsi:type="dcterms:W3CDTF">2020-01-29T16:26:10Z</dcterms:modified>
</cp:coreProperties>
</file>