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rrd206691.xml.htm"/>
      <w:bookmarkStart w:id="1" w:name="ksrrd206691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Schutz Pamela S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C/O GENWORTH FINANCIAL, INC.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6620 WEST BROAD STREET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RICHMOND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VA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23230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GENWORTH FINANCIAL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GNW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EXECUTIVE VICE PRES - GENWORTH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05/13/2008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355"/>
        <w:gridCol w:w="905"/>
        <w:gridCol w:w="774"/>
        <w:gridCol w:w="601"/>
        <w:gridCol w:w="348"/>
        <w:gridCol w:w="845"/>
        <w:gridCol w:w="453"/>
        <w:gridCol w:w="841"/>
        <w:gridCol w:w="1161"/>
        <w:gridCol w:w="997"/>
        <w:gridCol w:w="925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35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4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139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99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35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05/13/2008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800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22.87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75,453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05/13/2008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800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22.88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74,653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05/13/2008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800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22.911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73,853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05/13/2008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800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22.943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73,053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05/13/2008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1,000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22.973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72,053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05/13/2008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1,000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22.981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71,053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05/13/2008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1,000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23.003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70,053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05/13/2008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800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23.041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69,253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05/13/2008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1,000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23.091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68,253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5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Class A 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05/13/2008</w:t>
            </w:r>
          </w:p>
        </w:tc>
        <w:tc>
          <w:tcPr>
            <w:tcW w:w="7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887</w:t>
            </w:r>
          </w:p>
        </w:tc>
        <w:tc>
          <w:tcPr>
            <w:tcW w:w="45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23.22</w:t>
            </w:r>
            <w:r>
              <w:rPr/>
              <w:t xml:space="preserve"> 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67,366</w:t>
            </w:r>
          </w:p>
        </w:tc>
        <w:tc>
          <w:tcPr>
            <w:tcW w:w="9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The sales reported on this Form 4 were effected pursuant to a Rule 10b5-1 trading plan adopted by the reporting person on May 31, 2007.</w:t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Richard J. Oelhafen, Jr., Attorney-in-Fact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05/14/2008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290753" TargetMode="External"/><Relationship Id="rId4" Type="http://schemas.openxmlformats.org/officeDocument/2006/relationships/hyperlink" Target="http://www.sec.gov/cgi-bin/browse-edgar?action=getcompany&amp;CIK=000127652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653</Words>
  <CharactersWithSpaces>3972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