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155575</wp:posOffset>
            </wp:positionH>
            <wp:positionV relativeFrom="page">
              <wp:posOffset>155575</wp:posOffset>
            </wp:positionV>
            <wp:extent cx="7250430" cy="298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29845"/>
                    </a:xfrm>
                    <a:prstGeom prst="rect">
                      <a:avLst/>
                    </a:prstGeom>
                    <a:noFill/>
                  </pic:spPr>
                </pic:pic>
              </a:graphicData>
            </a:graphic>
          </wp:anchor>
        </w:drawing>
        <w:t>UNITED STATES</w:t>
      </w:r>
    </w:p>
    <w:p>
      <w:pPr>
        <w:spacing w:after="0" w:line="31" w:lineRule="exact"/>
        <w:rPr>
          <w:sz w:val="24"/>
          <w:szCs w:val="24"/>
          <w:color w:val="auto"/>
        </w:rPr>
      </w:pPr>
    </w:p>
    <w:p>
      <w:pPr>
        <w:jc w:val="center"/>
        <w:ind w:right="-39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9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3006725</wp:posOffset>
            </wp:positionH>
            <wp:positionV relativeFrom="paragraph">
              <wp:posOffset>158750</wp:posOffset>
            </wp:positionV>
            <wp:extent cx="124333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243330" cy="8890"/>
                    </a:xfrm>
                    <a:prstGeom prst="rect">
                      <a:avLst/>
                    </a:prstGeom>
                    <a:noFill/>
                  </pic:spPr>
                </pic:pic>
              </a:graphicData>
            </a:graphic>
          </wp:anchor>
        </w:drawing>
      </w:r>
    </w:p>
    <w:p>
      <w:pPr>
        <w:spacing w:after="0" w:line="200" w:lineRule="exact"/>
        <w:rPr>
          <w:sz w:val="24"/>
          <w:szCs w:val="24"/>
          <w:color w:val="auto"/>
        </w:rPr>
      </w:pPr>
    </w:p>
    <w:p>
      <w:pPr>
        <w:spacing w:after="0" w:line="259" w:lineRule="exact"/>
        <w:rPr>
          <w:sz w:val="24"/>
          <w:szCs w:val="24"/>
          <w:color w:val="auto"/>
        </w:rPr>
      </w:pPr>
    </w:p>
    <w:p>
      <w:pPr>
        <w:jc w:val="center"/>
        <w:ind w:right="-39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3006725</wp:posOffset>
            </wp:positionH>
            <wp:positionV relativeFrom="paragraph">
              <wp:posOffset>186690</wp:posOffset>
            </wp:positionV>
            <wp:extent cx="124333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43330" cy="8890"/>
                    </a:xfrm>
                    <a:prstGeom prst="rect">
                      <a:avLst/>
                    </a:prstGeom>
                    <a:noFill/>
                  </pic:spPr>
                </pic:pic>
              </a:graphicData>
            </a:graphic>
          </wp:anchor>
        </w:drawing>
      </w:r>
    </w:p>
    <w:p>
      <w:pPr>
        <w:spacing w:after="0" w:line="200" w:lineRule="exact"/>
        <w:rPr>
          <w:sz w:val="24"/>
          <w:szCs w:val="24"/>
          <w:color w:val="auto"/>
        </w:rPr>
      </w:pPr>
    </w:p>
    <w:p>
      <w:pPr>
        <w:spacing w:after="0" w:line="317" w:lineRule="exact"/>
        <w:rPr>
          <w:sz w:val="24"/>
          <w:szCs w:val="24"/>
          <w:color w:val="auto"/>
        </w:rPr>
      </w:pPr>
    </w:p>
    <w:p>
      <w:pPr>
        <w:jc w:val="center"/>
        <w:ind w:right="-39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399"/>
        <w:spacing w:after="0"/>
        <w:rPr>
          <w:sz w:val="20"/>
          <w:szCs w:val="20"/>
          <w:color w:val="auto"/>
        </w:rPr>
      </w:pPr>
      <w:r>
        <w:rPr>
          <w:rFonts w:ascii="Arial" w:cs="Arial" w:eastAsia="Arial" w:hAnsi="Arial"/>
          <w:sz w:val="22"/>
          <w:szCs w:val="22"/>
          <w:b w:val="1"/>
          <w:bCs w:val="1"/>
          <w:color w:val="auto"/>
        </w:rPr>
        <w:t>PURSUANT TO SECTION 13 OR 15(d) OF THE</w:t>
      </w:r>
    </w:p>
    <w:p>
      <w:pPr>
        <w:jc w:val="center"/>
        <w:ind w:right="-399"/>
        <w:spacing w:after="0"/>
        <w:rPr>
          <w:sz w:val="20"/>
          <w:szCs w:val="20"/>
          <w:color w:val="auto"/>
        </w:rPr>
      </w:pPr>
      <w:r>
        <w:rPr>
          <w:rFonts w:ascii="Arial" w:cs="Arial" w:eastAsia="Arial" w:hAnsi="Arial"/>
          <w:sz w:val="22"/>
          <w:szCs w:val="22"/>
          <w:b w:val="1"/>
          <w:bCs w:val="1"/>
          <w:color w:val="auto"/>
        </w:rPr>
        <w:t>SECURITIES EXCHANGE ACT OF 1934</w:t>
      </w:r>
    </w:p>
    <w:p>
      <w:pPr>
        <w:spacing w:after="0" w:line="128" w:lineRule="exact"/>
        <w:rPr>
          <w:sz w:val="24"/>
          <w:szCs w:val="24"/>
          <w:color w:val="auto"/>
        </w:rPr>
      </w:pPr>
    </w:p>
    <w:p>
      <w:pPr>
        <w:jc w:val="center"/>
        <w:ind w:right="-399"/>
        <w:spacing w:after="0"/>
        <w:rPr>
          <w:sz w:val="20"/>
          <w:szCs w:val="20"/>
          <w:color w:val="auto"/>
        </w:rPr>
      </w:pPr>
      <w:r>
        <w:rPr>
          <w:rFonts w:ascii="Arial" w:cs="Arial" w:eastAsia="Arial" w:hAnsi="Arial"/>
          <w:sz w:val="18"/>
          <w:szCs w:val="18"/>
          <w:b w:val="1"/>
          <w:bCs w:val="1"/>
          <w:color w:val="auto"/>
        </w:rPr>
        <w:t>January 20, 2006</w:t>
      </w:r>
    </w:p>
    <w:p>
      <w:pPr>
        <w:spacing w:after="0" w:line="21" w:lineRule="exact"/>
        <w:rPr>
          <w:sz w:val="24"/>
          <w:szCs w:val="24"/>
          <w:color w:val="auto"/>
        </w:rPr>
      </w:pPr>
    </w:p>
    <w:p>
      <w:pPr>
        <w:jc w:val="center"/>
        <w:ind w:right="-399"/>
        <w:spacing w:after="0"/>
        <w:rPr>
          <w:sz w:val="20"/>
          <w:szCs w:val="20"/>
          <w:color w:val="auto"/>
        </w:rPr>
      </w:pPr>
      <w:r>
        <w:rPr>
          <w:rFonts w:ascii="Arial" w:cs="Arial" w:eastAsia="Arial" w:hAnsi="Arial"/>
          <w:sz w:val="18"/>
          <w:szCs w:val="18"/>
          <w:b w:val="1"/>
          <w:bCs w:val="1"/>
          <w:color w:val="auto"/>
        </w:rPr>
        <w:t>Date of Report</w:t>
      </w:r>
    </w:p>
    <w:p>
      <w:pPr>
        <w:spacing w:after="0" w:line="9" w:lineRule="exact"/>
        <w:rPr>
          <w:sz w:val="24"/>
          <w:szCs w:val="24"/>
          <w:color w:val="auto"/>
        </w:rPr>
      </w:pPr>
    </w:p>
    <w:p>
      <w:pPr>
        <w:jc w:val="center"/>
        <w:ind w:right="-399"/>
        <w:spacing w:after="0"/>
        <w:rPr>
          <w:sz w:val="20"/>
          <w:szCs w:val="20"/>
          <w:color w:val="auto"/>
        </w:rPr>
      </w:pPr>
      <w:r>
        <w:rPr>
          <w:rFonts w:ascii="Arial" w:cs="Arial" w:eastAsia="Arial" w:hAnsi="Arial"/>
          <w:sz w:val="14"/>
          <w:szCs w:val="14"/>
          <w:b w:val="1"/>
          <w:bCs w:val="1"/>
          <w:color w:val="auto"/>
        </w:rPr>
        <w:t>(Date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3006725</wp:posOffset>
            </wp:positionH>
            <wp:positionV relativeFrom="paragraph">
              <wp:posOffset>156210</wp:posOffset>
            </wp:positionV>
            <wp:extent cx="124333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43330" cy="8890"/>
                    </a:xfrm>
                    <a:prstGeom prst="rect">
                      <a:avLst/>
                    </a:prstGeom>
                    <a:noFill/>
                  </pic:spPr>
                </pic:pic>
              </a:graphicData>
            </a:graphic>
          </wp:anchor>
        </w:drawing>
      </w:r>
    </w:p>
    <w:p>
      <w:pPr>
        <w:spacing w:after="0" w:line="200" w:lineRule="exact"/>
        <w:rPr>
          <w:sz w:val="24"/>
          <w:szCs w:val="24"/>
          <w:color w:val="auto"/>
        </w:rPr>
      </w:pPr>
    </w:p>
    <w:p>
      <w:pPr>
        <w:spacing w:after="0" w:line="253" w:lineRule="exact"/>
        <w:rPr>
          <w:sz w:val="24"/>
          <w:szCs w:val="24"/>
          <w:color w:val="auto"/>
        </w:rPr>
      </w:pPr>
    </w:p>
    <w:p>
      <w:pPr>
        <w:jc w:val="center"/>
        <w:ind w:right="-399"/>
        <w:spacing w:after="0"/>
        <w:rPr>
          <w:sz w:val="20"/>
          <w:szCs w:val="20"/>
          <w:color w:val="auto"/>
        </w:rPr>
      </w:pPr>
      <w:r>
        <w:rPr>
          <w:rFonts w:ascii="Arial" w:cs="Arial" w:eastAsia="Arial" w:hAnsi="Arial"/>
          <w:sz w:val="43"/>
          <w:szCs w:val="43"/>
          <w:b w:val="1"/>
          <w:bCs w:val="1"/>
          <w:color w:val="auto"/>
        </w:rPr>
        <w:t>GENWORTH FINANCIAL, INC.</w:t>
      </w:r>
    </w:p>
    <w:p>
      <w:pPr>
        <w:spacing w:after="0" w:line="49" w:lineRule="exact"/>
        <w:rPr>
          <w:sz w:val="24"/>
          <w:szCs w:val="24"/>
          <w:color w:val="auto"/>
        </w:rPr>
      </w:pPr>
    </w:p>
    <w:p>
      <w:pPr>
        <w:jc w:val="center"/>
        <w:ind w:right="-399"/>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3006725</wp:posOffset>
            </wp:positionH>
            <wp:positionV relativeFrom="paragraph">
              <wp:posOffset>154940</wp:posOffset>
            </wp:positionV>
            <wp:extent cx="124333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43330" cy="8890"/>
                    </a:xfrm>
                    <a:prstGeom prst="rect">
                      <a:avLst/>
                    </a:prstGeom>
                    <a:noFill/>
                  </pic:spPr>
                </pic:pic>
              </a:graphicData>
            </a:graphic>
          </wp:anchor>
        </w:drawing>
      </w:r>
    </w:p>
    <w:p>
      <w:pPr>
        <w:sectPr>
          <w:pgSz w:w="11900" w:h="16838" w:orient="portrait"/>
          <w:cols w:equalWidth="0" w:num="1">
            <w:col w:w="11020"/>
          </w:cols>
          <w:pgMar w:left="240" w:top="355" w:right="639" w:bottom="1440" w:gutter="0" w:footer="0" w:header="0"/>
        </w:sectPr>
      </w:pPr>
    </w:p>
    <w:p>
      <w:pPr>
        <w:spacing w:after="0" w:line="200" w:lineRule="exact"/>
        <w:rPr>
          <w:sz w:val="24"/>
          <w:szCs w:val="24"/>
          <w:color w:val="auto"/>
        </w:rPr>
      </w:pPr>
    </w:p>
    <w:p>
      <w:pPr>
        <w:spacing w:after="0" w:line="299" w:lineRule="exact"/>
        <w:rPr>
          <w:sz w:val="24"/>
          <w:szCs w:val="24"/>
          <w:color w:val="auto"/>
        </w:rPr>
      </w:pPr>
    </w:p>
    <w:p>
      <w:pPr>
        <w:ind w:left="1600"/>
        <w:spacing w:after="0"/>
        <w:rPr>
          <w:sz w:val="20"/>
          <w:szCs w:val="20"/>
          <w:color w:val="auto"/>
        </w:rPr>
      </w:pPr>
      <w:r>
        <w:rPr>
          <w:rFonts w:ascii="Arial" w:cs="Arial" w:eastAsia="Arial" w:hAnsi="Arial"/>
          <w:sz w:val="15"/>
          <w:szCs w:val="15"/>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79" w:lineRule="exact"/>
        <w:rPr>
          <w:sz w:val="24"/>
          <w:szCs w:val="24"/>
          <w:color w:val="auto"/>
        </w:rPr>
      </w:pPr>
    </w:p>
    <w:p>
      <w:pPr>
        <w:jc w:val="center"/>
        <w:ind w:right="2240"/>
        <w:spacing w:after="0"/>
        <w:rPr>
          <w:sz w:val="20"/>
          <w:szCs w:val="20"/>
          <w:color w:val="auto"/>
        </w:rPr>
      </w:pPr>
      <w:r>
        <w:rPr>
          <w:rFonts w:ascii="Arial" w:cs="Arial" w:eastAsia="Arial" w:hAnsi="Arial"/>
          <w:sz w:val="15"/>
          <w:szCs w:val="15"/>
          <w:b w:val="1"/>
          <w:bCs w:val="1"/>
          <w:color w:val="auto"/>
        </w:rPr>
        <w:t>001-32195</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79"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33-1073076</w:t>
      </w:r>
    </w:p>
    <w:p>
      <w:pPr>
        <w:spacing w:after="0" w:line="56" w:lineRule="exact"/>
        <w:rPr>
          <w:sz w:val="24"/>
          <w:szCs w:val="24"/>
          <w:color w:val="auto"/>
        </w:rPr>
      </w:pPr>
    </w:p>
    <w:p>
      <w:pPr>
        <w:sectPr>
          <w:pgSz w:w="11900" w:h="16838" w:orient="portrait"/>
          <w:cols w:equalWidth="0" w:num="3">
            <w:col w:w="4740" w:space="720"/>
            <w:col w:w="3000" w:space="720"/>
            <w:col w:w="1840"/>
          </w:cols>
          <w:pgMar w:left="240" w:top="355" w:right="639" w:bottom="1440" w:gutter="0" w:footer="0" w:header="0"/>
          <w:type w:val="continuous"/>
        </w:sectPr>
      </w:pPr>
    </w:p>
    <w:p>
      <w:pPr>
        <w:ind w:left="1100"/>
        <w:spacing w:after="0"/>
        <w:rPr>
          <w:sz w:val="20"/>
          <w:szCs w:val="20"/>
          <w:color w:val="auto"/>
        </w:rPr>
      </w:pPr>
      <w:r>
        <w:rPr>
          <w:rFonts w:ascii="Arial" w:cs="Arial" w:eastAsia="Arial" w:hAnsi="Arial"/>
          <w:sz w:val="12"/>
          <w:szCs w:val="12"/>
          <w:b w:val="1"/>
          <w:bCs w:val="1"/>
          <w:color w:val="auto"/>
        </w:rPr>
        <w:t>(State or other jurisdiction of</w:t>
      </w:r>
    </w:p>
    <w:p>
      <w:pPr>
        <w:spacing w:after="0" w:line="14" w:lineRule="exact"/>
        <w:rPr>
          <w:sz w:val="24"/>
          <w:szCs w:val="24"/>
          <w:color w:val="auto"/>
        </w:rPr>
      </w:pPr>
    </w:p>
    <w:p>
      <w:pPr>
        <w:ind w:left="1080"/>
        <w:spacing w:after="0"/>
        <w:rPr>
          <w:sz w:val="20"/>
          <w:szCs w:val="20"/>
          <w:color w:val="auto"/>
        </w:rPr>
      </w:pPr>
      <w:r>
        <w:rPr>
          <w:rFonts w:ascii="Arial" w:cs="Arial" w:eastAsia="Arial" w:hAnsi="Arial"/>
          <w:sz w:val="12"/>
          <w:szCs w:val="12"/>
          <w:b w:val="1"/>
          <w:bCs w:val="1"/>
          <w:color w:val="auto"/>
        </w:rPr>
        <w:t>incorporation or organization)</w:t>
      </w:r>
    </w:p>
    <w:p>
      <w:pPr>
        <w:spacing w:after="0" w:line="20" w:lineRule="exact"/>
        <w:rPr>
          <w:sz w:val="24"/>
          <w:szCs w:val="24"/>
          <w:color w:val="auto"/>
        </w:rPr>
      </w:pPr>
      <w:r>
        <w:rPr>
          <w:sz w:val="24"/>
          <w:szCs w:val="24"/>
          <w:color w:val="auto"/>
        </w:rPr>
        <w:br w:type="column"/>
      </w:r>
    </w:p>
    <w:p>
      <w:pPr>
        <w:jc w:val="center"/>
        <w:ind w:right="1720"/>
        <w:spacing w:after="0"/>
        <w:rPr>
          <w:sz w:val="20"/>
          <w:szCs w:val="20"/>
          <w:color w:val="auto"/>
        </w:rPr>
      </w:pPr>
      <w:r>
        <w:rPr>
          <w:rFonts w:ascii="Arial" w:cs="Arial" w:eastAsia="Arial" w:hAnsi="Arial"/>
          <w:sz w:val="12"/>
          <w:szCs w:val="12"/>
          <w:b w:val="1"/>
          <w:bCs w:val="1"/>
          <w:color w:val="auto"/>
        </w:rPr>
        <w:t>(Commission File Number)</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2"/>
          <w:szCs w:val="12"/>
          <w:b w:val="1"/>
          <w:bCs w:val="1"/>
          <w:color w:val="auto"/>
        </w:rPr>
        <w:t>(I.R.S. Employer</w:t>
      </w:r>
    </w:p>
    <w:p>
      <w:pPr>
        <w:spacing w:after="0" w:line="14" w:lineRule="exact"/>
        <w:rPr>
          <w:sz w:val="24"/>
          <w:szCs w:val="24"/>
          <w:color w:val="auto"/>
        </w:rPr>
      </w:pPr>
    </w:p>
    <w:p>
      <w:pPr>
        <w:spacing w:after="0"/>
        <w:rPr>
          <w:sz w:val="20"/>
          <w:szCs w:val="20"/>
          <w:color w:val="auto"/>
        </w:rPr>
      </w:pPr>
      <w:r>
        <w:rPr>
          <w:rFonts w:ascii="Arial" w:cs="Arial" w:eastAsia="Arial" w:hAnsi="Arial"/>
          <w:sz w:val="12"/>
          <w:szCs w:val="12"/>
          <w:b w:val="1"/>
          <w:bCs w:val="1"/>
          <w:color w:val="auto"/>
        </w:rPr>
        <w:t>Identification No.)</w:t>
      </w:r>
    </w:p>
    <w:p>
      <w:pPr>
        <w:spacing w:after="0" w:line="157" w:lineRule="exact"/>
        <w:rPr>
          <w:sz w:val="24"/>
          <w:szCs w:val="24"/>
          <w:color w:val="auto"/>
        </w:rPr>
      </w:pPr>
    </w:p>
    <w:p>
      <w:pPr>
        <w:sectPr>
          <w:pgSz w:w="11900" w:h="16838" w:orient="portrait"/>
          <w:cols w:equalWidth="0" w:num="3">
            <w:col w:w="4340" w:space="720"/>
            <w:col w:w="3280" w:space="720"/>
            <w:col w:w="1960"/>
          </w:cols>
          <w:pgMar w:left="240" w:top="355" w:right="639" w:bottom="1440" w:gutter="0" w:footer="0" w:header="0"/>
          <w:type w:val="continuous"/>
        </w:sectPr>
      </w:pPr>
    </w:p>
    <w:p>
      <w:pPr>
        <w:ind w:left="1380"/>
        <w:spacing w:after="0"/>
        <w:rPr>
          <w:sz w:val="20"/>
          <w:szCs w:val="20"/>
          <w:color w:val="auto"/>
        </w:rPr>
      </w:pPr>
      <w:r>
        <w:rPr>
          <w:rFonts w:ascii="Arial" w:cs="Arial" w:eastAsia="Arial" w:hAnsi="Arial"/>
          <w:sz w:val="15"/>
          <w:szCs w:val="15"/>
          <w:b w:val="1"/>
          <w:bCs w:val="1"/>
          <w:color w:val="auto"/>
        </w:rPr>
        <w:t>6620 West Broad Street, Richmond, VA</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b w:val="1"/>
          <w:bCs w:val="1"/>
          <w:color w:val="auto"/>
        </w:rPr>
        <w:t>23230</w:t>
      </w:r>
    </w:p>
    <w:p>
      <w:pPr>
        <w:spacing w:after="0" w:line="56" w:lineRule="exact"/>
        <w:rPr>
          <w:sz w:val="24"/>
          <w:szCs w:val="24"/>
          <w:color w:val="auto"/>
        </w:rPr>
      </w:pPr>
    </w:p>
    <w:p>
      <w:pPr>
        <w:sectPr>
          <w:pgSz w:w="11900" w:h="16838" w:orient="portrait"/>
          <w:cols w:equalWidth="0" w:num="2">
            <w:col w:w="7740" w:space="720"/>
            <w:col w:w="2560"/>
          </w:cols>
          <w:pgMar w:left="240" w:top="355" w:right="639" w:bottom="1440" w:gutter="0" w:footer="0" w:header="0"/>
          <w:type w:val="continuous"/>
        </w:sectPr>
      </w:pPr>
    </w:p>
    <w:p>
      <w:pPr>
        <w:ind w:left="1740"/>
        <w:spacing w:after="0"/>
        <w:rPr>
          <w:sz w:val="20"/>
          <w:szCs w:val="20"/>
          <w:color w:val="auto"/>
        </w:rPr>
      </w:pPr>
      <w:r>
        <w:rPr>
          <w:rFonts w:ascii="Arial" w:cs="Arial" w:eastAsia="Arial" w:hAnsi="Arial"/>
          <w:sz w:val="11"/>
          <w:szCs w:val="11"/>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2"/>
          <w:szCs w:val="12"/>
          <w:b w:val="1"/>
          <w:bCs w:val="1"/>
          <w:color w:val="auto"/>
        </w:rPr>
        <w:t>(Zip Code)</w:t>
      </w:r>
    </w:p>
    <w:p>
      <w:pPr>
        <w:spacing w:after="0" w:line="147" w:lineRule="exact"/>
        <w:rPr>
          <w:sz w:val="24"/>
          <w:szCs w:val="24"/>
          <w:color w:val="auto"/>
        </w:rPr>
      </w:pPr>
    </w:p>
    <w:p>
      <w:pPr>
        <w:sectPr>
          <w:pgSz w:w="11900" w:h="16838" w:orient="portrait"/>
          <w:cols w:equalWidth="0" w:num="2">
            <w:col w:w="7660" w:space="720"/>
            <w:col w:w="2640"/>
          </w:cols>
          <w:pgMar w:left="240" w:top="355" w:right="639" w:bottom="1440" w:gutter="0" w:footer="0" w:header="0"/>
          <w:type w:val="continuous"/>
        </w:sectPr>
      </w:pPr>
    </w:p>
    <w:p>
      <w:pPr>
        <w:jc w:val="center"/>
        <w:ind w:right="-399"/>
        <w:spacing w:after="0"/>
        <w:rPr>
          <w:sz w:val="20"/>
          <w:szCs w:val="20"/>
          <w:color w:val="auto"/>
        </w:rPr>
      </w:pPr>
      <w:r>
        <w:rPr>
          <w:rFonts w:ascii="Arial" w:cs="Arial" w:eastAsia="Arial" w:hAnsi="Arial"/>
          <w:sz w:val="18"/>
          <w:szCs w:val="18"/>
          <w:b w:val="1"/>
          <w:bCs w:val="1"/>
          <w:color w:val="auto"/>
        </w:rPr>
        <w:t>(804) 281-6000</w:t>
      </w:r>
    </w:p>
    <w:p>
      <w:pPr>
        <w:spacing w:after="0" w:line="21" w:lineRule="exact"/>
        <w:rPr>
          <w:sz w:val="24"/>
          <w:szCs w:val="24"/>
          <w:color w:val="auto"/>
        </w:rPr>
      </w:pPr>
    </w:p>
    <w:p>
      <w:pPr>
        <w:jc w:val="center"/>
        <w:ind w:right="-39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24" w:lineRule="exact"/>
        <w:rPr>
          <w:sz w:val="24"/>
          <w:szCs w:val="24"/>
          <w:color w:val="auto"/>
        </w:rPr>
      </w:pPr>
    </w:p>
    <w:p>
      <w:pPr>
        <w:jc w:val="center"/>
        <w:ind w:right="-399"/>
        <w:spacing w:after="0"/>
        <w:rPr>
          <w:sz w:val="20"/>
          <w:szCs w:val="20"/>
          <w:color w:val="auto"/>
        </w:rPr>
      </w:pPr>
      <w:r>
        <w:rPr>
          <w:rFonts w:ascii="Arial" w:cs="Arial" w:eastAsia="Arial" w:hAnsi="Arial"/>
          <w:sz w:val="18"/>
          <w:szCs w:val="18"/>
          <w:b w:val="1"/>
          <w:bCs w:val="1"/>
          <w:color w:val="auto"/>
        </w:rPr>
        <w:t>N/A</w:t>
      </w:r>
    </w:p>
    <w:p>
      <w:pPr>
        <w:spacing w:after="0" w:line="21" w:lineRule="exact"/>
        <w:rPr>
          <w:sz w:val="24"/>
          <w:szCs w:val="24"/>
          <w:color w:val="auto"/>
        </w:rPr>
      </w:pPr>
    </w:p>
    <w:p>
      <w:pPr>
        <w:ind w:left="3800"/>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3006725</wp:posOffset>
            </wp:positionH>
            <wp:positionV relativeFrom="paragraph">
              <wp:posOffset>156210</wp:posOffset>
            </wp:positionV>
            <wp:extent cx="124333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43330" cy="8890"/>
                    </a:xfrm>
                    <a:prstGeom prst="rect">
                      <a:avLst/>
                    </a:prstGeom>
                    <a:noFill/>
                  </pic:spPr>
                </pic:pic>
              </a:graphicData>
            </a:graphic>
          </wp:anchor>
        </w:drawing>
      </w:r>
    </w:p>
    <w:p>
      <w:pPr>
        <w:spacing w:after="0" w:line="200" w:lineRule="exact"/>
        <w:rPr>
          <w:sz w:val="24"/>
          <w:szCs w:val="24"/>
          <w:color w:val="auto"/>
        </w:rPr>
      </w:pPr>
    </w:p>
    <w:p>
      <w:pPr>
        <w:spacing w:after="0" w:line="288" w:lineRule="exact"/>
        <w:rPr>
          <w:sz w:val="24"/>
          <w:szCs w:val="24"/>
          <w:color w:val="auto"/>
        </w:rPr>
      </w:pPr>
    </w:p>
    <w:p>
      <w:pPr>
        <w:spacing w:after="0" w:line="268"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18"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57"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57"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57"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120650</wp:posOffset>
            </wp:positionV>
            <wp:extent cx="725043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29845"/>
                    </a:xfrm>
                    <a:prstGeom prst="rect">
                      <a:avLst/>
                    </a:prstGeom>
                    <a:noFill/>
                  </pic:spPr>
                </pic:pic>
              </a:graphicData>
            </a:graphic>
          </wp:anchor>
        </w:drawing>
      </w:r>
    </w:p>
    <w:p>
      <w:pPr>
        <w:sectPr>
          <w:pgSz w:w="11900" w:h="16838" w:orient="portrait"/>
          <w:cols w:equalWidth="0" w:num="1">
            <w:col w:w="11020"/>
          </w:cols>
          <w:pgMar w:left="240" w:top="355" w:right="6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Item 2.02. Results of Operations and Financial Condition.</w:t>
      </w:r>
    </w:p>
    <w:p>
      <w:pPr>
        <w:spacing w:after="0" w:line="83" w:lineRule="exact"/>
        <w:rPr>
          <w:sz w:val="20"/>
          <w:szCs w:val="20"/>
          <w:color w:val="auto"/>
        </w:rPr>
      </w:pPr>
    </w:p>
    <w:p>
      <w:pPr>
        <w:ind w:right="320" w:firstLine="456"/>
        <w:spacing w:after="0" w:line="268" w:lineRule="auto"/>
        <w:rPr>
          <w:sz w:val="20"/>
          <w:szCs w:val="20"/>
          <w:color w:val="auto"/>
        </w:rPr>
      </w:pPr>
      <w:r>
        <w:rPr>
          <w:rFonts w:ascii="Arial" w:cs="Arial" w:eastAsia="Arial" w:hAnsi="Arial"/>
          <w:sz w:val="18"/>
          <w:szCs w:val="18"/>
          <w:color w:val="auto"/>
        </w:rPr>
        <w:t>On January 20, 2006, Genworth Financial, Inc. issued a press release announcing its consolidated earnings for the quarter ended December 31, 2005. A copy of this press release is attached hereto as Exhibit 99.1 and is incorporated herein by reference.</w:t>
      </w:r>
    </w:p>
    <w:p>
      <w:pPr>
        <w:spacing w:after="0" w:line="118"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The information contained in this Current Report on Form 8-K (including the exhibit) is being furnished and shall not be deemed “filed” for the purposes of Section 18 of the Securities Exchange Act of 1934, as amended (the “Exchange Act”), or otherwise subject to the liabilities of that Section. The information contained in this Current Report on Form 8-K shall not be incorporated by reference into any registration statement or other document pursuant to the Securities Act of 1933, as amended, or the Exchange Act, except as shall be expressly set forth by specific reference in any such filing.</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9.01(d). Financial Statements and Exhibits.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material is furnished as an exhibit to this Current Report on Form 8-K:</w:t>
      </w:r>
    </w:p>
    <w:p>
      <w:pPr>
        <w:spacing w:after="0" w:line="14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4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54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260" w:type="dxa"/>
            <w:vAlign w:val="bottom"/>
          </w:tcPr>
          <w:p>
            <w:pPr>
              <w:spacing w:after="0"/>
              <w:rPr>
                <w:sz w:val="14"/>
                <w:szCs w:val="14"/>
                <w:color w:val="auto"/>
              </w:rPr>
            </w:pPr>
          </w:p>
        </w:tc>
      </w:tr>
      <w:tr>
        <w:trPr>
          <w:trHeight w:val="174"/>
        </w:trPr>
        <w:tc>
          <w:tcPr>
            <w:tcW w:w="540" w:type="dxa"/>
            <w:vAlign w:val="bottom"/>
          </w:tcPr>
          <w:p>
            <w:pPr>
              <w:spacing w:after="0"/>
              <w:rPr>
                <w:sz w:val="20"/>
                <w:szCs w:val="20"/>
                <w:color w:val="auto"/>
              </w:rPr>
            </w:pPr>
            <w:r>
              <w:rPr>
                <w:rFonts w:ascii="Arial" w:cs="Arial" w:eastAsia="Arial" w:hAnsi="Arial"/>
                <w:sz w:val="14"/>
                <w:szCs w:val="14"/>
                <w:b w:val="1"/>
                <w:bCs w:val="1"/>
                <w:color w:val="auto"/>
                <w:w w:val="98"/>
              </w:rPr>
              <w:t>Number</w:t>
            </w:r>
          </w:p>
        </w:tc>
        <w:tc>
          <w:tcPr>
            <w:tcW w:w="3260" w:type="dxa"/>
            <w:vAlign w:val="bottom"/>
            <w:gridSpan w:val="3"/>
          </w:tcPr>
          <w:p>
            <w:pPr>
              <w:ind w:left="540"/>
              <w:spacing w:after="0"/>
              <w:rPr>
                <w:sz w:val="20"/>
                <w:szCs w:val="20"/>
                <w:color w:val="auto"/>
              </w:rPr>
            </w:pPr>
            <w:r>
              <w:rPr>
                <w:rFonts w:ascii="Arial" w:cs="Arial" w:eastAsia="Arial" w:hAnsi="Arial"/>
                <w:sz w:val="14"/>
                <w:szCs w:val="14"/>
                <w:b w:val="1"/>
                <w:bCs w:val="1"/>
                <w:color w:val="auto"/>
              </w:rPr>
              <w:t>Description of Exhibit</w:t>
            </w:r>
          </w:p>
        </w:tc>
      </w:tr>
      <w:tr>
        <w:trPr>
          <w:trHeight w:val="95"/>
        </w:trPr>
        <w:tc>
          <w:tcPr>
            <w:tcW w:w="540" w:type="dxa"/>
            <w:vAlign w:val="bottom"/>
            <w:tcBorders>
              <w:bottom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1460" w:type="dxa"/>
            <w:vAlign w:val="bottom"/>
            <w:tcBorders>
              <w:bottom w:val="single" w:sz="8" w:color="auto"/>
            </w:tcBorders>
          </w:tcPr>
          <w:p>
            <w:pPr>
              <w:spacing w:after="0"/>
              <w:rPr>
                <w:sz w:val="8"/>
                <w:szCs w:val="8"/>
                <w:color w:val="auto"/>
              </w:rPr>
            </w:pPr>
          </w:p>
        </w:tc>
        <w:tc>
          <w:tcPr>
            <w:tcW w:w="1260" w:type="dxa"/>
            <w:vAlign w:val="bottom"/>
          </w:tcPr>
          <w:p>
            <w:pPr>
              <w:spacing w:after="0"/>
              <w:rPr>
                <w:sz w:val="8"/>
                <w:szCs w:val="8"/>
                <w:color w:val="auto"/>
              </w:rPr>
            </w:pPr>
          </w:p>
        </w:tc>
      </w:tr>
      <w:tr>
        <w:trPr>
          <w:trHeight w:val="316"/>
        </w:trPr>
        <w:tc>
          <w:tcPr>
            <w:tcW w:w="540" w:type="dxa"/>
            <w:vAlign w:val="bottom"/>
          </w:tcPr>
          <w:p>
            <w:pPr>
              <w:spacing w:after="0"/>
              <w:rPr>
                <w:sz w:val="20"/>
                <w:szCs w:val="20"/>
                <w:color w:val="auto"/>
              </w:rPr>
            </w:pPr>
            <w:r>
              <w:rPr>
                <w:rFonts w:ascii="Arial" w:cs="Arial" w:eastAsia="Arial" w:hAnsi="Arial"/>
                <w:sz w:val="18"/>
                <w:szCs w:val="18"/>
                <w:color w:val="auto"/>
              </w:rPr>
              <w:t>99.1</w:t>
            </w:r>
          </w:p>
        </w:tc>
        <w:tc>
          <w:tcPr>
            <w:tcW w:w="3260" w:type="dxa"/>
            <w:vAlign w:val="bottom"/>
            <w:gridSpan w:val="3"/>
          </w:tcPr>
          <w:p>
            <w:pPr>
              <w:ind w:left="540"/>
              <w:spacing w:after="0"/>
              <w:rPr>
                <w:sz w:val="20"/>
                <w:szCs w:val="20"/>
                <w:color w:val="auto"/>
              </w:rPr>
            </w:pPr>
            <w:r>
              <w:rPr>
                <w:rFonts w:ascii="Arial" w:cs="Arial" w:eastAsia="Arial" w:hAnsi="Arial"/>
                <w:sz w:val="18"/>
                <w:szCs w:val="18"/>
                <w:color w:val="auto"/>
                <w:w w:val="84"/>
              </w:rPr>
              <w:t>Press Release, dated January 20, 2006.</w:t>
            </w:r>
          </w:p>
        </w:tc>
      </w:tr>
    </w:tbl>
    <w:p>
      <w:pPr>
        <w:spacing w:after="0" w:line="1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274" w:right="239" w:bottom="1440" w:gutter="0" w:footer="0" w:header="0"/>
        </w:sectPr>
      </w:pPr>
    </w:p>
    <w:bookmarkStart w:id="2" w:name="page3"/>
    <w:bookmarkEnd w:id="2"/>
    <w:p>
      <w:pPr>
        <w:jc w:val="center"/>
        <w:ind w:right="-8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SIGNATURES</w:t>
      </w:r>
    </w:p>
    <w:p>
      <w:pPr>
        <w:spacing w:after="0" w:line="164"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1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GENWORTH FINANCIAL, INC.</w:t>
      </w:r>
    </w:p>
    <w:p>
      <w:pPr>
        <w:spacing w:after="0" w:line="225" w:lineRule="exact"/>
        <w:rPr>
          <w:sz w:val="20"/>
          <w:szCs w:val="20"/>
          <w:color w:val="auto"/>
        </w:rPr>
      </w:pPr>
    </w:p>
    <w:p>
      <w:pPr>
        <w:spacing w:after="0"/>
        <w:tabs>
          <w:tab w:leader="none" w:pos="5560" w:val="left"/>
        </w:tabs>
        <w:rPr>
          <w:sz w:val="20"/>
          <w:szCs w:val="20"/>
          <w:color w:val="auto"/>
        </w:rPr>
      </w:pPr>
      <w:r>
        <w:rPr>
          <w:rFonts w:ascii="Arial" w:cs="Arial" w:eastAsia="Arial" w:hAnsi="Arial"/>
          <w:sz w:val="18"/>
          <w:szCs w:val="18"/>
          <w:color w:val="auto"/>
        </w:rPr>
        <w:t>DATE: January 20, 2006</w:t>
      </w:r>
      <w:r>
        <w:rPr>
          <w:sz w:val="20"/>
          <w:szCs w:val="20"/>
          <w:color w:val="auto"/>
        </w:rPr>
        <w:tab/>
      </w:r>
      <w:r>
        <w:rPr>
          <w:rFonts w:ascii="Arial" w:cs="Arial" w:eastAsia="Arial" w:hAnsi="Arial"/>
          <w:sz w:val="16"/>
          <w:szCs w:val="16"/>
          <w:color w:val="auto"/>
        </w:rPr>
        <w:t>By: /s/ Richard P. McKenney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80010</wp:posOffset>
            </wp:positionV>
            <wp:extent cx="347345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219"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Richard P. McKenney</w:t>
      </w:r>
    </w:p>
    <w:p>
      <w:pPr>
        <w:spacing w:after="0" w:line="15"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Senior Vice President –</w:t>
      </w:r>
    </w:p>
    <w:p>
      <w:pPr>
        <w:spacing w:after="0" w:line="9"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Chief Financial Officer</w:t>
      </w:r>
    </w:p>
    <w:p>
      <w:pPr>
        <w:spacing w:after="0" w:line="151" w:lineRule="exact"/>
        <w:rPr>
          <w:sz w:val="20"/>
          <w:szCs w:val="20"/>
          <w:color w:val="auto"/>
        </w:rPr>
      </w:pPr>
    </w:p>
    <w:p>
      <w:pPr>
        <w:ind w:left="568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600"/>
          </w:cols>
          <w:pgMar w:left="240" w:top="274" w:right="1059" w:bottom="1440" w:gutter="0" w:footer="0" w:header="0"/>
        </w:sectPr>
      </w:pPr>
    </w:p>
    <w:bookmarkStart w:id="3" w:name="page4"/>
    <w:bookmarkEnd w:id="3"/>
    <w:p>
      <w:pPr>
        <w:jc w:val="right"/>
        <w:ind w:right="39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7940"/>
                    </a:xfrm>
                    <a:prstGeom prst="rect">
                      <a:avLst/>
                    </a:prstGeom>
                    <a:noFill/>
                  </pic:spPr>
                </pic:pic>
              </a:graphicData>
            </a:graphic>
          </wp:anchor>
        </w:drawing>
        <w:t>Exhibit Index</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56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100" w:type="dxa"/>
            <w:vAlign w:val="bottom"/>
          </w:tcPr>
          <w:p>
            <w:pPr>
              <w:spacing w:after="0"/>
              <w:rPr>
                <w:sz w:val="14"/>
                <w:szCs w:val="14"/>
                <w:color w:val="auto"/>
              </w:rPr>
            </w:pPr>
          </w:p>
        </w:tc>
      </w:tr>
      <w:tr>
        <w:trPr>
          <w:trHeight w:val="174"/>
        </w:trPr>
        <w:tc>
          <w:tcPr>
            <w:tcW w:w="600" w:type="dxa"/>
            <w:vAlign w:val="bottom"/>
          </w:tcPr>
          <w:p>
            <w:pPr>
              <w:spacing w:after="0"/>
              <w:rPr>
                <w:sz w:val="20"/>
                <w:szCs w:val="20"/>
                <w:color w:val="auto"/>
              </w:rPr>
            </w:pPr>
            <w:r>
              <w:rPr>
                <w:rFonts w:ascii="Arial" w:cs="Arial" w:eastAsia="Arial" w:hAnsi="Arial"/>
                <w:sz w:val="14"/>
                <w:szCs w:val="14"/>
                <w:b w:val="1"/>
                <w:bCs w:val="1"/>
                <w:color w:val="auto"/>
              </w:rPr>
              <w:t>Number</w:t>
            </w:r>
          </w:p>
        </w:tc>
        <w:tc>
          <w:tcPr>
            <w:tcW w:w="560" w:type="dxa"/>
            <w:vAlign w:val="bottom"/>
          </w:tcPr>
          <w:p>
            <w:pPr>
              <w:spacing w:after="0"/>
              <w:rPr>
                <w:sz w:val="15"/>
                <w:szCs w:val="15"/>
                <w:color w:val="auto"/>
              </w:rPr>
            </w:pPr>
          </w:p>
        </w:tc>
        <w:tc>
          <w:tcPr>
            <w:tcW w:w="2720" w:type="dxa"/>
            <w:vAlign w:val="bottom"/>
            <w:gridSpan w:val="2"/>
          </w:tcPr>
          <w:p>
            <w:pPr>
              <w:spacing w:after="0"/>
              <w:rPr>
                <w:sz w:val="20"/>
                <w:szCs w:val="20"/>
                <w:color w:val="auto"/>
              </w:rPr>
            </w:pPr>
            <w:r>
              <w:rPr>
                <w:rFonts w:ascii="Arial" w:cs="Arial" w:eastAsia="Arial" w:hAnsi="Arial"/>
                <w:sz w:val="14"/>
                <w:szCs w:val="14"/>
                <w:b w:val="1"/>
                <w:bCs w:val="1"/>
                <w:color w:val="auto"/>
              </w:rPr>
              <w:t>Description of Exhibit</w:t>
            </w:r>
          </w:p>
        </w:tc>
      </w:tr>
      <w:tr>
        <w:trPr>
          <w:trHeight w:val="95"/>
        </w:trPr>
        <w:tc>
          <w:tcPr>
            <w:tcW w:w="600" w:type="dxa"/>
            <w:vAlign w:val="bottom"/>
            <w:tcBorders>
              <w:bottom w:val="single" w:sz="8" w:color="auto"/>
            </w:tcBorders>
          </w:tcPr>
          <w:p>
            <w:pPr>
              <w:spacing w:after="0"/>
              <w:rPr>
                <w:sz w:val="8"/>
                <w:szCs w:val="8"/>
                <w:color w:val="auto"/>
              </w:rPr>
            </w:pPr>
          </w:p>
        </w:tc>
        <w:tc>
          <w:tcPr>
            <w:tcW w:w="560" w:type="dxa"/>
            <w:vAlign w:val="bottom"/>
          </w:tcPr>
          <w:p>
            <w:pPr>
              <w:spacing w:after="0"/>
              <w:rPr>
                <w:sz w:val="8"/>
                <w:szCs w:val="8"/>
                <w:color w:val="auto"/>
              </w:rPr>
            </w:pPr>
          </w:p>
        </w:tc>
        <w:tc>
          <w:tcPr>
            <w:tcW w:w="1620" w:type="dxa"/>
            <w:vAlign w:val="bottom"/>
            <w:tcBorders>
              <w:bottom w:val="single" w:sz="8" w:color="auto"/>
            </w:tcBorders>
          </w:tcPr>
          <w:p>
            <w:pPr>
              <w:spacing w:after="0"/>
              <w:rPr>
                <w:sz w:val="8"/>
                <w:szCs w:val="8"/>
                <w:color w:val="auto"/>
              </w:rPr>
            </w:pPr>
          </w:p>
        </w:tc>
        <w:tc>
          <w:tcPr>
            <w:tcW w:w="1100" w:type="dxa"/>
            <w:vAlign w:val="bottom"/>
          </w:tcPr>
          <w:p>
            <w:pPr>
              <w:spacing w:after="0"/>
              <w:rPr>
                <w:sz w:val="8"/>
                <w:szCs w:val="8"/>
                <w:color w:val="auto"/>
              </w:rPr>
            </w:pPr>
          </w:p>
        </w:tc>
      </w:tr>
      <w:tr>
        <w:trPr>
          <w:trHeight w:val="316"/>
        </w:trPr>
        <w:tc>
          <w:tcPr>
            <w:tcW w:w="600" w:type="dxa"/>
            <w:vAlign w:val="bottom"/>
          </w:tcPr>
          <w:p>
            <w:pPr>
              <w:spacing w:after="0"/>
              <w:rPr>
                <w:sz w:val="20"/>
                <w:szCs w:val="20"/>
                <w:color w:val="auto"/>
              </w:rPr>
            </w:pPr>
            <w:r>
              <w:rPr>
                <w:rFonts w:ascii="Arial" w:cs="Arial" w:eastAsia="Arial" w:hAnsi="Arial"/>
                <w:sz w:val="18"/>
                <w:szCs w:val="18"/>
                <w:color w:val="auto"/>
              </w:rPr>
              <w:t>99.1</w:t>
            </w:r>
          </w:p>
        </w:tc>
        <w:tc>
          <w:tcPr>
            <w:tcW w:w="560" w:type="dxa"/>
            <w:vAlign w:val="bottom"/>
          </w:tcPr>
          <w:p>
            <w:pPr>
              <w:spacing w:after="0"/>
              <w:rPr>
                <w:sz w:val="24"/>
                <w:szCs w:val="24"/>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w w:val="84"/>
              </w:rPr>
              <w:t>Press Release, dated January 20, 2006.</w:t>
            </w:r>
          </w:p>
        </w:tc>
      </w:tr>
    </w:tbl>
    <w:p>
      <w:pPr>
        <w:spacing w:after="0" w:line="142" w:lineRule="exact"/>
        <w:rPr>
          <w:sz w:val="20"/>
          <w:szCs w:val="20"/>
          <w:color w:val="auto"/>
        </w:rPr>
      </w:pPr>
    </w:p>
    <w:p>
      <w:pPr>
        <w:ind w:left="568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219"/>
          </w:cols>
          <w:pgMar w:left="240" w:top="274" w:right="1440"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588010</wp:posOffset>
            </wp:positionH>
            <wp:positionV relativeFrom="paragraph">
              <wp:posOffset>109220</wp:posOffset>
            </wp:positionV>
            <wp:extent cx="6089015" cy="8750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089015" cy="8750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2860" w:type="dxa"/>
            <w:vAlign w:val="bottom"/>
          </w:tcPr>
          <w:p>
            <w:pPr>
              <w:spacing w:after="0"/>
              <w:rPr>
                <w:sz w:val="18"/>
                <w:szCs w:val="18"/>
                <w:color w:val="auto"/>
              </w:rPr>
            </w:pPr>
          </w:p>
        </w:tc>
        <w:tc>
          <w:tcPr>
            <w:tcW w:w="4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100" w:type="dxa"/>
            <w:vAlign w:val="bottom"/>
            <w:gridSpan w:val="7"/>
          </w:tcPr>
          <w:p>
            <w:pPr>
              <w:jc w:val="right"/>
              <w:ind w:right="212"/>
              <w:spacing w:after="0"/>
              <w:rPr>
                <w:sz w:val="20"/>
                <w:szCs w:val="20"/>
                <w:color w:val="auto"/>
              </w:rPr>
            </w:pPr>
            <w:r>
              <w:rPr>
                <w:rFonts w:ascii="Arial" w:cs="Arial" w:eastAsia="Arial" w:hAnsi="Arial"/>
                <w:sz w:val="18"/>
                <w:szCs w:val="18"/>
                <w:color w:val="auto"/>
                <w:w w:val="93"/>
              </w:rPr>
              <w:t>6620 West Broad Street</w:t>
            </w:r>
          </w:p>
        </w:tc>
        <w:tc>
          <w:tcPr>
            <w:tcW w:w="6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860" w:type="dxa"/>
            <w:vAlign w:val="bottom"/>
          </w:tcPr>
          <w:p>
            <w:pPr>
              <w:spacing w:after="0"/>
              <w:rPr>
                <w:sz w:val="19"/>
                <w:szCs w:val="19"/>
                <w:color w:val="auto"/>
              </w:rPr>
            </w:pPr>
          </w:p>
        </w:tc>
        <w:tc>
          <w:tcPr>
            <w:tcW w:w="4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100" w:type="dxa"/>
            <w:vAlign w:val="bottom"/>
            <w:gridSpan w:val="7"/>
          </w:tcPr>
          <w:p>
            <w:pPr>
              <w:jc w:val="right"/>
              <w:spacing w:after="0"/>
              <w:rPr>
                <w:sz w:val="20"/>
                <w:szCs w:val="20"/>
                <w:color w:val="auto"/>
              </w:rPr>
            </w:pPr>
            <w:r>
              <w:rPr>
                <w:rFonts w:ascii="Arial" w:cs="Arial" w:eastAsia="Arial" w:hAnsi="Arial"/>
                <w:sz w:val="18"/>
                <w:szCs w:val="18"/>
                <w:color w:val="auto"/>
                <w:w w:val="97"/>
              </w:rPr>
              <w:t>Richmond, Virginia 23230</w:t>
            </w:r>
          </w:p>
        </w:tc>
        <w:tc>
          <w:tcPr>
            <w:tcW w:w="6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2860" w:type="dxa"/>
            <w:vAlign w:val="bottom"/>
          </w:tcPr>
          <w:p>
            <w:pPr>
              <w:spacing w:after="0"/>
              <w:rPr>
                <w:sz w:val="24"/>
                <w:szCs w:val="24"/>
                <w:color w:val="auto"/>
              </w:rPr>
            </w:pPr>
          </w:p>
        </w:tc>
        <w:tc>
          <w:tcPr>
            <w:tcW w:w="5360" w:type="dxa"/>
            <w:vAlign w:val="bottom"/>
            <w:gridSpan w:val="4"/>
          </w:tcPr>
          <w:p>
            <w:pPr>
              <w:jc w:val="right"/>
              <w:ind w:right="280"/>
              <w:spacing w:after="0"/>
              <w:rPr>
                <w:sz w:val="20"/>
                <w:szCs w:val="20"/>
                <w:color w:val="auto"/>
              </w:rPr>
            </w:pPr>
            <w:r>
              <w:rPr>
                <w:rFonts w:ascii="Arial" w:cs="Arial" w:eastAsia="Arial" w:hAnsi="Arial"/>
                <w:sz w:val="18"/>
                <w:szCs w:val="18"/>
                <w:b w:val="1"/>
                <w:bCs w:val="1"/>
                <w:color w:val="auto"/>
              </w:rPr>
              <w:t>Genworth Financial Reports Fourth Quarter 2005 Earnings</w:t>
            </w: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2860" w:type="dxa"/>
            <w:vAlign w:val="bottom"/>
          </w:tcPr>
          <w:p>
            <w:pPr>
              <w:spacing w:after="0"/>
              <w:rPr>
                <w:sz w:val="24"/>
                <w:szCs w:val="24"/>
                <w:color w:val="auto"/>
              </w:rPr>
            </w:pPr>
          </w:p>
        </w:tc>
        <w:tc>
          <w:tcPr>
            <w:tcW w:w="4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720" w:type="dxa"/>
            <w:vAlign w:val="bottom"/>
            <w:gridSpan w:val="13"/>
          </w:tcPr>
          <w:p>
            <w:pPr>
              <w:ind w:left="380"/>
              <w:spacing w:after="0"/>
              <w:rPr>
                <w:sz w:val="20"/>
                <w:szCs w:val="20"/>
                <w:color w:val="auto"/>
              </w:rPr>
            </w:pPr>
            <w:r>
              <w:rPr>
                <w:rFonts w:ascii="Arial" w:cs="Arial" w:eastAsia="Arial" w:hAnsi="Arial"/>
                <w:sz w:val="14"/>
                <w:szCs w:val="14"/>
                <w:b w:val="1"/>
                <w:bCs w:val="1"/>
                <w:color w:val="auto"/>
              </w:rPr>
              <w:t>Three months ended December 31st, (Unaudited)</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860" w:type="dxa"/>
            <w:vAlign w:val="bottom"/>
          </w:tcPr>
          <w:p>
            <w:pPr>
              <w:spacing w:after="0"/>
              <w:rPr>
                <w:sz w:val="8"/>
                <w:szCs w:val="8"/>
                <w:color w:val="auto"/>
              </w:rPr>
            </w:pPr>
          </w:p>
        </w:tc>
        <w:tc>
          <w:tcPr>
            <w:tcW w:w="4740" w:type="dxa"/>
            <w:vAlign w:val="bottom"/>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3"/>
        </w:trPr>
        <w:tc>
          <w:tcPr>
            <w:tcW w:w="20" w:type="dxa"/>
            <w:vAlign w:val="bottom"/>
          </w:tcPr>
          <w:p>
            <w:pPr>
              <w:spacing w:after="0"/>
              <w:rPr>
                <w:sz w:val="22"/>
                <w:szCs w:val="22"/>
                <w:color w:val="auto"/>
              </w:rPr>
            </w:pPr>
          </w:p>
        </w:tc>
        <w:tc>
          <w:tcPr>
            <w:tcW w:w="2860" w:type="dxa"/>
            <w:vAlign w:val="bottom"/>
          </w:tcPr>
          <w:p>
            <w:pPr>
              <w:spacing w:after="0"/>
              <w:rPr>
                <w:sz w:val="22"/>
                <w:szCs w:val="22"/>
                <w:color w:val="auto"/>
              </w:rPr>
            </w:pPr>
          </w:p>
        </w:tc>
        <w:tc>
          <w:tcPr>
            <w:tcW w:w="47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60" w:type="dxa"/>
            <w:vAlign w:val="bottom"/>
            <w:gridSpan w:val="2"/>
          </w:tcPr>
          <w:p>
            <w:pPr>
              <w:jc w:val="right"/>
              <w:ind w:right="52"/>
              <w:spacing w:after="0"/>
              <w:rPr>
                <w:sz w:val="20"/>
                <w:szCs w:val="20"/>
                <w:color w:val="auto"/>
              </w:rPr>
            </w:pPr>
            <w:r>
              <w:rPr>
                <w:rFonts w:ascii="Arial" w:cs="Arial" w:eastAsia="Arial" w:hAnsi="Arial"/>
                <w:sz w:val="14"/>
                <w:szCs w:val="14"/>
                <w:b w:val="1"/>
                <w:bCs w:val="1"/>
                <w:color w:val="auto"/>
              </w:rPr>
              <w:t>2005</w:t>
            </w:r>
          </w:p>
        </w:tc>
        <w:tc>
          <w:tcPr>
            <w:tcW w:w="58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60" w:type="dxa"/>
            <w:vAlign w:val="bottom"/>
            <w:gridSpan w:val="2"/>
          </w:tcPr>
          <w:p>
            <w:pPr>
              <w:jc w:val="right"/>
              <w:ind w:right="52"/>
              <w:spacing w:after="0"/>
              <w:rPr>
                <w:sz w:val="20"/>
                <w:szCs w:val="20"/>
                <w:color w:val="auto"/>
              </w:rPr>
            </w:pPr>
            <w:r>
              <w:rPr>
                <w:rFonts w:ascii="Arial" w:cs="Arial" w:eastAsia="Arial" w:hAnsi="Arial"/>
                <w:sz w:val="14"/>
                <w:szCs w:val="14"/>
                <w:b w:val="1"/>
                <w:bCs w:val="1"/>
                <w:color w:val="auto"/>
              </w:rPr>
              <w:t>2004</w:t>
            </w:r>
          </w:p>
        </w:tc>
        <w:tc>
          <w:tcPr>
            <w:tcW w:w="6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860" w:type="dxa"/>
            <w:vAlign w:val="bottom"/>
          </w:tcPr>
          <w:p>
            <w:pPr>
              <w:spacing w:after="0"/>
              <w:rPr>
                <w:sz w:val="8"/>
                <w:szCs w:val="8"/>
                <w:color w:val="auto"/>
              </w:rPr>
            </w:pPr>
          </w:p>
        </w:tc>
        <w:tc>
          <w:tcPr>
            <w:tcW w:w="4740" w:type="dxa"/>
            <w:vAlign w:val="bottom"/>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gridSpan w:val="2"/>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760" w:type="dxa"/>
            <w:vAlign w:val="bottom"/>
            <w:tcBorders>
              <w:bottom w:val="single" w:sz="8" w:color="auto"/>
            </w:tcBorders>
            <w:gridSpan w:val="2"/>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2860" w:type="dxa"/>
            <w:vAlign w:val="bottom"/>
          </w:tcPr>
          <w:p>
            <w:pPr>
              <w:spacing w:after="0"/>
              <w:rPr>
                <w:sz w:val="20"/>
                <w:szCs w:val="20"/>
                <w:color w:val="auto"/>
              </w:rPr>
            </w:pPr>
          </w:p>
        </w:tc>
        <w:tc>
          <w:tcPr>
            <w:tcW w:w="4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gridSpan w:val="3"/>
          </w:tcPr>
          <w:p>
            <w:pPr>
              <w:jc w:val="right"/>
              <w:ind w:right="440"/>
              <w:spacing w:after="0"/>
              <w:rPr>
                <w:sz w:val="20"/>
                <w:szCs w:val="20"/>
                <w:color w:val="auto"/>
              </w:rPr>
            </w:pPr>
            <w:r>
              <w:rPr>
                <w:rFonts w:ascii="Arial" w:cs="Arial" w:eastAsia="Arial" w:hAnsi="Arial"/>
                <w:sz w:val="14"/>
                <w:szCs w:val="14"/>
                <w:b w:val="1"/>
                <w:bCs w:val="1"/>
                <w:color w:val="auto"/>
                <w:w w:val="91"/>
              </w:rPr>
              <w:t>Per diluted</w:t>
            </w:r>
          </w:p>
        </w:tc>
        <w:tc>
          <w:tcPr>
            <w:tcW w:w="1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80" w:type="dxa"/>
            <w:vAlign w:val="bottom"/>
            <w:gridSpan w:val="3"/>
          </w:tcPr>
          <w:p>
            <w:pPr>
              <w:jc w:val="center"/>
              <w:ind w:right="20"/>
              <w:spacing w:after="0"/>
              <w:rPr>
                <w:sz w:val="20"/>
                <w:szCs w:val="20"/>
                <w:color w:val="auto"/>
              </w:rPr>
            </w:pPr>
            <w:r>
              <w:rPr>
                <w:rFonts w:ascii="Arial" w:cs="Arial" w:eastAsia="Arial" w:hAnsi="Arial"/>
                <w:sz w:val="14"/>
                <w:szCs w:val="14"/>
                <w:b w:val="1"/>
                <w:bCs w:val="1"/>
                <w:color w:val="auto"/>
                <w:w w:val="88"/>
              </w:rPr>
              <w:t>Per diluted</w:t>
            </w:r>
          </w:p>
        </w:tc>
        <w:tc>
          <w:tcPr>
            <w:tcW w:w="0" w:type="dxa"/>
            <w:vAlign w:val="bottom"/>
          </w:tcPr>
          <w:p>
            <w:pPr>
              <w:spacing w:after="0"/>
              <w:rPr>
                <w:sz w:val="1"/>
                <w:szCs w:val="1"/>
                <w:color w:val="auto"/>
              </w:rPr>
            </w:pPr>
          </w:p>
        </w:tc>
      </w:tr>
      <w:tr>
        <w:trPr>
          <w:trHeight w:val="174"/>
        </w:trPr>
        <w:tc>
          <w:tcPr>
            <w:tcW w:w="28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w:t>
            </w:r>
            <w:r>
              <w:rPr>
                <w:rFonts w:ascii="Arial" w:cs="Arial" w:eastAsia="Arial" w:hAnsi="Arial"/>
                <w:sz w:val="14"/>
                <w:szCs w:val="14"/>
                <w:b w:val="1"/>
                <w:bCs w:val="1"/>
                <w:i w:val="1"/>
                <w:iCs w:val="1"/>
                <w:color w:val="auto"/>
              </w:rPr>
              <w:t>Amounts in millions, except per share</w:t>
            </w:r>
            <w:r>
              <w:rPr>
                <w:rFonts w:ascii="Arial" w:cs="Arial" w:eastAsia="Arial" w:hAnsi="Arial"/>
                <w:sz w:val="14"/>
                <w:szCs w:val="14"/>
                <w:b w:val="1"/>
                <w:bCs w:val="1"/>
                <w:color w:val="auto"/>
              </w:rPr>
              <w:t>)</w:t>
            </w:r>
          </w:p>
        </w:tc>
        <w:tc>
          <w:tcPr>
            <w:tcW w:w="4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w w:val="89"/>
              </w:rPr>
              <w:t>Total</w:t>
            </w:r>
          </w:p>
        </w:tc>
        <w:tc>
          <w:tcPr>
            <w:tcW w:w="3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80" w:type="dxa"/>
            <w:vAlign w:val="bottom"/>
            <w:gridSpan w:val="2"/>
          </w:tcPr>
          <w:p>
            <w:pPr>
              <w:jc w:val="right"/>
              <w:ind w:right="600"/>
              <w:spacing w:after="0"/>
              <w:rPr>
                <w:sz w:val="20"/>
                <w:szCs w:val="20"/>
                <w:color w:val="auto"/>
              </w:rPr>
            </w:pPr>
            <w:r>
              <w:rPr>
                <w:rFonts w:ascii="Arial" w:cs="Arial" w:eastAsia="Arial" w:hAnsi="Arial"/>
                <w:sz w:val="14"/>
                <w:szCs w:val="14"/>
                <w:b w:val="1"/>
                <w:bCs w:val="1"/>
                <w:color w:val="auto"/>
                <w:w w:val="96"/>
              </w:rPr>
              <w:t>share</w:t>
            </w:r>
          </w:p>
        </w:tc>
        <w:tc>
          <w:tcPr>
            <w:tcW w:w="120" w:type="dxa"/>
            <w:vAlign w:val="bottom"/>
          </w:tcPr>
          <w:p>
            <w:pPr>
              <w:spacing w:after="0"/>
              <w:rPr>
                <w:sz w:val="15"/>
                <w:szCs w:val="15"/>
                <w:color w:val="auto"/>
              </w:rPr>
            </w:pPr>
          </w:p>
        </w:tc>
        <w:tc>
          <w:tcPr>
            <w:tcW w:w="540" w:type="dxa"/>
            <w:vAlign w:val="bottom"/>
            <w:gridSpan w:val="2"/>
          </w:tcPr>
          <w:p>
            <w:pPr>
              <w:ind w:left="20"/>
              <w:spacing w:after="0"/>
              <w:rPr>
                <w:sz w:val="20"/>
                <w:szCs w:val="20"/>
                <w:color w:val="auto"/>
              </w:rPr>
            </w:pPr>
            <w:r>
              <w:rPr>
                <w:rFonts w:ascii="Arial" w:cs="Arial" w:eastAsia="Arial" w:hAnsi="Arial"/>
                <w:sz w:val="14"/>
                <w:szCs w:val="14"/>
                <w:b w:val="1"/>
                <w:bCs w:val="1"/>
                <w:color w:val="auto"/>
              </w:rPr>
              <w:t>Total</w:t>
            </w:r>
          </w:p>
        </w:tc>
        <w:tc>
          <w:tcPr>
            <w:tcW w:w="3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5"/>
              </w:rPr>
              <w:t>share</w:t>
            </w:r>
          </w:p>
        </w:tc>
        <w:tc>
          <w:tcPr>
            <w:tcW w:w="0" w:type="dxa"/>
            <w:vAlign w:val="bottom"/>
          </w:tcPr>
          <w:p>
            <w:pPr>
              <w:spacing w:after="0"/>
              <w:rPr>
                <w:sz w:val="1"/>
                <w:szCs w:val="1"/>
                <w:color w:val="auto"/>
              </w:rPr>
            </w:pPr>
          </w:p>
        </w:tc>
      </w:tr>
      <w:tr>
        <w:trPr>
          <w:trHeight w:val="95"/>
        </w:trPr>
        <w:tc>
          <w:tcPr>
            <w:tcW w:w="2880" w:type="dxa"/>
            <w:vAlign w:val="bottom"/>
            <w:gridSpan w:val="2"/>
            <w:vMerge w:val="continue"/>
          </w:tcPr>
          <w:p>
            <w:pPr>
              <w:spacing w:after="0"/>
              <w:rPr>
                <w:sz w:val="8"/>
                <w:szCs w:val="8"/>
                <w:color w:val="auto"/>
              </w:rPr>
            </w:pPr>
          </w:p>
        </w:tc>
        <w:tc>
          <w:tcPr>
            <w:tcW w:w="4740" w:type="dxa"/>
            <w:vAlign w:val="bottom"/>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
        </w:trPr>
        <w:tc>
          <w:tcPr>
            <w:tcW w:w="2880" w:type="dxa"/>
            <w:vAlign w:val="bottom"/>
            <w:gridSpan w:val="2"/>
            <w:vMerge w:val="continue"/>
          </w:tcPr>
          <w:p>
            <w:pPr>
              <w:spacing w:after="0"/>
              <w:rPr>
                <w:sz w:val="4"/>
                <w:szCs w:val="4"/>
                <w:color w:val="auto"/>
              </w:rPr>
            </w:pPr>
          </w:p>
        </w:tc>
        <w:tc>
          <w:tcPr>
            <w:tcW w:w="4740" w:type="dxa"/>
            <w:vAlign w:val="bottom"/>
          </w:tcPr>
          <w:p>
            <w:pPr>
              <w:spacing w:after="0"/>
              <w:rPr>
                <w:sz w:val="4"/>
                <w:szCs w:val="4"/>
                <w:color w:val="auto"/>
              </w:rPr>
            </w:pPr>
          </w:p>
        </w:tc>
        <w:tc>
          <w:tcPr>
            <w:tcW w:w="100" w:type="dxa"/>
            <w:vAlign w:val="bottom"/>
          </w:tcPr>
          <w:p>
            <w:pPr>
              <w:spacing w:after="0"/>
              <w:rPr>
                <w:sz w:val="4"/>
                <w:szCs w:val="4"/>
                <w:color w:val="auto"/>
              </w:rPr>
            </w:pPr>
          </w:p>
        </w:tc>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580" w:type="dxa"/>
            <w:vAlign w:val="bottom"/>
          </w:tcPr>
          <w:p>
            <w:pPr>
              <w:spacing w:after="0"/>
              <w:rPr>
                <w:sz w:val="4"/>
                <w:szCs w:val="4"/>
                <w:color w:val="auto"/>
              </w:rPr>
            </w:pPr>
          </w:p>
        </w:tc>
        <w:tc>
          <w:tcPr>
            <w:tcW w:w="400" w:type="dxa"/>
            <w:vAlign w:val="bottom"/>
          </w:tcPr>
          <w:p>
            <w:pPr>
              <w:spacing w:after="0"/>
              <w:rPr>
                <w:sz w:val="4"/>
                <w:szCs w:val="4"/>
                <w:color w:val="auto"/>
              </w:rPr>
            </w:pPr>
          </w:p>
        </w:tc>
        <w:tc>
          <w:tcPr>
            <w:tcW w:w="120" w:type="dxa"/>
            <w:vAlign w:val="bottom"/>
          </w:tcPr>
          <w:p>
            <w:pPr>
              <w:spacing w:after="0"/>
              <w:rPr>
                <w:sz w:val="4"/>
                <w:szCs w:val="4"/>
                <w:color w:val="auto"/>
              </w:rPr>
            </w:pPr>
          </w:p>
        </w:tc>
        <w:tc>
          <w:tcPr>
            <w:tcW w:w="4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55"/>
        </w:trPr>
        <w:tc>
          <w:tcPr>
            <w:tcW w:w="20" w:type="dxa"/>
            <w:vAlign w:val="bottom"/>
            <w:vMerge w:val="restart"/>
          </w:tcPr>
          <w:p>
            <w:pPr>
              <w:spacing w:after="0"/>
              <w:rPr>
                <w:sz w:val="4"/>
                <w:szCs w:val="4"/>
                <w:color w:val="auto"/>
              </w:rPr>
            </w:pPr>
          </w:p>
        </w:tc>
        <w:tc>
          <w:tcPr>
            <w:tcW w:w="2860" w:type="dxa"/>
            <w:vAlign w:val="bottom"/>
          </w:tcPr>
          <w:p>
            <w:pPr>
              <w:spacing w:after="0"/>
              <w:rPr>
                <w:sz w:val="4"/>
                <w:szCs w:val="4"/>
                <w:color w:val="auto"/>
              </w:rPr>
            </w:pPr>
          </w:p>
        </w:tc>
        <w:tc>
          <w:tcPr>
            <w:tcW w:w="4740" w:type="dxa"/>
            <w:vAlign w:val="bottom"/>
          </w:tcPr>
          <w:p>
            <w:pPr>
              <w:spacing w:after="0"/>
              <w:rPr>
                <w:sz w:val="4"/>
                <w:szCs w:val="4"/>
                <w:color w:val="auto"/>
              </w:rPr>
            </w:pPr>
          </w:p>
        </w:tc>
        <w:tc>
          <w:tcPr>
            <w:tcW w:w="100" w:type="dxa"/>
            <w:vAlign w:val="bottom"/>
          </w:tcPr>
          <w:p>
            <w:pPr>
              <w:spacing w:after="0"/>
              <w:rPr>
                <w:sz w:val="4"/>
                <w:szCs w:val="4"/>
                <w:color w:val="auto"/>
              </w:rPr>
            </w:pPr>
          </w:p>
        </w:tc>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580" w:type="dxa"/>
            <w:vAlign w:val="bottom"/>
          </w:tcPr>
          <w:p>
            <w:pPr>
              <w:spacing w:after="0"/>
              <w:rPr>
                <w:sz w:val="4"/>
                <w:szCs w:val="4"/>
                <w:color w:val="auto"/>
              </w:rPr>
            </w:pPr>
          </w:p>
        </w:tc>
        <w:tc>
          <w:tcPr>
            <w:tcW w:w="400" w:type="dxa"/>
            <w:vAlign w:val="bottom"/>
          </w:tcPr>
          <w:p>
            <w:pPr>
              <w:spacing w:after="0"/>
              <w:rPr>
                <w:sz w:val="4"/>
                <w:szCs w:val="4"/>
                <w:color w:val="auto"/>
              </w:rPr>
            </w:pPr>
          </w:p>
        </w:tc>
        <w:tc>
          <w:tcPr>
            <w:tcW w:w="120" w:type="dxa"/>
            <w:vAlign w:val="bottom"/>
          </w:tcPr>
          <w:p>
            <w:pPr>
              <w:spacing w:after="0"/>
              <w:rPr>
                <w:sz w:val="4"/>
                <w:szCs w:val="4"/>
                <w:color w:val="auto"/>
              </w:rPr>
            </w:pPr>
          </w:p>
        </w:tc>
        <w:tc>
          <w:tcPr>
            <w:tcW w:w="4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 w:type="dxa"/>
            <w:vAlign w:val="bottom"/>
            <w:vMerge w:val="restart"/>
          </w:tcPr>
          <w:p>
            <w:pPr>
              <w:spacing w:after="0"/>
              <w:rPr>
                <w:sz w:val="4"/>
                <w:szCs w:val="4"/>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8"/>
                <w:szCs w:val="18"/>
                <w:color w:val="auto"/>
              </w:rPr>
              <w:t>Net earnings</w:t>
            </w:r>
          </w:p>
        </w:tc>
        <w:tc>
          <w:tcPr>
            <w:tcW w:w="48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307</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0.64</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346</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0.70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60" w:type="dxa"/>
            <w:vAlign w:val="bottom"/>
          </w:tcPr>
          <w:p>
            <w:pPr>
              <w:spacing w:after="0"/>
              <w:rPr>
                <w:sz w:val="20"/>
                <w:szCs w:val="20"/>
                <w:color w:val="auto"/>
              </w:rPr>
            </w:pPr>
            <w:r>
              <w:rPr>
                <w:rFonts w:ascii="Arial" w:cs="Arial" w:eastAsia="Arial" w:hAnsi="Arial"/>
                <w:sz w:val="18"/>
                <w:szCs w:val="18"/>
                <w:color w:val="auto"/>
              </w:rPr>
              <w:t>Net operating earnings</w:t>
            </w:r>
          </w:p>
        </w:tc>
        <w:tc>
          <w:tcPr>
            <w:tcW w:w="48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rPr>
              <w:t>300</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400"/>
              <w:spacing w:after="0"/>
              <w:rPr>
                <w:sz w:val="20"/>
                <w:szCs w:val="20"/>
                <w:color w:val="auto"/>
              </w:rPr>
            </w:pPr>
            <w:r>
              <w:rPr>
                <w:rFonts w:ascii="Arial" w:cs="Arial" w:eastAsia="Arial" w:hAnsi="Arial"/>
                <w:sz w:val="18"/>
                <w:szCs w:val="18"/>
                <w:color w:val="auto"/>
              </w:rPr>
              <w:t>0.62</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gridSpan w:val="2"/>
          </w:tcPr>
          <w:p>
            <w:pPr>
              <w:jc w:val="right"/>
              <w:ind w:right="80"/>
              <w:spacing w:after="0"/>
              <w:rPr>
                <w:sz w:val="20"/>
                <w:szCs w:val="20"/>
                <w:color w:val="auto"/>
              </w:rPr>
            </w:pPr>
            <w:r>
              <w:rPr>
                <w:rFonts w:ascii="Arial" w:cs="Arial" w:eastAsia="Arial" w:hAnsi="Arial"/>
                <w:sz w:val="18"/>
                <w:szCs w:val="18"/>
                <w:color w:val="auto"/>
              </w:rPr>
              <w:t>254</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0.52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diluted shares</w:t>
            </w:r>
          </w:p>
        </w:tc>
        <w:tc>
          <w:tcPr>
            <w:tcW w:w="4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3"/>
              </w:rPr>
              <w:t>482.6</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7"/>
              </w:rPr>
              <w:t>492.4</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140" w:lineRule="exact"/>
        <w:rPr>
          <w:sz w:val="20"/>
          <w:szCs w:val="20"/>
          <w:color w:val="auto"/>
        </w:rPr>
      </w:pPr>
    </w:p>
    <w:p>
      <w:pPr>
        <w:jc w:val="both"/>
        <w:ind w:right="60"/>
        <w:spacing w:after="0" w:line="268" w:lineRule="auto"/>
        <w:rPr>
          <w:sz w:val="20"/>
          <w:szCs w:val="20"/>
          <w:color w:val="auto"/>
        </w:rPr>
      </w:pPr>
      <w:r>
        <w:rPr>
          <w:rFonts w:ascii="Arial" w:cs="Arial" w:eastAsia="Arial" w:hAnsi="Arial"/>
          <w:sz w:val="18"/>
          <w:szCs w:val="18"/>
          <w:color w:val="auto"/>
        </w:rPr>
        <w:t>Richmond, VA (January 20, 2006) – Genworth Financial, Inc. (NYSE: GNW) today reported net earnings for the fourth quarter of 2005 of $307 million, or $0.64 per diluted share. Net earnings for the fourth quarter of 2004 were $346 million, or $0.70 per diluted share.</w:t>
      </w:r>
    </w:p>
    <w:p>
      <w:pPr>
        <w:spacing w:after="0" w:line="118" w:lineRule="exact"/>
        <w:rPr>
          <w:sz w:val="20"/>
          <w:szCs w:val="20"/>
          <w:color w:val="auto"/>
        </w:rPr>
      </w:pPr>
    </w:p>
    <w:p>
      <w:pPr>
        <w:ind w:right="520"/>
        <w:spacing w:after="0" w:line="268" w:lineRule="auto"/>
        <w:rPr>
          <w:sz w:val="20"/>
          <w:szCs w:val="20"/>
          <w:color w:val="auto"/>
        </w:rPr>
      </w:pPr>
      <w:r>
        <w:rPr>
          <w:rFonts w:ascii="Arial" w:cs="Arial" w:eastAsia="Arial" w:hAnsi="Arial"/>
          <w:sz w:val="18"/>
          <w:szCs w:val="18"/>
          <w:color w:val="auto"/>
        </w:rPr>
        <w:t>Net earnings for the fourth quarter of 2004 included a $68 million IPO-related net tax benefit and $24 million of after-tax gains. Net earnings for the fourth quarter of 2005 included $7 million of after-tax gains.</w:t>
      </w:r>
    </w:p>
    <w:p>
      <w:pPr>
        <w:spacing w:after="0" w:line="118" w:lineRule="exact"/>
        <w:rPr>
          <w:sz w:val="20"/>
          <w:szCs w:val="20"/>
          <w:color w:val="auto"/>
        </w:rPr>
      </w:pPr>
    </w:p>
    <w:p>
      <w:pPr>
        <w:ind w:right="160"/>
        <w:spacing w:after="0" w:line="268" w:lineRule="auto"/>
        <w:rPr>
          <w:sz w:val="20"/>
          <w:szCs w:val="20"/>
          <w:color w:val="auto"/>
        </w:rPr>
      </w:pPr>
      <w:r>
        <w:rPr>
          <w:rFonts w:ascii="Arial" w:cs="Arial" w:eastAsia="Arial" w:hAnsi="Arial"/>
          <w:sz w:val="18"/>
          <w:szCs w:val="18"/>
          <w:color w:val="auto"/>
        </w:rPr>
        <w:t>Net operating earnings for the fourth quarter of 2005 were $300 million, or $0.62 per diluted share, compared to net operating earnings of $254 million or $0.52 per diluted share in the fourth quarter of 2004.</w:t>
      </w:r>
    </w:p>
    <w:p>
      <w:pPr>
        <w:spacing w:after="0" w:line="118" w:lineRule="exact"/>
        <w:rPr>
          <w:sz w:val="20"/>
          <w:szCs w:val="20"/>
          <w:color w:val="auto"/>
        </w:rPr>
      </w:pPr>
    </w:p>
    <w:p>
      <w:pPr>
        <w:ind w:right="580"/>
        <w:spacing w:after="0" w:line="332" w:lineRule="auto"/>
        <w:rPr>
          <w:sz w:val="20"/>
          <w:szCs w:val="20"/>
          <w:color w:val="auto"/>
        </w:rPr>
      </w:pPr>
      <w:r>
        <w:rPr>
          <w:rFonts w:ascii="Arial" w:cs="Arial" w:eastAsia="Arial" w:hAnsi="Arial"/>
          <w:sz w:val="16"/>
          <w:szCs w:val="16"/>
          <w:color w:val="auto"/>
        </w:rPr>
        <w:t>Net operating earnings for the fourth quarter of 2005 included a $19 million after-tax, or $.04 per diluted share, increase in net investment income from an adjustment to commercial mortgage loan loss reserves resulting from a change in process for estimating credit losses.</w:t>
      </w: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Detailed Earnings Release and Conference Call Information</w:t>
      </w:r>
    </w:p>
    <w:p>
      <w:pPr>
        <w:spacing w:after="0" w:line="83"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color w:val="auto"/>
        </w:rPr>
        <w:t>Genworth will issue a detailed earnings release and fourth quarter financial supplement after the market closes on January 26, 2006 and will conduct a conference call on January 27 from 9 a.m. to 10 a.m. (EST).</w:t>
      </w:r>
    </w:p>
    <w:p>
      <w:pPr>
        <w:spacing w:after="0" w:line="118"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The conference call will be accessible via telephone and the Internet. The earnings release and financial supplement will be posted on the company’s website when released. Investors are encouraged to review all of these materials. The web cast will be available at www.genworth.com. To access the call by telephone, dial 1-800-599-9795 (U.S.) or 1-617-786-2905 (outside the U.S.), access code “Genworth”. A replay of the call will be available from 1 p.m. EST on January 27 through February 3, 2006 at 1-888-286-8010 or 1-617-801-6888 (outside the U.S.), access code 57552239. The call will also be replayed at the company’s website during this same time period.</w:t>
      </w:r>
    </w:p>
    <w:p>
      <w:pPr>
        <w:sectPr>
          <w:pgSz w:w="11900" w:h="16838" w:orient="portrait"/>
          <w:cols w:equalWidth="0" w:num="1">
            <w:col w:w="11420"/>
          </w:cols>
          <w:pgMar w:left="240" w:top="125" w:right="2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Use of Non-GAAP Measures</w:t>
      </w:r>
    </w:p>
    <w:p>
      <w:pPr>
        <w:spacing w:after="0" w:line="83"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This press release includes the non-GAAP financial measure entitled “net operating earnings.” The company defines net operating earnings as net earnings from continuing operations, excluding after-tax net realized investment gains and losses (which can fluctuate significantly from period to period), changes in accounting principles and infrequent or unusual non-operating items. There were no infrequent or unusual non-operating items excluded from net operating earnings for the periods presented in this release other than a $68 million IPO-related net tax benefit recorded during the fourth quarter of 2004 and a $25 million after-tax gain related to our waiver of contractual rights under an outsourcing services agreement with General Electric’s (GE) global business processing operation, 60% of which was sold in the fourth quarter of 2004.</w:t>
      </w:r>
    </w:p>
    <w:p>
      <w:pPr>
        <w:spacing w:after="0" w:line="107" w:lineRule="exact"/>
        <w:rPr>
          <w:sz w:val="20"/>
          <w:szCs w:val="20"/>
          <w:color w:val="auto"/>
        </w:rPr>
      </w:pPr>
    </w:p>
    <w:p>
      <w:pPr>
        <w:ind w:right="20"/>
        <w:spacing w:after="0" w:line="298" w:lineRule="auto"/>
        <w:rPr>
          <w:sz w:val="20"/>
          <w:szCs w:val="20"/>
          <w:color w:val="auto"/>
        </w:rPr>
      </w:pPr>
      <w:r>
        <w:rPr>
          <w:rFonts w:ascii="Arial" w:cs="Arial" w:eastAsia="Arial" w:hAnsi="Arial"/>
          <w:sz w:val="16"/>
          <w:szCs w:val="16"/>
          <w:color w:val="auto"/>
        </w:rPr>
        <w:t>Management believes that analysis of net operating earnings enhances understanding and comparability of performance by highlighting underlying business activity and profitability drivers. However, net operating earnings should not be viewed as a substitute for GAAP net earnings. In addition, the company’s definition of net operating earnings may differ from the definitions used by other companies. The table at the end of this press release provides a reconciliation of net earnings to net operating earnings (as defined above) for the three months ended December 31, 2005 and 2004.</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83"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This press release contains certain “forward-looking statements” within the meaning of the Private Securities Litigation Reform Act of 1995. Forward-looking statements may be identified by words such as “expects,” “intends,” “anticipates,” “plans,” “believes,” “seeks,” “estimates,” “will,” or words of similar meaning and include, but are not limited to, statements regarding the outlook for the company’s future business and financial performance. Forward-looking statements are based on management’s current expectations and assumptions, which are subject to inherent uncertainties, risks and changes in circumstances that are difficult to predict. Actual outcomes and results may differ materially due to global political, economic, business, competitive, market, regulatory and other factors and risks, including the following:</w:t>
      </w:r>
    </w:p>
    <w:p>
      <w:pPr>
        <w:spacing w:after="0" w:line="50" w:lineRule="exact"/>
        <w:rPr>
          <w:sz w:val="20"/>
          <w:szCs w:val="20"/>
          <w:color w:val="auto"/>
        </w:rPr>
      </w:pPr>
    </w:p>
    <w:p>
      <w:pPr>
        <w:ind w:left="780" w:hanging="326"/>
        <w:spacing w:after="0" w:line="254" w:lineRule="auto"/>
        <w:tabs>
          <w:tab w:leader="none" w:pos="780" w:val="left"/>
        </w:tabs>
        <w:numPr>
          <w:ilvl w:val="0"/>
          <w:numId w:val="2"/>
        </w:numPr>
        <w:rPr>
          <w:rFonts w:ascii="Arial" w:cs="Arial" w:eastAsia="Arial" w:hAnsi="Arial"/>
          <w:sz w:val="18"/>
          <w:szCs w:val="18"/>
          <w:color w:val="auto"/>
        </w:rPr>
      </w:pPr>
      <w:r>
        <w:rPr>
          <w:rFonts w:ascii="Arial" w:cs="Arial" w:eastAsia="Arial" w:hAnsi="Arial"/>
          <w:sz w:val="18"/>
          <w:szCs w:val="18"/>
          <w:i w:val="1"/>
          <w:iCs w:val="1"/>
          <w:color w:val="auto"/>
        </w:rPr>
        <w:t>Risks relating to our businesses</w:t>
      </w:r>
      <w:r>
        <w:rPr>
          <w:rFonts w:ascii="Arial" w:cs="Arial" w:eastAsia="Arial" w:hAnsi="Arial"/>
          <w:sz w:val="18"/>
          <w:szCs w:val="18"/>
          <w:color w:val="auto"/>
        </w:rPr>
        <w:t>, including interest rate fluctuations, downturns and volatility in equity markets, defaults in portfolio securities,</w:t>
      </w:r>
      <w:r>
        <w:rPr>
          <w:rFonts w:ascii="Arial" w:cs="Arial" w:eastAsia="Arial" w:hAnsi="Arial"/>
          <w:sz w:val="18"/>
          <w:szCs w:val="18"/>
          <w:i w:val="1"/>
          <w:iCs w:val="1"/>
          <w:color w:val="auto"/>
        </w:rPr>
        <w:t xml:space="preserve"> </w:t>
      </w:r>
      <w:r>
        <w:rPr>
          <w:rFonts w:ascii="Arial" w:cs="Arial" w:eastAsia="Arial" w:hAnsi="Arial"/>
          <w:sz w:val="18"/>
          <w:szCs w:val="18"/>
          <w:color w:val="auto"/>
        </w:rPr>
        <w:t>downgrades in our financial strength and credit ratings, insufficiency of reserves, legal constraints on dividend distributions by subsidiaries, illiquidity of investments, competition, inability to attract or retain independent sales intermediaries and dedicated sales specialists, defaults by counterparties, foreign exchange rate fluctuations, regulatory restrictions on our operations and changes in applicable laws and regulations, legal or regulatory actions or investigations, political or economic instability, the failure or any compromise of the security of our computer systems and the occurrence of natural or man-made disasters;</w:t>
      </w:r>
    </w:p>
    <w:p>
      <w:pPr>
        <w:spacing w:after="0" w:line="49" w:lineRule="exact"/>
        <w:rPr>
          <w:rFonts w:ascii="Arial" w:cs="Arial" w:eastAsia="Arial" w:hAnsi="Arial"/>
          <w:sz w:val="18"/>
          <w:szCs w:val="18"/>
          <w:color w:val="auto"/>
        </w:rPr>
      </w:pPr>
    </w:p>
    <w:p>
      <w:pPr>
        <w:ind w:left="780" w:hanging="326"/>
        <w:spacing w:after="0" w:line="298" w:lineRule="auto"/>
        <w:tabs>
          <w:tab w:leader="none" w:pos="780" w:val="left"/>
        </w:tabs>
        <w:numPr>
          <w:ilvl w:val="0"/>
          <w:numId w:val="2"/>
        </w:numPr>
        <w:rPr>
          <w:rFonts w:ascii="Arial" w:cs="Arial" w:eastAsia="Arial" w:hAnsi="Arial"/>
          <w:sz w:val="16"/>
          <w:szCs w:val="16"/>
          <w:color w:val="auto"/>
        </w:rPr>
      </w:pPr>
      <w:r>
        <w:rPr>
          <w:rFonts w:ascii="Arial" w:cs="Arial" w:eastAsia="Arial" w:hAnsi="Arial"/>
          <w:sz w:val="16"/>
          <w:szCs w:val="16"/>
          <w:i w:val="1"/>
          <w:iCs w:val="1"/>
          <w:color w:val="auto"/>
        </w:rPr>
        <w:t>Risks relating to our Protection and Retirement Income and Investments segments</w:t>
      </w:r>
      <w:r>
        <w:rPr>
          <w:rFonts w:ascii="Arial" w:cs="Arial" w:eastAsia="Arial" w:hAnsi="Arial"/>
          <w:sz w:val="16"/>
          <w:szCs w:val="16"/>
          <w:color w:val="auto"/>
        </w:rPr>
        <w:t>, including unexpected changes in mortality, morbidity and</w:t>
      </w:r>
      <w:r>
        <w:rPr>
          <w:rFonts w:ascii="Arial" w:cs="Arial" w:eastAsia="Arial" w:hAnsi="Arial"/>
          <w:sz w:val="16"/>
          <w:szCs w:val="16"/>
          <w:i w:val="1"/>
          <w:iCs w:val="1"/>
          <w:color w:val="auto"/>
        </w:rPr>
        <w:t xml:space="preserve"> </w:t>
      </w:r>
      <w:r>
        <w:rPr>
          <w:rFonts w:ascii="Arial" w:cs="Arial" w:eastAsia="Arial" w:hAnsi="Arial"/>
          <w:sz w:val="16"/>
          <w:szCs w:val="16"/>
          <w:color w:val="auto"/>
        </w:rPr>
        <w:t>unemployment rates, accelerated amortization of deferred acquisition costs and present value of future profits, goodwill impairments, medical advances such as genetic mapping research, unexpected changes in persistency rates, increases in statutory reserve requirements, the failure of demand for long-term care insurance to increase as we expect and changes in tax and securities laws;</w:t>
      </w:r>
    </w:p>
    <w:p>
      <w:pPr>
        <w:spacing w:after="0" w:line="18" w:lineRule="exact"/>
        <w:rPr>
          <w:rFonts w:ascii="Arial" w:cs="Arial" w:eastAsia="Arial" w:hAnsi="Arial"/>
          <w:sz w:val="16"/>
          <w:szCs w:val="16"/>
          <w:color w:val="auto"/>
        </w:rPr>
      </w:pPr>
    </w:p>
    <w:p>
      <w:pPr>
        <w:ind w:left="780" w:right="60" w:hanging="326"/>
        <w:spacing w:after="0" w:line="268" w:lineRule="auto"/>
        <w:tabs>
          <w:tab w:leader="none" w:pos="780" w:val="left"/>
        </w:tabs>
        <w:numPr>
          <w:ilvl w:val="0"/>
          <w:numId w:val="2"/>
        </w:numPr>
        <w:rPr>
          <w:rFonts w:ascii="Arial" w:cs="Arial" w:eastAsia="Arial" w:hAnsi="Arial"/>
          <w:sz w:val="18"/>
          <w:szCs w:val="18"/>
          <w:color w:val="auto"/>
        </w:rPr>
      </w:pPr>
      <w:r>
        <w:rPr>
          <w:rFonts w:ascii="Arial" w:cs="Arial" w:eastAsia="Arial" w:hAnsi="Arial"/>
          <w:sz w:val="18"/>
          <w:szCs w:val="18"/>
          <w:i w:val="1"/>
          <w:iCs w:val="1"/>
          <w:color w:val="auto"/>
        </w:rPr>
        <w:t>Risks relating to our Mortgage Insurance segment</w:t>
      </w:r>
      <w:r>
        <w:rPr>
          <w:rFonts w:ascii="Arial" w:cs="Arial" w:eastAsia="Arial" w:hAnsi="Arial"/>
          <w:sz w:val="18"/>
          <w:szCs w:val="18"/>
          <w:color w:val="auto"/>
        </w:rPr>
        <w:t>, including the influence of Fannie Mae, Freddie Mac and a small number of large mortgage lenders</w:t>
      </w:r>
      <w:r>
        <w:rPr>
          <w:rFonts w:ascii="Arial" w:cs="Arial" w:eastAsia="Arial" w:hAnsi="Arial"/>
          <w:sz w:val="18"/>
          <w:szCs w:val="18"/>
          <w:i w:val="1"/>
          <w:iCs w:val="1"/>
          <w:color w:val="auto"/>
        </w:rPr>
        <w:t xml:space="preserve"> </w:t>
      </w:r>
      <w:r>
        <w:rPr>
          <w:rFonts w:ascii="Arial" w:cs="Arial" w:eastAsia="Arial" w:hAnsi="Arial"/>
          <w:sz w:val="18"/>
          <w:szCs w:val="18"/>
          <w:color w:val="auto"/>
        </w:rPr>
        <w:t>and investors, increased regulatory scrutiny of Fannie Mae and Freddie Mac resulting in possible regulatory</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80"/>
          </w:cols>
          <w:pgMar w:left="240" w:top="274" w:right="279" w:bottom="1440" w:gutter="0" w:footer="0" w:header="0"/>
        </w:sectPr>
      </w:pPr>
    </w:p>
    <w:bookmarkStart w:id="6" w:name="page7"/>
    <w:bookmarkEnd w:id="6"/>
    <w:p>
      <w:pPr>
        <w:ind w:left="920"/>
        <w:spacing w:after="0" w:line="289"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changes, decreases in the volume of high loan-to-value mortgage originations, increases in mortgage insurance cancellations, increases in the use of simultaneous second mortgages and other alternatives to private mortgage insurance and reductions by lenders in the level of coverage they select, unexpected increases in mortgage insurance default rates or severity of defaults, deterioration in economic conditions, insufficiency of premium rates to compensate us for risks associated with mortgage loans bearing high loan-to-value ratios, increases in the use of captive reinsurance in the mortgage insurance market, changes in the demand for mortgage insurance that could arise as a result of efforts of large mortgage investors, legal or regulatory actions or investigations under applicable laws and regulations, including the Real Estate Settlement Practices Act and the Federal Fair Credit Reporting Act, potential liabilities in connection with contract underwriting services and growth in the European mortgage insurance market that is lower than we expect; and</w:t>
      </w:r>
    </w:p>
    <w:p>
      <w:pPr>
        <w:spacing w:after="0" w:line="24" w:lineRule="exact"/>
        <w:rPr>
          <w:sz w:val="20"/>
          <w:szCs w:val="20"/>
          <w:color w:val="auto"/>
        </w:rPr>
      </w:pPr>
    </w:p>
    <w:p>
      <w:pPr>
        <w:ind w:left="780" w:hanging="326"/>
        <w:spacing w:after="0" w:line="290" w:lineRule="auto"/>
        <w:tabs>
          <w:tab w:leader="none" w:pos="780" w:val="left"/>
        </w:tabs>
        <w:numPr>
          <w:ilvl w:val="0"/>
          <w:numId w:val="3"/>
        </w:numPr>
        <w:rPr>
          <w:rFonts w:ascii="Arial" w:cs="Arial" w:eastAsia="Arial" w:hAnsi="Arial"/>
          <w:sz w:val="16"/>
          <w:szCs w:val="16"/>
          <w:color w:val="auto"/>
        </w:rPr>
      </w:pPr>
      <w:r>
        <w:rPr>
          <w:rFonts w:ascii="Arial" w:cs="Arial" w:eastAsia="Arial" w:hAnsi="Arial"/>
          <w:sz w:val="16"/>
          <w:szCs w:val="16"/>
          <w:i w:val="1"/>
          <w:iCs w:val="1"/>
          <w:color w:val="auto"/>
        </w:rPr>
        <w:t>Risks relating to our separation from GE</w:t>
      </w:r>
      <w:r>
        <w:rPr>
          <w:rFonts w:ascii="Arial" w:cs="Arial" w:eastAsia="Arial" w:hAnsi="Arial"/>
          <w:sz w:val="16"/>
          <w:szCs w:val="16"/>
          <w:color w:val="auto"/>
        </w:rPr>
        <w:t>, including the loss of benefits associated with GE’s brand and reputation, our need to establish our new</w:t>
      </w:r>
      <w:r>
        <w:rPr>
          <w:rFonts w:ascii="Arial" w:cs="Arial" w:eastAsia="Arial" w:hAnsi="Arial"/>
          <w:sz w:val="16"/>
          <w:szCs w:val="16"/>
          <w:i w:val="1"/>
          <w:iCs w:val="1"/>
          <w:color w:val="auto"/>
        </w:rPr>
        <w:t xml:space="preserve"> </w:t>
      </w:r>
      <w:r>
        <w:rPr>
          <w:rFonts w:ascii="Arial" w:cs="Arial" w:eastAsia="Arial" w:hAnsi="Arial"/>
          <w:sz w:val="16"/>
          <w:szCs w:val="16"/>
          <w:color w:val="auto"/>
        </w:rPr>
        <w:t>Genworth brand identity quickly and effectively, the lack of comparability between our financial information for periods before the IPO and for periods after the IPO, the possibility that we will not be able to replace services previously provided by GE on terms that are at least as favorable, the possibility that in certain circumstances we will be obligated to make payments to GE under our tax matters agreement even if our corresponding tax savings either are delayed or never materialize, the possibility that in the event of a change in control of our company we would have insufficient funds to meet accelerated obligations under the tax matters agreement, GE’s control over certain tax matters that could have an impact on us, potential conflicts of interest with GE and GE’s engaging in the same type of business as we do in the future.</w:t>
      </w:r>
    </w:p>
    <w:p>
      <w:pPr>
        <w:spacing w:after="0" w:line="105" w:lineRule="exact"/>
        <w:rPr>
          <w:sz w:val="20"/>
          <w:szCs w:val="20"/>
          <w:color w:val="auto"/>
        </w:rPr>
      </w:pPr>
    </w:p>
    <w:p>
      <w:pPr>
        <w:ind w:right="620"/>
        <w:spacing w:after="0" w:line="268" w:lineRule="auto"/>
        <w:rPr>
          <w:sz w:val="20"/>
          <w:szCs w:val="20"/>
          <w:color w:val="auto"/>
        </w:rPr>
      </w:pPr>
      <w:r>
        <w:rPr>
          <w:rFonts w:ascii="Arial" w:cs="Arial" w:eastAsia="Arial" w:hAnsi="Arial"/>
          <w:sz w:val="18"/>
          <w:szCs w:val="18"/>
          <w:color w:val="auto"/>
        </w:rPr>
        <w:t>The company undertakes no obligation to publicly update any forward-looking statement, whether as a result of new information, future developments or otherwise.</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Genworth Financial</w:t>
      </w:r>
    </w:p>
    <w:p>
      <w:pPr>
        <w:spacing w:after="0" w:line="83" w:lineRule="exact"/>
        <w:rPr>
          <w:sz w:val="20"/>
          <w:szCs w:val="20"/>
          <w:color w:val="auto"/>
        </w:rPr>
      </w:pPr>
    </w:p>
    <w:p>
      <w:pPr>
        <w:jc w:val="both"/>
        <w:ind w:right="260"/>
        <w:spacing w:after="0" w:line="259" w:lineRule="auto"/>
        <w:rPr>
          <w:sz w:val="20"/>
          <w:szCs w:val="20"/>
          <w:color w:val="auto"/>
        </w:rPr>
      </w:pPr>
      <w:r>
        <w:rPr>
          <w:rFonts w:ascii="Arial" w:cs="Arial" w:eastAsia="Arial" w:hAnsi="Arial"/>
          <w:sz w:val="18"/>
          <w:szCs w:val="18"/>
          <w:color w:val="auto"/>
        </w:rPr>
        <w:t xml:space="preserve">Genworth is a leading insurance holding company, serving the lifestyle protection, retirement income, investment and mortgage insurance needs of more than 15 million customers, and has operations in 24 countries, including the U.S., Canada, Australia, the U.K. and more than a dozen other European countries. For more information, visit </w:t>
      </w:r>
      <w:r>
        <w:rPr>
          <w:rFonts w:ascii="Arial" w:cs="Arial" w:eastAsia="Arial" w:hAnsi="Arial"/>
          <w:sz w:val="18"/>
          <w:szCs w:val="18"/>
          <w:u w:val="single" w:color="auto"/>
          <w:color w:val="auto"/>
        </w:rPr>
        <w:t>www.genworth.com</w:t>
      </w:r>
      <w:r>
        <w:rPr>
          <w:rFonts w:ascii="Arial" w:cs="Arial" w:eastAsia="Arial" w:hAnsi="Arial"/>
          <w:sz w:val="18"/>
          <w:szCs w:val="18"/>
          <w:color w:val="auto"/>
        </w:rPr>
        <w:t>.</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 #</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 Information:</w:t>
      </w:r>
    </w:p>
    <w:p>
      <w:pPr>
        <w:spacing w:after="0" w:line="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20" w:type="dxa"/>
            <w:vAlign w:val="bottom"/>
          </w:tcPr>
          <w:p>
            <w:pPr>
              <w:spacing w:after="0"/>
              <w:rPr>
                <w:sz w:val="20"/>
                <w:szCs w:val="20"/>
                <w:color w:val="auto"/>
              </w:rPr>
            </w:pPr>
            <w:r>
              <w:rPr>
                <w:rFonts w:ascii="Arial" w:cs="Arial" w:eastAsia="Arial" w:hAnsi="Arial"/>
                <w:sz w:val="18"/>
                <w:szCs w:val="18"/>
                <w:color w:val="auto"/>
              </w:rPr>
              <w:t>Investors:</w:t>
            </w:r>
          </w:p>
        </w:tc>
        <w:tc>
          <w:tcPr>
            <w:tcW w:w="2160" w:type="dxa"/>
            <w:vAlign w:val="bottom"/>
            <w:gridSpan w:val="3"/>
          </w:tcPr>
          <w:p>
            <w:pPr>
              <w:spacing w:after="0"/>
              <w:rPr>
                <w:sz w:val="20"/>
                <w:szCs w:val="20"/>
                <w:color w:val="auto"/>
              </w:rPr>
            </w:pPr>
            <w:r>
              <w:rPr>
                <w:rFonts w:ascii="Arial" w:cs="Arial" w:eastAsia="Arial" w:hAnsi="Arial"/>
                <w:sz w:val="18"/>
                <w:szCs w:val="18"/>
                <w:color w:val="auto"/>
                <w:w w:val="98"/>
              </w:rPr>
              <w:t>Jean Peters, 804.662.2693</w:t>
            </w:r>
          </w:p>
        </w:tc>
      </w:tr>
      <w:tr>
        <w:trPr>
          <w:trHeight w:val="184"/>
        </w:trPr>
        <w:tc>
          <w:tcPr>
            <w:tcW w:w="920" w:type="dxa"/>
            <w:vAlign w:val="bottom"/>
          </w:tcPr>
          <w:p>
            <w:pPr>
              <w:spacing w:after="0"/>
              <w:rPr>
                <w:sz w:val="15"/>
                <w:szCs w:val="15"/>
                <w:color w:val="auto"/>
              </w:rPr>
            </w:pPr>
          </w:p>
        </w:tc>
        <w:tc>
          <w:tcPr>
            <w:tcW w:w="1920" w:type="dxa"/>
            <w:vAlign w:val="bottom"/>
            <w:tcBorders>
              <w:bottom w:val="single" w:sz="8" w:color="auto"/>
            </w:tcBorders>
          </w:tcPr>
          <w:p>
            <w:pPr>
              <w:spacing w:after="0" w:line="184" w:lineRule="exact"/>
              <w:rPr>
                <w:sz w:val="20"/>
                <w:szCs w:val="20"/>
                <w:color w:val="auto"/>
              </w:rPr>
            </w:pPr>
            <w:r>
              <w:rPr>
                <w:rFonts w:ascii="Arial" w:cs="Arial" w:eastAsia="Arial" w:hAnsi="Arial"/>
                <w:sz w:val="18"/>
                <w:szCs w:val="18"/>
                <w:color w:val="auto"/>
                <w:w w:val="86"/>
              </w:rPr>
              <w:t>jean.peters@genworth.com</w:t>
            </w:r>
          </w:p>
        </w:tc>
        <w:tc>
          <w:tcPr>
            <w:tcW w:w="240" w:type="dxa"/>
            <w:vAlign w:val="bottom"/>
            <w:gridSpan w:val="2"/>
          </w:tcPr>
          <w:p>
            <w:pPr>
              <w:spacing w:after="0"/>
              <w:rPr>
                <w:sz w:val="15"/>
                <w:szCs w:val="15"/>
                <w:color w:val="auto"/>
              </w:rPr>
            </w:pPr>
          </w:p>
        </w:tc>
      </w:tr>
      <w:tr>
        <w:trPr>
          <w:trHeight w:val="336"/>
        </w:trPr>
        <w:tc>
          <w:tcPr>
            <w:tcW w:w="920" w:type="dxa"/>
            <w:vAlign w:val="bottom"/>
          </w:tcPr>
          <w:p>
            <w:pPr>
              <w:spacing w:after="0"/>
              <w:rPr>
                <w:sz w:val="24"/>
                <w:szCs w:val="24"/>
                <w:color w:val="auto"/>
              </w:rPr>
            </w:pPr>
          </w:p>
        </w:tc>
        <w:tc>
          <w:tcPr>
            <w:tcW w:w="2160" w:type="dxa"/>
            <w:vAlign w:val="bottom"/>
            <w:gridSpan w:val="3"/>
          </w:tcPr>
          <w:p>
            <w:pPr>
              <w:spacing w:after="0"/>
              <w:rPr>
                <w:sz w:val="20"/>
                <w:szCs w:val="20"/>
                <w:color w:val="auto"/>
              </w:rPr>
            </w:pPr>
            <w:r>
              <w:rPr>
                <w:rFonts w:ascii="Arial" w:cs="Arial" w:eastAsia="Arial" w:hAnsi="Arial"/>
                <w:sz w:val="18"/>
                <w:szCs w:val="18"/>
                <w:color w:val="auto"/>
                <w:w w:val="95"/>
              </w:rPr>
              <w:t>Alicia Charity, 804.662.2248</w:t>
            </w:r>
          </w:p>
        </w:tc>
      </w:tr>
      <w:tr>
        <w:trPr>
          <w:trHeight w:val="184"/>
        </w:trPr>
        <w:tc>
          <w:tcPr>
            <w:tcW w:w="920" w:type="dxa"/>
            <w:vAlign w:val="bottom"/>
          </w:tcPr>
          <w:p>
            <w:pPr>
              <w:spacing w:after="0"/>
              <w:rPr>
                <w:sz w:val="15"/>
                <w:szCs w:val="15"/>
                <w:color w:val="auto"/>
              </w:rPr>
            </w:pPr>
          </w:p>
        </w:tc>
        <w:tc>
          <w:tcPr>
            <w:tcW w:w="2080" w:type="dxa"/>
            <w:vAlign w:val="bottom"/>
            <w:tcBorders>
              <w:bottom w:val="single" w:sz="8" w:color="auto"/>
            </w:tcBorders>
            <w:gridSpan w:val="2"/>
          </w:tcPr>
          <w:p>
            <w:pPr>
              <w:spacing w:after="0" w:line="184" w:lineRule="exact"/>
              <w:rPr>
                <w:sz w:val="20"/>
                <w:szCs w:val="20"/>
                <w:color w:val="auto"/>
              </w:rPr>
            </w:pPr>
            <w:r>
              <w:rPr>
                <w:rFonts w:ascii="Arial" w:cs="Arial" w:eastAsia="Arial" w:hAnsi="Arial"/>
                <w:sz w:val="18"/>
                <w:szCs w:val="18"/>
                <w:color w:val="auto"/>
                <w:w w:val="89"/>
              </w:rPr>
              <w:t>alicia.charity@genworth.com</w:t>
            </w:r>
          </w:p>
        </w:tc>
        <w:tc>
          <w:tcPr>
            <w:tcW w:w="80" w:type="dxa"/>
            <w:vAlign w:val="bottom"/>
          </w:tcPr>
          <w:p>
            <w:pPr>
              <w:spacing w:after="0"/>
              <w:rPr>
                <w:sz w:val="15"/>
                <w:szCs w:val="15"/>
                <w:color w:val="auto"/>
              </w:rPr>
            </w:pPr>
          </w:p>
        </w:tc>
      </w:tr>
      <w:tr>
        <w:trPr>
          <w:trHeight w:val="336"/>
        </w:trPr>
        <w:tc>
          <w:tcPr>
            <w:tcW w:w="920" w:type="dxa"/>
            <w:vAlign w:val="bottom"/>
          </w:tcPr>
          <w:p>
            <w:pPr>
              <w:spacing w:after="0"/>
              <w:rPr>
                <w:sz w:val="20"/>
                <w:szCs w:val="20"/>
                <w:color w:val="auto"/>
              </w:rPr>
            </w:pPr>
            <w:r>
              <w:rPr>
                <w:rFonts w:ascii="Arial" w:cs="Arial" w:eastAsia="Arial" w:hAnsi="Arial"/>
                <w:sz w:val="18"/>
                <w:szCs w:val="18"/>
                <w:color w:val="auto"/>
              </w:rPr>
              <w:t>Media:</w:t>
            </w:r>
          </w:p>
        </w:tc>
        <w:tc>
          <w:tcPr>
            <w:tcW w:w="2160" w:type="dxa"/>
            <w:vAlign w:val="bottom"/>
            <w:gridSpan w:val="3"/>
          </w:tcPr>
          <w:p>
            <w:pPr>
              <w:spacing w:after="0"/>
              <w:rPr>
                <w:sz w:val="20"/>
                <w:szCs w:val="20"/>
                <w:color w:val="auto"/>
              </w:rPr>
            </w:pPr>
            <w:r>
              <w:rPr>
                <w:rFonts w:ascii="Arial" w:cs="Arial" w:eastAsia="Arial" w:hAnsi="Arial"/>
                <w:sz w:val="18"/>
                <w:szCs w:val="18"/>
                <w:color w:val="auto"/>
                <w:w w:val="99"/>
              </w:rPr>
              <w:t>Phil Moeller, 804.662.2534</w:t>
            </w:r>
          </w:p>
        </w:tc>
      </w:tr>
      <w:tr>
        <w:trPr>
          <w:trHeight w:val="184"/>
        </w:trPr>
        <w:tc>
          <w:tcPr>
            <w:tcW w:w="920" w:type="dxa"/>
            <w:vAlign w:val="bottom"/>
          </w:tcPr>
          <w:p>
            <w:pPr>
              <w:spacing w:after="0"/>
              <w:rPr>
                <w:sz w:val="15"/>
                <w:szCs w:val="15"/>
                <w:color w:val="auto"/>
              </w:rPr>
            </w:pPr>
          </w:p>
        </w:tc>
        <w:tc>
          <w:tcPr>
            <w:tcW w:w="2160" w:type="dxa"/>
            <w:vAlign w:val="bottom"/>
            <w:tcBorders>
              <w:bottom w:val="single" w:sz="8" w:color="auto"/>
            </w:tcBorders>
            <w:gridSpan w:val="3"/>
          </w:tcPr>
          <w:p>
            <w:pPr>
              <w:spacing w:after="0" w:line="184" w:lineRule="exact"/>
              <w:rPr>
                <w:sz w:val="20"/>
                <w:szCs w:val="20"/>
                <w:color w:val="auto"/>
              </w:rPr>
            </w:pPr>
            <w:r>
              <w:rPr>
                <w:rFonts w:ascii="Arial" w:cs="Arial" w:eastAsia="Arial" w:hAnsi="Arial"/>
                <w:sz w:val="18"/>
                <w:szCs w:val="18"/>
                <w:color w:val="auto"/>
                <w:w w:val="90"/>
              </w:rPr>
              <w:t>philip.moeller@genworth.com</w:t>
            </w:r>
          </w:p>
        </w:tc>
      </w:tr>
    </w:tbl>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00"/>
          </w:cols>
          <w:pgMar w:left="240" w:top="280" w:right="259" w:bottom="1440" w:gutter="0" w:footer="0" w:header="0"/>
        </w:sectPr>
      </w:pPr>
    </w:p>
    <w:bookmarkStart w:id="7" w:name="page8"/>
    <w:bookmarkEnd w:id="7"/>
    <w:p>
      <w:pPr>
        <w:jc w:val="center"/>
        <w:spacing w:after="0" w:line="270"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7940"/>
                    </a:xfrm>
                    <a:prstGeom prst="rect">
                      <a:avLst/>
                    </a:prstGeom>
                    <a:noFill/>
                  </pic:spPr>
                </pic:pic>
              </a:graphicData>
            </a:graphic>
          </wp:anchor>
        </w:drawing>
        <w:t>RECONCILIATION OF NET EARNINGS TO NET OPERATING EARNINGS (Amounts in millions, except per share data) (Unaudited)</w:t>
      </w:r>
    </w:p>
    <w:p>
      <w:pPr>
        <w:spacing w:after="0" w:line="333" w:lineRule="exact"/>
        <w:rPr>
          <w:sz w:val="20"/>
          <w:szCs w:val="20"/>
          <w:color w:val="auto"/>
        </w:rPr>
      </w:pPr>
    </w:p>
    <w:p>
      <w:pPr>
        <w:jc w:val="center"/>
        <w:ind w:left="8620"/>
        <w:spacing w:after="0"/>
        <w:rPr>
          <w:sz w:val="20"/>
          <w:szCs w:val="20"/>
          <w:color w:val="auto"/>
        </w:rPr>
      </w:pPr>
      <w:r>
        <w:rPr>
          <w:rFonts w:ascii="Arial" w:cs="Arial" w:eastAsia="Arial" w:hAnsi="Arial"/>
          <w:sz w:val="14"/>
          <w:szCs w:val="14"/>
          <w:b w:val="1"/>
          <w:bCs w:val="1"/>
          <w:color w:val="auto"/>
        </w:rPr>
        <w:t>Three months</w:t>
      </w:r>
    </w:p>
    <w:p>
      <w:pPr>
        <w:spacing w:after="0" w:line="1" w:lineRule="exact"/>
        <w:rPr>
          <w:sz w:val="20"/>
          <w:szCs w:val="20"/>
          <w:color w:val="auto"/>
        </w:rPr>
      </w:pPr>
    </w:p>
    <w:p>
      <w:pPr>
        <w:jc w:val="center"/>
        <w:ind w:left="8620"/>
        <w:spacing w:after="0"/>
        <w:rPr>
          <w:sz w:val="20"/>
          <w:szCs w:val="20"/>
          <w:color w:val="auto"/>
        </w:rPr>
      </w:pPr>
      <w:r>
        <w:rPr>
          <w:rFonts w:ascii="Arial" w:cs="Arial" w:eastAsia="Arial" w:hAnsi="Arial"/>
          <w:sz w:val="14"/>
          <w:szCs w:val="14"/>
          <w:b w:val="1"/>
          <w:bCs w:val="1"/>
          <w:color w:val="auto"/>
        </w:rPr>
        <w:t>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5511165</wp:posOffset>
            </wp:positionH>
            <wp:positionV relativeFrom="paragraph">
              <wp:posOffset>60325</wp:posOffset>
            </wp:positionV>
            <wp:extent cx="96901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969010" cy="8890"/>
                    </a:xfrm>
                    <a:prstGeom prst="rect">
                      <a:avLst/>
                    </a:prstGeom>
                    <a:noFill/>
                  </pic:spPr>
                </pic:pic>
              </a:graphicData>
            </a:graphic>
          </wp:anchor>
        </w:drawing>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4340" w:type="dxa"/>
            <w:vAlign w:val="bottom"/>
          </w:tcPr>
          <w:p>
            <w:pPr>
              <w:spacing w:after="0"/>
              <w:rPr>
                <w:sz w:val="15"/>
                <w:szCs w:val="15"/>
                <w:color w:val="auto"/>
              </w:rPr>
            </w:pPr>
          </w:p>
        </w:tc>
        <w:tc>
          <w:tcPr>
            <w:tcW w:w="4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tcPr>
          <w:p>
            <w:pPr>
              <w:jc w:val="right"/>
              <w:ind w:right="34"/>
              <w:spacing w:after="0"/>
              <w:rPr>
                <w:sz w:val="20"/>
                <w:szCs w:val="20"/>
                <w:color w:val="auto"/>
              </w:rPr>
            </w:pPr>
            <w:r>
              <w:rPr>
                <w:rFonts w:ascii="Arial" w:cs="Arial" w:eastAsia="Arial" w:hAnsi="Arial"/>
                <w:sz w:val="14"/>
                <w:szCs w:val="14"/>
                <w:b w:val="1"/>
                <w:bCs w:val="1"/>
                <w:color w:val="auto"/>
                <w:w w:val="89"/>
              </w:rPr>
              <w:t>2005</w:t>
            </w:r>
          </w:p>
        </w:tc>
        <w:tc>
          <w:tcPr>
            <w:tcW w:w="2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40" w:type="dxa"/>
            <w:vAlign w:val="bottom"/>
          </w:tcPr>
          <w:p>
            <w:pPr>
              <w:jc w:val="right"/>
              <w:ind w:right="54"/>
              <w:spacing w:after="0"/>
              <w:rPr>
                <w:sz w:val="20"/>
                <w:szCs w:val="20"/>
                <w:color w:val="auto"/>
              </w:rPr>
            </w:pPr>
            <w:r>
              <w:rPr>
                <w:rFonts w:ascii="Arial" w:cs="Arial" w:eastAsia="Arial" w:hAnsi="Arial"/>
                <w:sz w:val="14"/>
                <w:szCs w:val="14"/>
                <w:b w:val="1"/>
                <w:bCs w:val="1"/>
                <w:color w:val="auto"/>
                <w:w w:val="89"/>
              </w:rPr>
              <w:t>2004</w:t>
            </w: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4340" w:type="dxa"/>
            <w:vAlign w:val="bottom"/>
          </w:tcPr>
          <w:p>
            <w:pPr>
              <w:spacing w:after="0"/>
              <w:rPr>
                <w:sz w:val="8"/>
                <w:szCs w:val="8"/>
                <w:color w:val="auto"/>
              </w:rPr>
            </w:pPr>
          </w:p>
        </w:tc>
        <w:tc>
          <w:tcPr>
            <w:tcW w:w="4320" w:type="dxa"/>
            <w:vAlign w:val="bottom"/>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2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4340" w:type="dxa"/>
            <w:vAlign w:val="bottom"/>
          </w:tcPr>
          <w:p>
            <w:pPr>
              <w:spacing w:after="0"/>
              <w:rPr>
                <w:sz w:val="8"/>
                <w:szCs w:val="8"/>
                <w:color w:val="auto"/>
              </w:rPr>
            </w:pPr>
          </w:p>
        </w:tc>
        <w:tc>
          <w:tcPr>
            <w:tcW w:w="43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20" w:type="dxa"/>
            <w:vAlign w:val="bottom"/>
          </w:tcPr>
          <w:p>
            <w:pPr>
              <w:spacing w:after="0"/>
              <w:rPr>
                <w:sz w:val="8"/>
                <w:szCs w:val="8"/>
                <w:color w:val="auto"/>
              </w:rPr>
            </w:pPr>
          </w:p>
        </w:tc>
        <w:tc>
          <w:tcPr>
            <w:tcW w:w="2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earnings</w:t>
            </w:r>
          </w:p>
        </w:tc>
        <w:tc>
          <w:tcPr>
            <w:tcW w:w="4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307</w:t>
            </w:r>
          </w:p>
        </w:tc>
        <w:tc>
          <w:tcPr>
            <w:tcW w:w="26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tcPr>
          <w:p>
            <w:pPr>
              <w:spacing w:after="0"/>
              <w:rPr>
                <w:sz w:val="20"/>
                <w:szCs w:val="20"/>
                <w:color w:val="auto"/>
              </w:rPr>
            </w:pPr>
            <w:r>
              <w:rPr>
                <w:rFonts w:ascii="Arial" w:cs="Arial" w:eastAsia="Arial" w:hAnsi="Arial"/>
                <w:sz w:val="18"/>
                <w:szCs w:val="18"/>
                <w:color w:val="auto"/>
              </w:rPr>
              <w:t>Net realized investment losses (gains), net of taxes</w:t>
            </w:r>
          </w:p>
        </w:tc>
        <w:tc>
          <w:tcPr>
            <w:tcW w:w="4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(7)</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color w:val="auto"/>
              </w:rPr>
              <w:t>Net tax benefit related to initial public offering</w:t>
            </w:r>
          </w:p>
        </w:tc>
        <w:tc>
          <w:tcPr>
            <w:tcW w:w="4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(68)</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340" w:type="dxa"/>
            <w:vAlign w:val="bottom"/>
          </w:tcPr>
          <w:p>
            <w:pPr>
              <w:spacing w:after="0"/>
              <w:rPr>
                <w:sz w:val="20"/>
                <w:szCs w:val="20"/>
                <w:color w:val="auto"/>
              </w:rPr>
            </w:pPr>
            <w:r>
              <w:rPr>
                <w:rFonts w:ascii="Arial" w:cs="Arial" w:eastAsia="Arial" w:hAnsi="Arial"/>
                <w:sz w:val="18"/>
                <w:szCs w:val="18"/>
                <w:color w:val="auto"/>
              </w:rPr>
              <w:t>Gain on outsourcing service agreement, net of taxes</w:t>
            </w:r>
          </w:p>
        </w:tc>
        <w:tc>
          <w:tcPr>
            <w:tcW w:w="4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4340" w:type="dxa"/>
            <w:vAlign w:val="bottom"/>
          </w:tcPr>
          <w:p>
            <w:pPr>
              <w:spacing w:after="0"/>
              <w:rPr>
                <w:sz w:val="8"/>
                <w:szCs w:val="8"/>
                <w:color w:val="auto"/>
              </w:rPr>
            </w:pPr>
          </w:p>
        </w:tc>
        <w:tc>
          <w:tcPr>
            <w:tcW w:w="4320" w:type="dxa"/>
            <w:vAlign w:val="bottom"/>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2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4340" w:type="dxa"/>
            <w:vAlign w:val="bottom"/>
          </w:tcPr>
          <w:p>
            <w:pPr>
              <w:spacing w:after="0"/>
              <w:rPr>
                <w:sz w:val="8"/>
                <w:szCs w:val="8"/>
                <w:color w:val="auto"/>
              </w:rPr>
            </w:pPr>
          </w:p>
        </w:tc>
        <w:tc>
          <w:tcPr>
            <w:tcW w:w="43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20" w:type="dxa"/>
            <w:vAlign w:val="bottom"/>
          </w:tcPr>
          <w:p>
            <w:pPr>
              <w:spacing w:after="0"/>
              <w:rPr>
                <w:sz w:val="8"/>
                <w:szCs w:val="8"/>
                <w:color w:val="auto"/>
              </w:rPr>
            </w:pPr>
          </w:p>
        </w:tc>
        <w:tc>
          <w:tcPr>
            <w:tcW w:w="2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operating earnings</w:t>
            </w:r>
          </w:p>
        </w:tc>
        <w:tc>
          <w:tcPr>
            <w:tcW w:w="4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w:t>
            </w:r>
          </w:p>
        </w:tc>
        <w:tc>
          <w:tcPr>
            <w:tcW w:w="26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4340" w:type="dxa"/>
            <w:vAlign w:val="bottom"/>
          </w:tcPr>
          <w:p>
            <w:pPr>
              <w:spacing w:after="0"/>
              <w:rPr>
                <w:sz w:val="11"/>
                <w:szCs w:val="11"/>
                <w:color w:val="auto"/>
              </w:rPr>
            </w:pPr>
          </w:p>
        </w:tc>
        <w:tc>
          <w:tcPr>
            <w:tcW w:w="432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340" w:type="dxa"/>
            <w:vAlign w:val="bottom"/>
          </w:tcPr>
          <w:p>
            <w:pPr>
              <w:spacing w:after="0"/>
              <w:rPr>
                <w:sz w:val="9"/>
                <w:szCs w:val="9"/>
                <w:color w:val="auto"/>
              </w:rPr>
            </w:pPr>
          </w:p>
        </w:tc>
        <w:tc>
          <w:tcPr>
            <w:tcW w:w="4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20" w:type="dxa"/>
            <w:vAlign w:val="bottom"/>
          </w:tcPr>
          <w:p>
            <w:pPr>
              <w:spacing w:after="0"/>
              <w:rPr>
                <w:sz w:val="9"/>
                <w:szCs w:val="9"/>
                <w:color w:val="auto"/>
              </w:rPr>
            </w:pPr>
          </w:p>
        </w:tc>
        <w:tc>
          <w:tcPr>
            <w:tcW w:w="2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earnings per common share:</w:t>
            </w:r>
          </w:p>
        </w:tc>
        <w:tc>
          <w:tcPr>
            <w:tcW w:w="4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340" w:type="dxa"/>
            <w:vAlign w:val="bottom"/>
          </w:tcPr>
          <w:p>
            <w:pPr>
              <w:ind w:left="420"/>
              <w:spacing w:after="0"/>
              <w:rPr>
                <w:sz w:val="20"/>
                <w:szCs w:val="20"/>
                <w:color w:val="auto"/>
              </w:rPr>
            </w:pPr>
            <w:r>
              <w:rPr>
                <w:rFonts w:ascii="Arial" w:cs="Arial" w:eastAsia="Arial" w:hAnsi="Arial"/>
                <w:sz w:val="18"/>
                <w:szCs w:val="18"/>
                <w:color w:val="auto"/>
              </w:rPr>
              <w:t>Basic</w:t>
            </w:r>
          </w:p>
        </w:tc>
        <w:tc>
          <w:tcPr>
            <w:tcW w:w="4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0.65</w:t>
            </w:r>
          </w:p>
        </w:tc>
        <w:tc>
          <w:tcPr>
            <w:tcW w:w="260" w:type="dxa"/>
            <w:vAlign w:val="bottom"/>
          </w:tcPr>
          <w:p>
            <w:pPr>
              <w:spacing w:after="0"/>
              <w:rPr>
                <w:sz w:val="19"/>
                <w:szCs w:val="19"/>
                <w:color w:val="auto"/>
              </w:rPr>
            </w:pP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0.71</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4340" w:type="dxa"/>
            <w:vAlign w:val="bottom"/>
          </w:tcPr>
          <w:p>
            <w:pPr>
              <w:spacing w:after="0"/>
              <w:rPr>
                <w:sz w:val="10"/>
                <w:szCs w:val="10"/>
                <w:color w:val="auto"/>
              </w:rPr>
            </w:pPr>
          </w:p>
        </w:tc>
        <w:tc>
          <w:tcPr>
            <w:tcW w:w="4320" w:type="dxa"/>
            <w:vAlign w:val="bottom"/>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2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340" w:type="dxa"/>
            <w:vAlign w:val="bottom"/>
          </w:tcPr>
          <w:p>
            <w:pPr>
              <w:spacing w:after="0"/>
              <w:rPr>
                <w:sz w:val="9"/>
                <w:szCs w:val="9"/>
                <w:color w:val="auto"/>
              </w:rPr>
            </w:pPr>
          </w:p>
        </w:tc>
        <w:tc>
          <w:tcPr>
            <w:tcW w:w="4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20" w:type="dxa"/>
            <w:vAlign w:val="bottom"/>
          </w:tcPr>
          <w:p>
            <w:pPr>
              <w:spacing w:after="0"/>
              <w:rPr>
                <w:sz w:val="9"/>
                <w:szCs w:val="9"/>
                <w:color w:val="auto"/>
              </w:rPr>
            </w:pPr>
          </w:p>
        </w:tc>
        <w:tc>
          <w:tcPr>
            <w:tcW w:w="2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Diluted</w:t>
            </w:r>
          </w:p>
        </w:tc>
        <w:tc>
          <w:tcPr>
            <w:tcW w:w="4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0.64</w:t>
            </w:r>
          </w:p>
        </w:tc>
        <w:tc>
          <w:tcPr>
            <w:tcW w:w="26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0.70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4340" w:type="dxa"/>
            <w:vAlign w:val="bottom"/>
          </w:tcPr>
          <w:p>
            <w:pPr>
              <w:spacing w:after="0"/>
              <w:rPr>
                <w:sz w:val="11"/>
                <w:szCs w:val="11"/>
                <w:color w:val="auto"/>
              </w:rPr>
            </w:pPr>
          </w:p>
        </w:tc>
        <w:tc>
          <w:tcPr>
            <w:tcW w:w="432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340" w:type="dxa"/>
            <w:vAlign w:val="bottom"/>
          </w:tcPr>
          <w:p>
            <w:pPr>
              <w:spacing w:after="0"/>
              <w:rPr>
                <w:sz w:val="9"/>
                <w:szCs w:val="9"/>
                <w:color w:val="auto"/>
              </w:rPr>
            </w:pPr>
          </w:p>
        </w:tc>
        <w:tc>
          <w:tcPr>
            <w:tcW w:w="4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20" w:type="dxa"/>
            <w:vAlign w:val="bottom"/>
          </w:tcPr>
          <w:p>
            <w:pPr>
              <w:spacing w:after="0"/>
              <w:rPr>
                <w:sz w:val="9"/>
                <w:szCs w:val="9"/>
                <w:color w:val="auto"/>
              </w:rPr>
            </w:pPr>
          </w:p>
        </w:tc>
        <w:tc>
          <w:tcPr>
            <w:tcW w:w="2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operating earnings per common share:</w:t>
            </w:r>
          </w:p>
        </w:tc>
        <w:tc>
          <w:tcPr>
            <w:tcW w:w="4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340" w:type="dxa"/>
            <w:vAlign w:val="bottom"/>
          </w:tcPr>
          <w:p>
            <w:pPr>
              <w:ind w:left="420"/>
              <w:spacing w:after="0"/>
              <w:rPr>
                <w:sz w:val="20"/>
                <w:szCs w:val="20"/>
                <w:color w:val="auto"/>
              </w:rPr>
            </w:pPr>
            <w:r>
              <w:rPr>
                <w:rFonts w:ascii="Arial" w:cs="Arial" w:eastAsia="Arial" w:hAnsi="Arial"/>
                <w:sz w:val="18"/>
                <w:szCs w:val="18"/>
                <w:color w:val="auto"/>
              </w:rPr>
              <w:t>Basic</w:t>
            </w:r>
          </w:p>
        </w:tc>
        <w:tc>
          <w:tcPr>
            <w:tcW w:w="4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0.64</w:t>
            </w:r>
          </w:p>
        </w:tc>
        <w:tc>
          <w:tcPr>
            <w:tcW w:w="260" w:type="dxa"/>
            <w:vAlign w:val="bottom"/>
          </w:tcPr>
          <w:p>
            <w:pPr>
              <w:spacing w:after="0"/>
              <w:rPr>
                <w:sz w:val="19"/>
                <w:szCs w:val="19"/>
                <w:color w:val="auto"/>
              </w:rPr>
            </w:pP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0.52</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4340" w:type="dxa"/>
            <w:vAlign w:val="bottom"/>
          </w:tcPr>
          <w:p>
            <w:pPr>
              <w:spacing w:after="0"/>
              <w:rPr>
                <w:sz w:val="10"/>
                <w:szCs w:val="10"/>
                <w:color w:val="auto"/>
              </w:rPr>
            </w:pPr>
          </w:p>
        </w:tc>
        <w:tc>
          <w:tcPr>
            <w:tcW w:w="4320" w:type="dxa"/>
            <w:vAlign w:val="bottom"/>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2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340" w:type="dxa"/>
            <w:vAlign w:val="bottom"/>
          </w:tcPr>
          <w:p>
            <w:pPr>
              <w:spacing w:after="0"/>
              <w:rPr>
                <w:sz w:val="9"/>
                <w:szCs w:val="9"/>
                <w:color w:val="auto"/>
              </w:rPr>
            </w:pPr>
          </w:p>
        </w:tc>
        <w:tc>
          <w:tcPr>
            <w:tcW w:w="4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20" w:type="dxa"/>
            <w:vAlign w:val="bottom"/>
          </w:tcPr>
          <w:p>
            <w:pPr>
              <w:spacing w:after="0"/>
              <w:rPr>
                <w:sz w:val="9"/>
                <w:szCs w:val="9"/>
                <w:color w:val="auto"/>
              </w:rPr>
            </w:pPr>
          </w:p>
        </w:tc>
        <w:tc>
          <w:tcPr>
            <w:tcW w:w="2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Diluted</w:t>
            </w:r>
          </w:p>
        </w:tc>
        <w:tc>
          <w:tcPr>
            <w:tcW w:w="4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0.62</w:t>
            </w:r>
          </w:p>
        </w:tc>
        <w:tc>
          <w:tcPr>
            <w:tcW w:w="26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4340" w:type="dxa"/>
            <w:vAlign w:val="bottom"/>
          </w:tcPr>
          <w:p>
            <w:pPr>
              <w:spacing w:after="0"/>
              <w:rPr>
                <w:sz w:val="11"/>
                <w:szCs w:val="11"/>
                <w:color w:val="auto"/>
              </w:rPr>
            </w:pPr>
          </w:p>
        </w:tc>
        <w:tc>
          <w:tcPr>
            <w:tcW w:w="432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340" w:type="dxa"/>
            <w:vAlign w:val="bottom"/>
          </w:tcPr>
          <w:p>
            <w:pPr>
              <w:spacing w:after="0"/>
              <w:rPr>
                <w:sz w:val="9"/>
                <w:szCs w:val="9"/>
                <w:color w:val="auto"/>
              </w:rPr>
            </w:pPr>
          </w:p>
        </w:tc>
        <w:tc>
          <w:tcPr>
            <w:tcW w:w="4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20" w:type="dxa"/>
            <w:vAlign w:val="bottom"/>
          </w:tcPr>
          <w:p>
            <w:pPr>
              <w:spacing w:after="0"/>
              <w:rPr>
                <w:sz w:val="9"/>
                <w:szCs w:val="9"/>
                <w:color w:val="auto"/>
              </w:rPr>
            </w:pPr>
          </w:p>
        </w:tc>
        <w:tc>
          <w:tcPr>
            <w:tcW w:w="2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Weighted-average common shares outstanding:</w:t>
            </w:r>
          </w:p>
        </w:tc>
        <w:tc>
          <w:tcPr>
            <w:tcW w:w="4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340" w:type="dxa"/>
            <w:vAlign w:val="bottom"/>
          </w:tcPr>
          <w:p>
            <w:pPr>
              <w:ind w:left="420"/>
              <w:spacing w:after="0"/>
              <w:rPr>
                <w:sz w:val="20"/>
                <w:szCs w:val="20"/>
                <w:color w:val="auto"/>
              </w:rPr>
            </w:pPr>
            <w:r>
              <w:rPr>
                <w:rFonts w:ascii="Arial" w:cs="Arial" w:eastAsia="Arial" w:hAnsi="Arial"/>
                <w:sz w:val="18"/>
                <w:szCs w:val="18"/>
                <w:color w:val="auto"/>
              </w:rPr>
              <w:t>Basic</w:t>
            </w:r>
          </w:p>
        </w:tc>
        <w:tc>
          <w:tcPr>
            <w:tcW w:w="4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470.9</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489.6</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4340" w:type="dxa"/>
            <w:vAlign w:val="bottom"/>
          </w:tcPr>
          <w:p>
            <w:pPr>
              <w:spacing w:after="0"/>
              <w:rPr>
                <w:sz w:val="10"/>
                <w:szCs w:val="10"/>
                <w:color w:val="auto"/>
              </w:rPr>
            </w:pPr>
          </w:p>
        </w:tc>
        <w:tc>
          <w:tcPr>
            <w:tcW w:w="4320" w:type="dxa"/>
            <w:vAlign w:val="bottom"/>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2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4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340" w:type="dxa"/>
            <w:vAlign w:val="bottom"/>
          </w:tcPr>
          <w:p>
            <w:pPr>
              <w:spacing w:after="0"/>
              <w:rPr>
                <w:sz w:val="9"/>
                <w:szCs w:val="9"/>
                <w:color w:val="auto"/>
              </w:rPr>
            </w:pPr>
          </w:p>
        </w:tc>
        <w:tc>
          <w:tcPr>
            <w:tcW w:w="4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20" w:type="dxa"/>
            <w:vAlign w:val="bottom"/>
          </w:tcPr>
          <w:p>
            <w:pPr>
              <w:spacing w:after="0"/>
              <w:rPr>
                <w:sz w:val="9"/>
                <w:szCs w:val="9"/>
                <w:color w:val="auto"/>
              </w:rPr>
            </w:pPr>
          </w:p>
        </w:tc>
        <w:tc>
          <w:tcPr>
            <w:tcW w:w="2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Diluted</w:t>
            </w:r>
          </w:p>
        </w:tc>
        <w:tc>
          <w:tcPr>
            <w:tcW w:w="4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482.6</w:t>
            </w: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492.4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4340" w:type="dxa"/>
            <w:vAlign w:val="bottom"/>
          </w:tcPr>
          <w:p>
            <w:pPr>
              <w:spacing w:after="0"/>
              <w:rPr>
                <w:sz w:val="11"/>
                <w:szCs w:val="11"/>
                <w:color w:val="auto"/>
              </w:rPr>
            </w:pPr>
          </w:p>
        </w:tc>
        <w:tc>
          <w:tcPr>
            <w:tcW w:w="4320" w:type="dxa"/>
            <w:vAlign w:val="bottom"/>
            <w:vMerge w:val="restart"/>
          </w:tcPr>
          <w:p>
            <w:pPr>
              <w:jc w:val="right"/>
              <w:ind w:right="3412"/>
              <w:spacing w:after="0"/>
              <w:rPr>
                <w:sz w:val="20"/>
                <w:szCs w:val="20"/>
                <w:color w:val="auto"/>
              </w:rPr>
            </w:pPr>
            <w:r>
              <w:rPr>
                <w:rFonts w:ascii="Arial" w:cs="Arial" w:eastAsia="Arial" w:hAnsi="Arial"/>
                <w:sz w:val="18"/>
                <w:szCs w:val="18"/>
                <w:color w:val="auto"/>
              </w:rPr>
              <w:t>4</w:t>
            </w:r>
          </w:p>
        </w:tc>
        <w:tc>
          <w:tcPr>
            <w:tcW w:w="10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467"/>
        </w:trPr>
        <w:tc>
          <w:tcPr>
            <w:tcW w:w="20" w:type="dxa"/>
            <w:vAlign w:val="bottom"/>
          </w:tcPr>
          <w:p>
            <w:pPr>
              <w:spacing w:after="0"/>
              <w:rPr>
                <w:sz w:val="24"/>
                <w:szCs w:val="24"/>
                <w:color w:val="auto"/>
              </w:rPr>
            </w:pPr>
          </w:p>
        </w:tc>
        <w:tc>
          <w:tcPr>
            <w:tcW w:w="4340" w:type="dxa"/>
            <w:vAlign w:val="bottom"/>
          </w:tcPr>
          <w:p>
            <w:pPr>
              <w:spacing w:after="0"/>
              <w:rPr>
                <w:sz w:val="24"/>
                <w:szCs w:val="24"/>
                <w:color w:val="auto"/>
              </w:rPr>
            </w:pPr>
          </w:p>
        </w:tc>
        <w:tc>
          <w:tcPr>
            <w:tcW w:w="432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5509260</wp:posOffset>
            </wp:positionH>
            <wp:positionV relativeFrom="paragraph">
              <wp:posOffset>-2538730</wp:posOffset>
            </wp:positionV>
            <wp:extent cx="12700" cy="298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5560695</wp:posOffset>
            </wp:positionH>
            <wp:positionV relativeFrom="paragraph">
              <wp:posOffset>-2538730</wp:posOffset>
            </wp:positionV>
            <wp:extent cx="21590"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21590" cy="29845"/>
                    </a:xfrm>
                    <a:prstGeom prst="rect">
                      <a:avLst/>
                    </a:prstGeom>
                    <a:noFill/>
                  </pic:spPr>
                </pic:pic>
              </a:graphicData>
            </a:graphic>
          </wp:anchor>
        </w:drawing>
        <w:drawing>
          <wp:anchor simplePos="0" relativeHeight="251657728" behindDoc="1" locked="0" layoutInCell="0" allowOverlap="1">
            <wp:simplePos x="0" y="0"/>
            <wp:positionH relativeFrom="column">
              <wp:posOffset>5835015</wp:posOffset>
            </wp:positionH>
            <wp:positionV relativeFrom="paragraph">
              <wp:posOffset>-2538730</wp:posOffset>
            </wp:positionV>
            <wp:extent cx="3873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8735" cy="29845"/>
                    </a:xfrm>
                    <a:prstGeom prst="rect">
                      <a:avLst/>
                    </a:prstGeom>
                    <a:noFill/>
                  </pic:spPr>
                </pic:pic>
              </a:graphicData>
            </a:graphic>
          </wp:anchor>
        </w:drawing>
        <w:drawing>
          <wp:anchor simplePos="0" relativeHeight="251657728" behindDoc="1" locked="0" layoutInCell="0" allowOverlap="1">
            <wp:simplePos x="0" y="0"/>
            <wp:positionH relativeFrom="column">
              <wp:posOffset>6135370</wp:posOffset>
            </wp:positionH>
            <wp:positionV relativeFrom="paragraph">
              <wp:posOffset>-2538730</wp:posOffset>
            </wp:positionV>
            <wp:extent cx="12700"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6186805</wp:posOffset>
            </wp:positionH>
            <wp:positionV relativeFrom="paragraph">
              <wp:posOffset>-2538730</wp:posOffset>
            </wp:positionV>
            <wp:extent cx="21590"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21590" cy="29845"/>
                    </a:xfrm>
                    <a:prstGeom prst="rect">
                      <a:avLst/>
                    </a:prstGeom>
                    <a:noFill/>
                  </pic:spPr>
                </pic:pic>
              </a:graphicData>
            </a:graphic>
          </wp:anchor>
        </w:drawing>
        <w:drawing>
          <wp:anchor simplePos="0" relativeHeight="251657728" behindDoc="1" locked="0" layoutInCell="0" allowOverlap="1">
            <wp:simplePos x="0" y="0"/>
            <wp:positionH relativeFrom="column">
              <wp:posOffset>6469380</wp:posOffset>
            </wp:positionH>
            <wp:positionV relativeFrom="paragraph">
              <wp:posOffset>-2538730</wp:posOffset>
            </wp:positionV>
            <wp:extent cx="38735"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8735" cy="29845"/>
                    </a:xfrm>
                    <a:prstGeom prst="rect">
                      <a:avLst/>
                    </a:prstGeom>
                    <a:noFill/>
                  </pic:spPr>
                </pic:pic>
              </a:graphicData>
            </a:graphic>
          </wp:anchor>
        </w:drawing>
        <w:drawing>
          <wp:anchor simplePos="0" relativeHeight="251657728" behindDoc="1" locked="0" layoutInCell="0" allowOverlap="1">
            <wp:simplePos x="0" y="0"/>
            <wp:positionH relativeFrom="column">
              <wp:posOffset>5509260</wp:posOffset>
            </wp:positionH>
            <wp:positionV relativeFrom="paragraph">
              <wp:posOffset>-2101215</wp:posOffset>
            </wp:positionV>
            <wp:extent cx="12700"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5560695</wp:posOffset>
            </wp:positionH>
            <wp:positionV relativeFrom="paragraph">
              <wp:posOffset>-2101215</wp:posOffset>
            </wp:positionV>
            <wp:extent cx="21590"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21590" cy="29845"/>
                    </a:xfrm>
                    <a:prstGeom prst="rect">
                      <a:avLst/>
                    </a:prstGeom>
                    <a:noFill/>
                  </pic:spPr>
                </pic:pic>
              </a:graphicData>
            </a:graphic>
          </wp:anchor>
        </w:drawing>
        <w:drawing>
          <wp:anchor simplePos="0" relativeHeight="251657728" behindDoc="1" locked="0" layoutInCell="0" allowOverlap="1">
            <wp:simplePos x="0" y="0"/>
            <wp:positionH relativeFrom="column">
              <wp:posOffset>5835015</wp:posOffset>
            </wp:positionH>
            <wp:positionV relativeFrom="paragraph">
              <wp:posOffset>-2101215</wp:posOffset>
            </wp:positionV>
            <wp:extent cx="38735"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8735" cy="29845"/>
                    </a:xfrm>
                    <a:prstGeom prst="rect">
                      <a:avLst/>
                    </a:prstGeom>
                    <a:noFill/>
                  </pic:spPr>
                </pic:pic>
              </a:graphicData>
            </a:graphic>
          </wp:anchor>
        </w:drawing>
        <w:drawing>
          <wp:anchor simplePos="0" relativeHeight="251657728" behindDoc="1" locked="0" layoutInCell="0" allowOverlap="1">
            <wp:simplePos x="0" y="0"/>
            <wp:positionH relativeFrom="column">
              <wp:posOffset>6135370</wp:posOffset>
            </wp:positionH>
            <wp:positionV relativeFrom="paragraph">
              <wp:posOffset>-2101215</wp:posOffset>
            </wp:positionV>
            <wp:extent cx="12700" cy="298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6186805</wp:posOffset>
            </wp:positionH>
            <wp:positionV relativeFrom="paragraph">
              <wp:posOffset>-2101215</wp:posOffset>
            </wp:positionV>
            <wp:extent cx="21590" cy="298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1590" cy="29845"/>
                    </a:xfrm>
                    <a:prstGeom prst="rect">
                      <a:avLst/>
                    </a:prstGeom>
                    <a:noFill/>
                  </pic:spPr>
                </pic:pic>
              </a:graphicData>
            </a:graphic>
          </wp:anchor>
        </w:drawing>
        <w:drawing>
          <wp:anchor simplePos="0" relativeHeight="251657728" behindDoc="1" locked="0" layoutInCell="0" allowOverlap="1">
            <wp:simplePos x="0" y="0"/>
            <wp:positionH relativeFrom="column">
              <wp:posOffset>6469380</wp:posOffset>
            </wp:positionH>
            <wp:positionV relativeFrom="paragraph">
              <wp:posOffset>-2101215</wp:posOffset>
            </wp:positionV>
            <wp:extent cx="38735" cy="298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8735" cy="29845"/>
                    </a:xfrm>
                    <a:prstGeom prst="rect">
                      <a:avLst/>
                    </a:prstGeom>
                    <a:noFill/>
                  </pic:spPr>
                </pic:pic>
              </a:graphicData>
            </a:graphic>
          </wp:anchor>
        </w:drawing>
        <w:drawing>
          <wp:anchor simplePos="0" relativeHeight="251657728" behindDoc="1" locked="0" layoutInCell="0" allowOverlap="1">
            <wp:simplePos x="0" y="0"/>
            <wp:positionH relativeFrom="column">
              <wp:posOffset>5509260</wp:posOffset>
            </wp:positionH>
            <wp:positionV relativeFrom="paragraph">
              <wp:posOffset>-1800860</wp:posOffset>
            </wp:positionV>
            <wp:extent cx="12700" cy="298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5560695</wp:posOffset>
            </wp:positionH>
            <wp:positionV relativeFrom="paragraph">
              <wp:posOffset>-1800860</wp:posOffset>
            </wp:positionV>
            <wp:extent cx="21590"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21590" cy="29845"/>
                    </a:xfrm>
                    <a:prstGeom prst="rect">
                      <a:avLst/>
                    </a:prstGeom>
                    <a:noFill/>
                  </pic:spPr>
                </pic:pic>
              </a:graphicData>
            </a:graphic>
          </wp:anchor>
        </w:drawing>
        <w:drawing>
          <wp:anchor simplePos="0" relativeHeight="251657728" behindDoc="1" locked="0" layoutInCell="0" allowOverlap="1">
            <wp:simplePos x="0" y="0"/>
            <wp:positionH relativeFrom="column">
              <wp:posOffset>5835015</wp:posOffset>
            </wp:positionH>
            <wp:positionV relativeFrom="paragraph">
              <wp:posOffset>-1800860</wp:posOffset>
            </wp:positionV>
            <wp:extent cx="38735"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8735" cy="29845"/>
                    </a:xfrm>
                    <a:prstGeom prst="rect">
                      <a:avLst/>
                    </a:prstGeom>
                    <a:noFill/>
                  </pic:spPr>
                </pic:pic>
              </a:graphicData>
            </a:graphic>
          </wp:anchor>
        </w:drawing>
        <w:drawing>
          <wp:anchor simplePos="0" relativeHeight="251657728" behindDoc="1" locked="0" layoutInCell="0" allowOverlap="1">
            <wp:simplePos x="0" y="0"/>
            <wp:positionH relativeFrom="column">
              <wp:posOffset>6135370</wp:posOffset>
            </wp:positionH>
            <wp:positionV relativeFrom="paragraph">
              <wp:posOffset>-1800860</wp:posOffset>
            </wp:positionV>
            <wp:extent cx="12700"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6186805</wp:posOffset>
            </wp:positionH>
            <wp:positionV relativeFrom="paragraph">
              <wp:posOffset>-1800860</wp:posOffset>
            </wp:positionV>
            <wp:extent cx="21590"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21590" cy="29845"/>
                    </a:xfrm>
                    <a:prstGeom prst="rect">
                      <a:avLst/>
                    </a:prstGeom>
                    <a:noFill/>
                  </pic:spPr>
                </pic:pic>
              </a:graphicData>
            </a:graphic>
          </wp:anchor>
        </w:drawing>
        <w:drawing>
          <wp:anchor simplePos="0" relativeHeight="251657728" behindDoc="1" locked="0" layoutInCell="0" allowOverlap="1">
            <wp:simplePos x="0" y="0"/>
            <wp:positionH relativeFrom="column">
              <wp:posOffset>6469380</wp:posOffset>
            </wp:positionH>
            <wp:positionV relativeFrom="paragraph">
              <wp:posOffset>-1800860</wp:posOffset>
            </wp:positionV>
            <wp:extent cx="38735"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8735" cy="29845"/>
                    </a:xfrm>
                    <a:prstGeom prst="rect">
                      <a:avLst/>
                    </a:prstGeom>
                    <a:noFill/>
                  </pic:spPr>
                </pic:pic>
              </a:graphicData>
            </a:graphic>
          </wp:anchor>
        </w:drawing>
        <w:drawing>
          <wp:anchor simplePos="0" relativeHeight="251657728" behindDoc="1" locked="0" layoutInCell="0" allowOverlap="1">
            <wp:simplePos x="0" y="0"/>
            <wp:positionH relativeFrom="column">
              <wp:posOffset>5509260</wp:posOffset>
            </wp:positionH>
            <wp:positionV relativeFrom="paragraph">
              <wp:posOffset>-1363980</wp:posOffset>
            </wp:positionV>
            <wp:extent cx="12700" cy="298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5560695</wp:posOffset>
            </wp:positionH>
            <wp:positionV relativeFrom="paragraph">
              <wp:posOffset>-1363980</wp:posOffset>
            </wp:positionV>
            <wp:extent cx="21590" cy="298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21590" cy="29845"/>
                    </a:xfrm>
                    <a:prstGeom prst="rect">
                      <a:avLst/>
                    </a:prstGeom>
                    <a:noFill/>
                  </pic:spPr>
                </pic:pic>
              </a:graphicData>
            </a:graphic>
          </wp:anchor>
        </w:drawing>
        <w:drawing>
          <wp:anchor simplePos="0" relativeHeight="251657728" behindDoc="1" locked="0" layoutInCell="0" allowOverlap="1">
            <wp:simplePos x="0" y="0"/>
            <wp:positionH relativeFrom="column">
              <wp:posOffset>5835015</wp:posOffset>
            </wp:positionH>
            <wp:positionV relativeFrom="paragraph">
              <wp:posOffset>-1363980</wp:posOffset>
            </wp:positionV>
            <wp:extent cx="38735" cy="298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8735" cy="29845"/>
                    </a:xfrm>
                    <a:prstGeom prst="rect">
                      <a:avLst/>
                    </a:prstGeom>
                    <a:noFill/>
                  </pic:spPr>
                </pic:pic>
              </a:graphicData>
            </a:graphic>
          </wp:anchor>
        </w:drawing>
        <w:drawing>
          <wp:anchor simplePos="0" relativeHeight="251657728" behindDoc="1" locked="0" layoutInCell="0" allowOverlap="1">
            <wp:simplePos x="0" y="0"/>
            <wp:positionH relativeFrom="column">
              <wp:posOffset>6135370</wp:posOffset>
            </wp:positionH>
            <wp:positionV relativeFrom="paragraph">
              <wp:posOffset>-1363980</wp:posOffset>
            </wp:positionV>
            <wp:extent cx="12700" cy="298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6186805</wp:posOffset>
            </wp:positionH>
            <wp:positionV relativeFrom="paragraph">
              <wp:posOffset>-1363980</wp:posOffset>
            </wp:positionV>
            <wp:extent cx="21590" cy="298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21590" cy="29845"/>
                    </a:xfrm>
                    <a:prstGeom prst="rect">
                      <a:avLst/>
                    </a:prstGeom>
                    <a:noFill/>
                  </pic:spPr>
                </pic:pic>
              </a:graphicData>
            </a:graphic>
          </wp:anchor>
        </w:drawing>
        <w:drawing>
          <wp:anchor simplePos="0" relativeHeight="251657728" behindDoc="1" locked="0" layoutInCell="0" allowOverlap="1">
            <wp:simplePos x="0" y="0"/>
            <wp:positionH relativeFrom="column">
              <wp:posOffset>6469380</wp:posOffset>
            </wp:positionH>
            <wp:positionV relativeFrom="paragraph">
              <wp:posOffset>-1363980</wp:posOffset>
            </wp:positionV>
            <wp:extent cx="38735" cy="298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8735" cy="29845"/>
                    </a:xfrm>
                    <a:prstGeom prst="rect">
                      <a:avLst/>
                    </a:prstGeom>
                    <a:noFill/>
                  </pic:spPr>
                </pic:pic>
              </a:graphicData>
            </a:graphic>
          </wp:anchor>
        </w:drawing>
        <w:drawing>
          <wp:anchor simplePos="0" relativeHeight="251657728" behindDoc="1" locked="0" layoutInCell="0" allowOverlap="1">
            <wp:simplePos x="0" y="0"/>
            <wp:positionH relativeFrom="column">
              <wp:posOffset>5509260</wp:posOffset>
            </wp:positionH>
            <wp:positionV relativeFrom="paragraph">
              <wp:posOffset>-1063625</wp:posOffset>
            </wp:positionV>
            <wp:extent cx="364490" cy="298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364490" cy="29845"/>
                    </a:xfrm>
                    <a:prstGeom prst="rect">
                      <a:avLst/>
                    </a:prstGeom>
                    <a:noFill/>
                  </pic:spPr>
                </pic:pic>
              </a:graphicData>
            </a:graphic>
          </wp:anchor>
        </w:drawing>
        <w:drawing>
          <wp:anchor simplePos="0" relativeHeight="251657728" behindDoc="1" locked="0" layoutInCell="0" allowOverlap="1">
            <wp:simplePos x="0" y="0"/>
            <wp:positionH relativeFrom="column">
              <wp:posOffset>6135370</wp:posOffset>
            </wp:positionH>
            <wp:positionV relativeFrom="paragraph">
              <wp:posOffset>-1063625</wp:posOffset>
            </wp:positionV>
            <wp:extent cx="12700" cy="298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6186805</wp:posOffset>
            </wp:positionH>
            <wp:positionV relativeFrom="paragraph">
              <wp:posOffset>-1063625</wp:posOffset>
            </wp:positionV>
            <wp:extent cx="21590" cy="298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21590" cy="29845"/>
                    </a:xfrm>
                    <a:prstGeom prst="rect">
                      <a:avLst/>
                    </a:prstGeom>
                    <a:noFill/>
                  </pic:spPr>
                </pic:pic>
              </a:graphicData>
            </a:graphic>
          </wp:anchor>
        </w:drawing>
        <w:drawing>
          <wp:anchor simplePos="0" relativeHeight="251657728" behindDoc="1" locked="0" layoutInCell="0" allowOverlap="1">
            <wp:simplePos x="0" y="0"/>
            <wp:positionH relativeFrom="column">
              <wp:posOffset>6469380</wp:posOffset>
            </wp:positionH>
            <wp:positionV relativeFrom="paragraph">
              <wp:posOffset>-1063625</wp:posOffset>
            </wp:positionV>
            <wp:extent cx="38735" cy="298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8735" cy="29845"/>
                    </a:xfrm>
                    <a:prstGeom prst="rect">
                      <a:avLst/>
                    </a:prstGeom>
                    <a:noFill/>
                  </pic:spPr>
                </pic:pic>
              </a:graphicData>
            </a:graphic>
          </wp:anchor>
        </w:drawing>
        <w:drawing>
          <wp:anchor simplePos="0" relativeHeight="251657728" behindDoc="1" locked="0" layoutInCell="0" allowOverlap="1">
            <wp:simplePos x="0" y="0"/>
            <wp:positionH relativeFrom="column">
              <wp:posOffset>5509260</wp:posOffset>
            </wp:positionH>
            <wp:positionV relativeFrom="paragraph">
              <wp:posOffset>-626110</wp:posOffset>
            </wp:positionV>
            <wp:extent cx="12700" cy="298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5560695</wp:posOffset>
            </wp:positionH>
            <wp:positionV relativeFrom="paragraph">
              <wp:posOffset>-626110</wp:posOffset>
            </wp:positionV>
            <wp:extent cx="21590" cy="298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21590" cy="29845"/>
                    </a:xfrm>
                    <a:prstGeom prst="rect">
                      <a:avLst/>
                    </a:prstGeom>
                    <a:noFill/>
                  </pic:spPr>
                </pic:pic>
              </a:graphicData>
            </a:graphic>
          </wp:anchor>
        </w:drawing>
        <w:drawing>
          <wp:anchor simplePos="0" relativeHeight="251657728" behindDoc="1" locked="0" layoutInCell="0" allowOverlap="1">
            <wp:simplePos x="0" y="0"/>
            <wp:positionH relativeFrom="column">
              <wp:posOffset>5835015</wp:posOffset>
            </wp:positionH>
            <wp:positionV relativeFrom="paragraph">
              <wp:posOffset>-626110</wp:posOffset>
            </wp:positionV>
            <wp:extent cx="38735" cy="298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8735" cy="29845"/>
                    </a:xfrm>
                    <a:prstGeom prst="rect">
                      <a:avLst/>
                    </a:prstGeom>
                    <a:noFill/>
                  </pic:spPr>
                </pic:pic>
              </a:graphicData>
            </a:graphic>
          </wp:anchor>
        </w:drawing>
        <w:drawing>
          <wp:anchor simplePos="0" relativeHeight="251657728" behindDoc="1" locked="0" layoutInCell="0" allowOverlap="1">
            <wp:simplePos x="0" y="0"/>
            <wp:positionH relativeFrom="column">
              <wp:posOffset>6135370</wp:posOffset>
            </wp:positionH>
            <wp:positionV relativeFrom="paragraph">
              <wp:posOffset>-626110</wp:posOffset>
            </wp:positionV>
            <wp:extent cx="372745" cy="298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72745" cy="29845"/>
                    </a:xfrm>
                    <a:prstGeom prst="rect">
                      <a:avLst/>
                    </a:prstGeom>
                    <a:noFill/>
                  </pic:spPr>
                </pic:pic>
              </a:graphicData>
            </a:graphic>
          </wp:anchor>
        </w:drawing>
        <w:drawing>
          <wp:anchor simplePos="0" relativeHeight="251657728" behindDoc="1" locked="0" layoutInCell="0" allowOverlap="1">
            <wp:simplePos x="0" y="0"/>
            <wp:positionH relativeFrom="column">
              <wp:posOffset>5509260</wp:posOffset>
            </wp:positionH>
            <wp:positionV relativeFrom="paragraph">
              <wp:posOffset>-325755</wp:posOffset>
            </wp:positionV>
            <wp:extent cx="12700" cy="298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5560695</wp:posOffset>
            </wp:positionH>
            <wp:positionV relativeFrom="paragraph">
              <wp:posOffset>-325755</wp:posOffset>
            </wp:positionV>
            <wp:extent cx="21590" cy="298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21590" cy="29845"/>
                    </a:xfrm>
                    <a:prstGeom prst="rect">
                      <a:avLst/>
                    </a:prstGeom>
                    <a:noFill/>
                  </pic:spPr>
                </pic:pic>
              </a:graphicData>
            </a:graphic>
          </wp:anchor>
        </w:drawing>
        <w:drawing>
          <wp:anchor simplePos="0" relativeHeight="251657728" behindDoc="1" locked="0" layoutInCell="0" allowOverlap="1">
            <wp:simplePos x="0" y="0"/>
            <wp:positionH relativeFrom="column">
              <wp:posOffset>5835015</wp:posOffset>
            </wp:positionH>
            <wp:positionV relativeFrom="paragraph">
              <wp:posOffset>-325755</wp:posOffset>
            </wp:positionV>
            <wp:extent cx="38735" cy="298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8735" cy="29845"/>
                    </a:xfrm>
                    <a:prstGeom prst="rect">
                      <a:avLst/>
                    </a:prstGeom>
                    <a:noFill/>
                  </pic:spPr>
                </pic:pic>
              </a:graphicData>
            </a:graphic>
          </wp:anchor>
        </w:drawing>
        <w:drawing>
          <wp:anchor simplePos="0" relativeHeight="251657728" behindDoc="1" locked="0" layoutInCell="0" allowOverlap="1">
            <wp:simplePos x="0" y="0"/>
            <wp:positionH relativeFrom="column">
              <wp:posOffset>6135370</wp:posOffset>
            </wp:positionH>
            <wp:positionV relativeFrom="paragraph">
              <wp:posOffset>-325755</wp:posOffset>
            </wp:positionV>
            <wp:extent cx="12700" cy="298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6186805</wp:posOffset>
            </wp:positionH>
            <wp:positionV relativeFrom="paragraph">
              <wp:posOffset>-325755</wp:posOffset>
            </wp:positionV>
            <wp:extent cx="21590" cy="298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21590" cy="29845"/>
                    </a:xfrm>
                    <a:prstGeom prst="rect">
                      <a:avLst/>
                    </a:prstGeom>
                    <a:noFill/>
                  </pic:spPr>
                </pic:pic>
              </a:graphicData>
            </a:graphic>
          </wp:anchor>
        </w:drawing>
        <w:drawing>
          <wp:anchor simplePos="0" relativeHeight="251657728" behindDoc="1" locked="0" layoutInCell="0" allowOverlap="1">
            <wp:simplePos x="0" y="0"/>
            <wp:positionH relativeFrom="column">
              <wp:posOffset>6469380</wp:posOffset>
            </wp:positionH>
            <wp:positionV relativeFrom="paragraph">
              <wp:posOffset>-325755</wp:posOffset>
            </wp:positionV>
            <wp:extent cx="38735" cy="298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8735" cy="29845"/>
                    </a:xfrm>
                    <a:prstGeom prst="rect">
                      <a:avLst/>
                    </a:prstGeom>
                    <a:noFill/>
                  </pic:spPr>
                </pic:pic>
              </a:graphicData>
            </a:graphic>
          </wp:anchor>
        </w:drawing>
      </w:r>
    </w:p>
    <w:sectPr>
      <w:pgSz w:w="11900" w:h="16838" w:orient="portrait"/>
      <w:cols w:equalWidth="0" w:num="1">
        <w:col w:w="10280"/>
      </w:cols>
      <w:pgMar w:left="820" w:top="274" w:right="7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2020-02-06T17:48:16Z</dcterms:created>
  <dcterms:modified xsi:type="dcterms:W3CDTF">2020-02-06T17:48:16Z</dcterms:modified>
</cp:coreProperties>
</file>