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7400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7400290"/>
                    </a:xfrm>
                    <a:prstGeom prst="rect">
                      <a:avLst/>
                    </a:prstGeom>
                    <a:noFill/>
                  </pic:spPr>
                </pic:pic>
              </a:graphicData>
            </a:graphic>
          </wp:anchor>
        </w:drawing>
      </w:r>
    </w:p>
    <w:p>
      <w:pPr>
        <w:sectPr>
          <w:pgSz w:w="11900" w:h="16838" w:orient="portrait"/>
          <w:cols w:equalWidth="0" w:num="1">
            <w:col w:w="11420"/>
          </w:cols>
          <w:pgMar w:left="240" w:top="226" w:right="239" w:bottom="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Bobitz Ward E.</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18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01/26/2015</w:t>
            </w:r>
          </w:p>
        </w:tc>
        <w:tc>
          <w:tcPr>
            <w:tcW w:w="0" w:type="dxa"/>
            <w:vAlign w:val="bottom"/>
          </w:tcPr>
          <w:p>
            <w:pPr>
              <w:spacing w:after="0"/>
              <w:rPr>
                <w:sz w:val="1"/>
                <w:szCs w:val="1"/>
                <w:color w:val="auto"/>
              </w:rPr>
            </w:pPr>
          </w:p>
        </w:tc>
      </w:tr>
    </w:tbl>
    <w:p>
      <w:pPr>
        <w:spacing w:after="0" w:line="148"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GENWORTH FINANCIAL,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6620 WEST BROAD STREET</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780" w:type="dxa"/>
            <w:vAlign w:val="bottom"/>
          </w:tcPr>
          <w:p>
            <w:pPr>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4"/>
                <w:szCs w:val="14"/>
                <w:color w:val="auto"/>
              </w:rPr>
            </w:pPr>
          </w:p>
        </w:tc>
      </w:tr>
      <w:tr>
        <w:trPr>
          <w:trHeight w:val="242"/>
        </w:trPr>
        <w:tc>
          <w:tcPr>
            <w:tcW w:w="1780" w:type="dxa"/>
            <w:vAlign w:val="bottom"/>
          </w:tcPr>
          <w:p>
            <w:pPr>
              <w:ind w:left="40"/>
              <w:spacing w:after="0"/>
              <w:rPr>
                <w:sz w:val="20"/>
                <w:szCs w:val="20"/>
                <w:color w:val="auto"/>
              </w:rPr>
            </w:pPr>
            <w:r>
              <w:rPr>
                <w:rFonts w:ascii="Arial" w:cs="Arial" w:eastAsia="Arial" w:hAnsi="Arial"/>
                <w:sz w:val="18"/>
                <w:szCs w:val="18"/>
                <w:color w:val="0000FF"/>
              </w:rPr>
              <w:t>RICHMOND  VA</w:t>
            </w:r>
          </w:p>
        </w:tc>
        <w:tc>
          <w:tcPr>
            <w:tcW w:w="860" w:type="dxa"/>
            <w:vAlign w:val="bottom"/>
          </w:tcPr>
          <w:p>
            <w:pPr>
              <w:jc w:val="right"/>
              <w:spacing w:after="0"/>
              <w:rPr>
                <w:sz w:val="20"/>
                <w:szCs w:val="20"/>
                <w:color w:val="auto"/>
              </w:rPr>
            </w:pPr>
            <w:r>
              <w:rPr>
                <w:rFonts w:ascii="Arial" w:cs="Arial" w:eastAsia="Arial" w:hAnsi="Arial"/>
                <w:sz w:val="18"/>
                <w:szCs w:val="18"/>
                <w:color w:val="0000FF"/>
              </w:rPr>
              <w:t>23230</w:t>
            </w: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GENWORTH FINANCIAL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GNW</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320" w:type="dxa"/>
            <w:vAlign w:val="bottom"/>
            <w:gridSpan w:val="3"/>
          </w:tcPr>
          <w:p>
            <w:pPr>
              <w:spacing w:after="0"/>
              <w:rPr>
                <w:sz w:val="20"/>
                <w:szCs w:val="20"/>
                <w:color w:val="auto"/>
              </w:rPr>
            </w:pPr>
            <w:r>
              <w:rPr>
                <w:rFonts w:ascii="Arial" w:cs="Arial" w:eastAsia="Arial" w:hAnsi="Arial"/>
                <w:sz w:val="14"/>
                <w:szCs w:val="14"/>
                <w:color w:val="auto"/>
              </w:rPr>
              <w:t>4. Relationship of Reporting Person(s) to Issuer</w:t>
            </w:r>
          </w:p>
        </w:tc>
        <w:tc>
          <w:tcPr>
            <w:tcW w:w="200" w:type="dxa"/>
            <w:vAlign w:val="bottom"/>
          </w:tcPr>
          <w:p>
            <w:pPr>
              <w:ind w:left="80"/>
              <w:spacing w:after="0"/>
              <w:rPr>
                <w:sz w:val="20"/>
                <w:szCs w:val="20"/>
                <w:color w:val="auto"/>
              </w:rPr>
            </w:pPr>
            <w:r>
              <w:rPr>
                <w:rFonts w:ascii="Arial" w:cs="Arial" w:eastAsia="Arial" w:hAnsi="Arial"/>
                <w:sz w:val="14"/>
                <w:szCs w:val="14"/>
                <w:color w:val="auto"/>
                <w:w w:val="85"/>
              </w:rPr>
              <w:t>5.</w:t>
            </w:r>
          </w:p>
        </w:tc>
        <w:tc>
          <w:tcPr>
            <w:tcW w:w="2680" w:type="dxa"/>
            <w:vAlign w:val="bottom"/>
          </w:tcPr>
          <w:p>
            <w:pPr>
              <w:ind w:left="20"/>
              <w:spacing w:after="0"/>
              <w:rPr>
                <w:sz w:val="20"/>
                <w:szCs w:val="20"/>
                <w:color w:val="auto"/>
              </w:rPr>
            </w:pPr>
            <w:r>
              <w:rPr>
                <w:rFonts w:ascii="Arial" w:cs="Arial" w:eastAsia="Arial" w:hAnsi="Arial"/>
                <w:sz w:val="14"/>
                <w:szCs w:val="14"/>
                <w:color w:val="auto"/>
              </w:rPr>
              <w:t>If Amendment, Date of Original Filed</w:t>
            </w:r>
          </w:p>
        </w:tc>
        <w:tc>
          <w:tcPr>
            <w:tcW w:w="0" w:type="dxa"/>
            <w:vAlign w:val="bottom"/>
          </w:tcPr>
          <w:p>
            <w:pPr>
              <w:spacing w:after="0"/>
              <w:rPr>
                <w:sz w:val="1"/>
                <w:szCs w:val="1"/>
                <w:color w:val="auto"/>
              </w:rPr>
            </w:pPr>
          </w:p>
        </w:tc>
      </w:tr>
      <w:tr>
        <w:trPr>
          <w:trHeight w:val="162"/>
        </w:trPr>
        <w:tc>
          <w:tcPr>
            <w:tcW w:w="1840" w:type="dxa"/>
            <w:vAlign w:val="bottom"/>
            <w:gridSpan w:val="2"/>
          </w:tcPr>
          <w:p>
            <w:pPr>
              <w:spacing w:after="0"/>
              <w:rPr>
                <w:sz w:val="20"/>
                <w:szCs w:val="20"/>
                <w:color w:val="auto"/>
              </w:rPr>
            </w:pPr>
            <w:r>
              <w:rPr>
                <w:rFonts w:ascii="Arial" w:cs="Arial" w:eastAsia="Arial" w:hAnsi="Arial"/>
                <w:sz w:val="14"/>
                <w:szCs w:val="14"/>
                <w:color w:val="auto"/>
              </w:rPr>
              <w:t>(Check all applicable)</w:t>
            </w:r>
          </w:p>
        </w:tc>
        <w:tc>
          <w:tcPr>
            <w:tcW w:w="1480" w:type="dxa"/>
            <w:vAlign w:val="bottom"/>
          </w:tcPr>
          <w:p>
            <w:pPr>
              <w:spacing w:after="0"/>
              <w:rPr>
                <w:sz w:val="14"/>
                <w:szCs w:val="14"/>
                <w:color w:val="auto"/>
              </w:rPr>
            </w:pPr>
          </w:p>
        </w:tc>
        <w:tc>
          <w:tcPr>
            <w:tcW w:w="2880" w:type="dxa"/>
            <w:vAlign w:val="bottom"/>
            <w:gridSpan w:val="2"/>
          </w:tcPr>
          <w:p>
            <w:pPr>
              <w:ind w:left="80"/>
              <w:spacing w:after="0"/>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89"/>
        </w:trPr>
        <w:tc>
          <w:tcPr>
            <w:tcW w:w="420" w:type="dxa"/>
            <w:vAlign w:val="bottom"/>
          </w:tcPr>
          <w:p>
            <w:pPr>
              <w:spacing w:after="0"/>
              <w:rPr>
                <w:sz w:val="16"/>
                <w:szCs w:val="16"/>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480" w:type="dxa"/>
            <w:vAlign w:val="bottom"/>
          </w:tcPr>
          <w:p>
            <w:pPr>
              <w:ind w:left="320"/>
              <w:spacing w:after="0"/>
              <w:rPr>
                <w:sz w:val="20"/>
                <w:szCs w:val="20"/>
                <w:color w:val="auto"/>
              </w:rPr>
            </w:pPr>
            <w:r>
              <w:rPr>
                <w:rFonts w:ascii="Arial" w:cs="Arial" w:eastAsia="Arial" w:hAnsi="Arial"/>
                <w:sz w:val="14"/>
                <w:szCs w:val="14"/>
                <w:color w:val="auto"/>
              </w:rPr>
              <w:t>10% Owner</w:t>
            </w:r>
          </w:p>
        </w:tc>
        <w:tc>
          <w:tcPr>
            <w:tcW w:w="200" w:type="dxa"/>
            <w:vAlign w:val="bottom"/>
          </w:tcPr>
          <w:p>
            <w:pPr>
              <w:spacing w:after="0"/>
              <w:rPr>
                <w:sz w:val="16"/>
                <w:szCs w:val="16"/>
                <w:color w:val="auto"/>
              </w:rPr>
            </w:pPr>
          </w:p>
        </w:tc>
        <w:tc>
          <w:tcPr>
            <w:tcW w:w="2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5"/>
        </w:trPr>
        <w:tc>
          <w:tcPr>
            <w:tcW w:w="420" w:type="dxa"/>
            <w:vAlign w:val="bottom"/>
            <w:vMerge w:val="restart"/>
          </w:tcPr>
          <w:p>
            <w:pPr>
              <w:ind w:left="200"/>
              <w:spacing w:after="0"/>
              <w:rPr>
                <w:sz w:val="20"/>
                <w:szCs w:val="20"/>
                <w:color w:val="auto"/>
              </w:rPr>
            </w:pPr>
            <w:r>
              <w:rPr>
                <w:rFonts w:ascii="Arial" w:cs="Arial" w:eastAsia="Arial" w:hAnsi="Arial"/>
                <w:sz w:val="18"/>
                <w:szCs w:val="18"/>
                <w:color w:val="0000FF"/>
              </w:rPr>
              <w:t>X</w:t>
            </w: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Officer (give title</w:t>
            </w:r>
          </w:p>
        </w:tc>
        <w:tc>
          <w:tcPr>
            <w:tcW w:w="1480" w:type="dxa"/>
            <w:vAlign w:val="bottom"/>
            <w:vMerge w:val="restart"/>
          </w:tcPr>
          <w:p>
            <w:pPr>
              <w:ind w:left="320"/>
              <w:spacing w:after="0"/>
              <w:rPr>
                <w:sz w:val="20"/>
                <w:szCs w:val="20"/>
                <w:color w:val="auto"/>
              </w:rPr>
            </w:pPr>
            <w:r>
              <w:rPr>
                <w:rFonts w:ascii="Arial" w:cs="Arial" w:eastAsia="Arial" w:hAnsi="Arial"/>
                <w:sz w:val="14"/>
                <w:szCs w:val="14"/>
                <w:color w:val="auto"/>
              </w:rPr>
              <w:t>Other (specify</w:t>
            </w:r>
          </w:p>
        </w:tc>
        <w:tc>
          <w:tcPr>
            <w:tcW w:w="200" w:type="dxa"/>
            <w:vAlign w:val="bottom"/>
            <w:tcBorders>
              <w:bottom w:val="single" w:sz="8" w:color="2C2C2C"/>
            </w:tcBorders>
          </w:tcPr>
          <w:p>
            <w:pPr>
              <w:spacing w:after="0"/>
              <w:rPr>
                <w:sz w:val="3"/>
                <w:szCs w:val="3"/>
                <w:color w:val="auto"/>
              </w:rPr>
            </w:pPr>
          </w:p>
        </w:tc>
        <w:tc>
          <w:tcPr>
            <w:tcW w:w="26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34"/>
        </w:trPr>
        <w:tc>
          <w:tcPr>
            <w:tcW w:w="420" w:type="dxa"/>
            <w:vAlign w:val="bottom"/>
            <w:vMerge w:val="continue"/>
          </w:tcPr>
          <w:p>
            <w:pPr>
              <w:spacing w:after="0"/>
              <w:rPr>
                <w:sz w:val="11"/>
                <w:szCs w:val="11"/>
                <w:color w:val="auto"/>
              </w:rPr>
            </w:pPr>
          </w:p>
        </w:tc>
        <w:tc>
          <w:tcPr>
            <w:tcW w:w="1420" w:type="dxa"/>
            <w:vAlign w:val="bottom"/>
            <w:vMerge w:val="continue"/>
          </w:tcPr>
          <w:p>
            <w:pPr>
              <w:spacing w:after="0"/>
              <w:rPr>
                <w:sz w:val="11"/>
                <w:szCs w:val="11"/>
                <w:color w:val="auto"/>
              </w:rPr>
            </w:pPr>
          </w:p>
        </w:tc>
        <w:tc>
          <w:tcPr>
            <w:tcW w:w="1480" w:type="dxa"/>
            <w:vAlign w:val="bottom"/>
            <w:vMerge w:val="continue"/>
          </w:tcPr>
          <w:p>
            <w:pPr>
              <w:spacing w:after="0"/>
              <w:rPr>
                <w:sz w:val="11"/>
                <w:szCs w:val="11"/>
                <w:color w:val="auto"/>
              </w:rPr>
            </w:pPr>
          </w:p>
        </w:tc>
        <w:tc>
          <w:tcPr>
            <w:tcW w:w="200" w:type="dxa"/>
            <w:vAlign w:val="bottom"/>
            <w:vMerge w:val="restart"/>
          </w:tcPr>
          <w:p>
            <w:pPr>
              <w:ind w:left="80"/>
              <w:spacing w:after="0"/>
              <w:rPr>
                <w:sz w:val="20"/>
                <w:szCs w:val="20"/>
                <w:color w:val="auto"/>
              </w:rPr>
            </w:pPr>
            <w:r>
              <w:rPr>
                <w:rFonts w:ascii="Arial" w:cs="Arial" w:eastAsia="Arial" w:hAnsi="Arial"/>
                <w:sz w:val="14"/>
                <w:szCs w:val="14"/>
                <w:color w:val="auto"/>
                <w:w w:val="85"/>
              </w:rPr>
              <w:t>6.</w:t>
            </w:r>
          </w:p>
        </w:tc>
        <w:tc>
          <w:tcPr>
            <w:tcW w:w="2680" w:type="dxa"/>
            <w:vAlign w:val="bottom"/>
            <w:vMerge w:val="restart"/>
          </w:tcPr>
          <w:p>
            <w:pPr>
              <w:ind w:left="20"/>
              <w:spacing w:after="0"/>
              <w:rPr>
                <w:sz w:val="20"/>
                <w:szCs w:val="20"/>
                <w:color w:val="auto"/>
              </w:rPr>
            </w:pPr>
            <w:r>
              <w:rPr>
                <w:rFonts w:ascii="Arial" w:cs="Arial" w:eastAsia="Arial" w:hAnsi="Arial"/>
                <w:sz w:val="14"/>
                <w:szCs w:val="14"/>
                <w:color w:val="auto"/>
              </w:rPr>
              <w:t>Individual or Joint/Group Filing (Check</w:t>
            </w:r>
          </w:p>
        </w:tc>
        <w:tc>
          <w:tcPr>
            <w:tcW w:w="0" w:type="dxa"/>
            <w:vAlign w:val="bottom"/>
          </w:tcPr>
          <w:p>
            <w:pPr>
              <w:spacing w:after="0"/>
              <w:rPr>
                <w:sz w:val="1"/>
                <w:szCs w:val="1"/>
                <w:color w:val="auto"/>
              </w:rPr>
            </w:pPr>
          </w:p>
        </w:tc>
      </w:tr>
      <w:tr>
        <w:trPr>
          <w:trHeight w:val="68"/>
        </w:trPr>
        <w:tc>
          <w:tcPr>
            <w:tcW w:w="420" w:type="dxa"/>
            <w:vAlign w:val="bottom"/>
            <w:vMerge w:val="continue"/>
          </w:tcPr>
          <w:p>
            <w:pPr>
              <w:spacing w:after="0"/>
              <w:rPr>
                <w:sz w:val="5"/>
                <w:szCs w:val="5"/>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48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200" w:type="dxa"/>
            <w:vAlign w:val="bottom"/>
            <w:vMerge w:val="continue"/>
          </w:tcPr>
          <w:p>
            <w:pPr>
              <w:spacing w:after="0"/>
              <w:rPr>
                <w:sz w:val="5"/>
                <w:szCs w:val="5"/>
                <w:color w:val="auto"/>
              </w:rPr>
            </w:pPr>
          </w:p>
        </w:tc>
        <w:tc>
          <w:tcPr>
            <w:tcW w:w="26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420" w:type="dxa"/>
            <w:vAlign w:val="bottom"/>
          </w:tcPr>
          <w:p>
            <w:pPr>
              <w:spacing w:after="0"/>
              <w:rPr>
                <w:sz w:val="8"/>
                <w:szCs w:val="8"/>
                <w:color w:val="auto"/>
              </w:rPr>
            </w:pPr>
          </w:p>
        </w:tc>
        <w:tc>
          <w:tcPr>
            <w:tcW w:w="1420" w:type="dxa"/>
            <w:vAlign w:val="bottom"/>
            <w:vMerge w:val="continue"/>
          </w:tcPr>
          <w:p>
            <w:pPr>
              <w:spacing w:after="0"/>
              <w:rPr>
                <w:sz w:val="8"/>
                <w:szCs w:val="8"/>
                <w:color w:val="auto"/>
              </w:rPr>
            </w:pPr>
          </w:p>
        </w:tc>
        <w:tc>
          <w:tcPr>
            <w:tcW w:w="1480" w:type="dxa"/>
            <w:vAlign w:val="bottom"/>
            <w:vMerge w:val="continue"/>
          </w:tcPr>
          <w:p>
            <w:pPr>
              <w:spacing w:after="0"/>
              <w:rPr>
                <w:sz w:val="8"/>
                <w:szCs w:val="8"/>
                <w:color w:val="auto"/>
              </w:rPr>
            </w:pPr>
          </w:p>
        </w:tc>
        <w:tc>
          <w:tcPr>
            <w:tcW w:w="2880" w:type="dxa"/>
            <w:vAlign w:val="bottom"/>
            <w:gridSpan w:val="2"/>
            <w:vMerge w:val="restart"/>
          </w:tcPr>
          <w:p>
            <w:pPr>
              <w:ind w:left="80"/>
              <w:spacing w:after="0"/>
              <w:rPr>
                <w:sz w:val="20"/>
                <w:szCs w:val="20"/>
                <w:color w:val="auto"/>
              </w:rPr>
            </w:pPr>
            <w:r>
              <w:rPr>
                <w:rFonts w:ascii="Arial" w:cs="Arial" w:eastAsia="Arial" w:hAnsi="Arial"/>
                <w:sz w:val="14"/>
                <w:szCs w:val="14"/>
                <w:color w:val="auto"/>
              </w:rPr>
              <w:t>Applicable Line)</w:t>
            </w:r>
          </w:p>
        </w:tc>
        <w:tc>
          <w:tcPr>
            <w:tcW w:w="0" w:type="dxa"/>
            <w:vAlign w:val="bottom"/>
          </w:tcPr>
          <w:p>
            <w:pPr>
              <w:spacing w:after="0"/>
              <w:rPr>
                <w:sz w:val="1"/>
                <w:szCs w:val="1"/>
                <w:color w:val="auto"/>
              </w:rPr>
            </w:pPr>
          </w:p>
        </w:tc>
      </w:tr>
      <w:tr>
        <w:trPr>
          <w:trHeight w:val="68"/>
        </w:trPr>
        <w:tc>
          <w:tcPr>
            <w:tcW w:w="420" w:type="dxa"/>
            <w:vAlign w:val="bottom"/>
          </w:tcPr>
          <w:p>
            <w:pPr>
              <w:spacing w:after="0"/>
              <w:rPr>
                <w:sz w:val="5"/>
                <w:szCs w:val="5"/>
                <w:color w:val="auto"/>
              </w:rPr>
            </w:pPr>
          </w:p>
        </w:tc>
        <w:tc>
          <w:tcPr>
            <w:tcW w:w="2900" w:type="dxa"/>
            <w:vAlign w:val="bottom"/>
            <w:gridSpan w:val="2"/>
            <w:vMerge w:val="restart"/>
          </w:tcPr>
          <w:p>
            <w:pPr>
              <w:ind w:left="280"/>
              <w:spacing w:after="0"/>
              <w:rPr>
                <w:sz w:val="20"/>
                <w:szCs w:val="20"/>
                <w:color w:val="auto"/>
              </w:rPr>
            </w:pPr>
            <w:r>
              <w:rPr>
                <w:rFonts w:ascii="Arial" w:cs="Arial" w:eastAsia="Arial" w:hAnsi="Arial"/>
                <w:sz w:val="18"/>
                <w:szCs w:val="18"/>
                <w:color w:val="0000FF"/>
              </w:rPr>
              <w:t>EVP and General Counsel</w:t>
            </w:r>
          </w:p>
        </w:tc>
        <w:tc>
          <w:tcPr>
            <w:tcW w:w="288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420" w:type="dxa"/>
            <w:vAlign w:val="bottom"/>
          </w:tcPr>
          <w:p>
            <w:pPr>
              <w:spacing w:after="0"/>
              <w:rPr>
                <w:sz w:val="21"/>
                <w:szCs w:val="21"/>
                <w:color w:val="auto"/>
              </w:rPr>
            </w:pPr>
          </w:p>
        </w:tc>
        <w:tc>
          <w:tcPr>
            <w:tcW w:w="2900" w:type="dxa"/>
            <w:vAlign w:val="bottom"/>
            <w:gridSpan w:val="2"/>
            <w:vMerge w:val="continue"/>
          </w:tcPr>
          <w:p>
            <w:pPr>
              <w:spacing w:after="0"/>
              <w:rPr>
                <w:sz w:val="21"/>
                <w:szCs w:val="21"/>
                <w:color w:val="auto"/>
              </w:rPr>
            </w:pPr>
          </w:p>
        </w:tc>
        <w:tc>
          <w:tcPr>
            <w:tcW w:w="200" w:type="dxa"/>
            <w:vAlign w:val="bottom"/>
          </w:tcPr>
          <w:p>
            <w:pPr>
              <w:spacing w:after="0"/>
              <w:rPr>
                <w:sz w:val="21"/>
                <w:szCs w:val="21"/>
                <w:color w:val="auto"/>
              </w:rPr>
            </w:pPr>
          </w:p>
        </w:tc>
        <w:tc>
          <w:tcPr>
            <w:tcW w:w="2680" w:type="dxa"/>
            <w:vAlign w:val="bottom"/>
          </w:tcPr>
          <w:p>
            <w:pPr>
              <w:ind w:left="4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bl>
    <w:p>
      <w:pPr>
        <w:spacing w:after="0" w:line="43" w:lineRule="exact"/>
        <w:rPr>
          <w:sz w:val="24"/>
          <w:szCs w:val="24"/>
          <w:color w:val="auto"/>
        </w:rPr>
      </w:pPr>
    </w:p>
    <w:p>
      <w:pPr>
        <w:ind w:left="3880"/>
        <w:spacing w:after="0"/>
        <w:rPr>
          <w:sz w:val="20"/>
          <w:szCs w:val="20"/>
          <w:color w:val="auto"/>
        </w:rPr>
      </w:pPr>
      <w:r>
        <w:rPr>
          <w:rFonts w:ascii="Arial" w:cs="Arial" w:eastAsia="Arial" w:hAnsi="Arial"/>
          <w:sz w:val="14"/>
          <w:szCs w:val="14"/>
          <w:color w:val="auto"/>
        </w:rPr>
        <w:t>Form filed by More than One</w:t>
      </w:r>
    </w:p>
    <w:p>
      <w:pPr>
        <w:ind w:left="3880"/>
        <w:spacing w:after="0"/>
        <w:rPr>
          <w:sz w:val="20"/>
          <w:szCs w:val="20"/>
          <w:color w:val="auto"/>
        </w:rPr>
      </w:pPr>
      <w:r>
        <w:rPr>
          <w:rFonts w:ascii="Arial" w:cs="Arial" w:eastAsia="Arial" w:hAnsi="Arial"/>
          <w:sz w:val="14"/>
          <w:szCs w:val="14"/>
          <w:color w:val="auto"/>
        </w:rPr>
        <w:t>Reporting Person</w:t>
      </w:r>
    </w:p>
    <w:p>
      <w:pPr>
        <w:spacing w:after="0" w:line="200" w:lineRule="exact"/>
        <w:rPr>
          <w:sz w:val="24"/>
          <w:szCs w:val="24"/>
          <w:color w:val="auto"/>
        </w:rPr>
      </w:pPr>
    </w:p>
    <w:p>
      <w:pPr>
        <w:sectPr>
          <w:pgSz w:w="11900" w:h="16838" w:orient="portrait"/>
          <w:cols w:equalWidth="0" w:num="2">
            <w:col w:w="4720" w:space="480"/>
            <w:col w:w="6220"/>
          </w:cols>
          <w:pgMar w:left="240" w:top="226" w:right="239" w:bottom="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Class A Common Stock</w:t>
            </w:r>
          </w:p>
        </w:tc>
        <w:tc>
          <w:tcPr>
            <w:tcW w:w="6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020" w:type="dxa"/>
            <w:vAlign w:val="bottom"/>
          </w:tcPr>
          <w:p>
            <w:pPr>
              <w:jc w:val="right"/>
              <w:ind w:right="875"/>
              <w:spacing w:after="0"/>
              <w:rPr>
                <w:sz w:val="20"/>
                <w:szCs w:val="20"/>
                <w:color w:val="auto"/>
              </w:rPr>
            </w:pPr>
            <w:r>
              <w:rPr>
                <w:rFonts w:ascii="Arial" w:cs="Arial" w:eastAsia="Arial" w:hAnsi="Arial"/>
                <w:sz w:val="18"/>
                <w:szCs w:val="18"/>
                <w:color w:val="0000FF"/>
              </w:rPr>
              <w:t>8,771</w:t>
            </w:r>
          </w:p>
        </w:tc>
        <w:tc>
          <w:tcPr>
            <w:tcW w:w="740" w:type="dxa"/>
            <w:vAlign w:val="bottom"/>
          </w:tcPr>
          <w:p>
            <w:pPr>
              <w:ind w:left="48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2"/>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Class A Common Stock</w:t>
            </w:r>
          </w:p>
        </w:tc>
        <w:tc>
          <w:tcPr>
            <w:tcW w:w="68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2020" w:type="dxa"/>
            <w:vAlign w:val="bottom"/>
          </w:tcPr>
          <w:p>
            <w:pPr>
              <w:jc w:val="right"/>
              <w:ind w:right="835"/>
              <w:spacing w:after="0"/>
              <w:rPr>
                <w:sz w:val="20"/>
                <w:szCs w:val="20"/>
                <w:color w:val="auto"/>
              </w:rPr>
            </w:pPr>
            <w:r>
              <w:rPr>
                <w:rFonts w:ascii="Arial" w:cs="Arial" w:eastAsia="Arial" w:hAnsi="Arial"/>
                <w:sz w:val="18"/>
                <w:szCs w:val="18"/>
                <w:color w:val="0000FF"/>
              </w:rPr>
              <w:t>163.63</w:t>
            </w:r>
          </w:p>
        </w:tc>
        <w:tc>
          <w:tcPr>
            <w:tcW w:w="740" w:type="dxa"/>
            <w:vAlign w:val="bottom"/>
          </w:tcPr>
          <w:p>
            <w:pPr>
              <w:ind w:left="520"/>
              <w:spacing w:after="0"/>
              <w:rPr>
                <w:sz w:val="20"/>
                <w:szCs w:val="20"/>
                <w:color w:val="auto"/>
              </w:rPr>
            </w:pPr>
            <w:r>
              <w:rPr>
                <w:rFonts w:ascii="Arial" w:cs="Arial" w:eastAsia="Arial" w:hAnsi="Arial"/>
                <w:sz w:val="18"/>
                <w:szCs w:val="18"/>
                <w:color w:val="0000FF"/>
              </w:rPr>
              <w:t>I</w:t>
            </w:r>
          </w:p>
        </w:tc>
        <w:tc>
          <w:tcPr>
            <w:tcW w:w="1760" w:type="dxa"/>
            <w:vAlign w:val="bottom"/>
            <w:gridSpan w:val="2"/>
          </w:tcPr>
          <w:p>
            <w:pPr>
              <w:ind w:left="500"/>
              <w:spacing w:after="0"/>
              <w:rPr>
                <w:sz w:val="20"/>
                <w:szCs w:val="20"/>
                <w:color w:val="auto"/>
              </w:rPr>
            </w:pPr>
            <w:r>
              <w:rPr>
                <w:rFonts w:ascii="Arial" w:cs="Arial" w:eastAsia="Arial" w:hAnsi="Arial"/>
                <w:sz w:val="18"/>
                <w:szCs w:val="18"/>
                <w:color w:val="0000FF"/>
              </w:rPr>
              <w:t>By 401(k)</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444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68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20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20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68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2020" w:type="dxa"/>
            <w:vAlign w:val="bottom"/>
          </w:tcPr>
          <w:p>
            <w:pPr>
              <w:spacing w:after="0"/>
              <w:rPr>
                <w:sz w:val="4"/>
                <w:szCs w:val="4"/>
                <w:color w:val="auto"/>
              </w:rPr>
            </w:pPr>
          </w:p>
        </w:tc>
        <w:tc>
          <w:tcPr>
            <w:tcW w:w="74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74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740" w:type="dxa"/>
            <w:vAlign w:val="bottom"/>
          </w:tcPr>
          <w:p>
            <w:pPr>
              <w:ind w:left="12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2020" w:type="dxa"/>
            <w:vAlign w:val="bottom"/>
          </w:tcPr>
          <w:p>
            <w:pPr>
              <w:spacing w:after="0"/>
              <w:rPr>
                <w:sz w:val="12"/>
                <w:szCs w:val="12"/>
                <w:color w:val="auto"/>
              </w:rPr>
            </w:pPr>
          </w:p>
        </w:tc>
        <w:tc>
          <w:tcPr>
            <w:tcW w:w="74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202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740" w:type="dxa"/>
            <w:vAlign w:val="bottom"/>
          </w:tcPr>
          <w:p>
            <w:pPr>
              <w:ind w:left="12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0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Restricted Stock Units (RSUs)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(1)</w:t>
            </w:r>
          </w:p>
        </w:tc>
        <w:tc>
          <w:tcPr>
            <w:tcW w:w="800" w:type="dxa"/>
            <w:vAlign w:val="bottom"/>
          </w:tcPr>
          <w:p>
            <w:pPr>
              <w:jc w:val="center"/>
              <w:spacing w:after="0"/>
              <w:rPr>
                <w:sz w:val="20"/>
                <w:szCs w:val="20"/>
                <w:color w:val="auto"/>
              </w:rPr>
            </w:pPr>
            <w:r>
              <w:rPr>
                <w:rFonts w:ascii="Arial" w:cs="Arial" w:eastAsia="Arial" w:hAnsi="Arial"/>
                <w:sz w:val="11"/>
                <w:szCs w:val="11"/>
                <w:color w:val="008000"/>
                <w:w w:val="88"/>
              </w:rPr>
              <w:t>(1)</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5,662</w:t>
            </w:r>
          </w:p>
        </w:tc>
        <w:tc>
          <w:tcPr>
            <w:tcW w:w="880" w:type="dxa"/>
            <w:vAlign w:val="bottom"/>
          </w:tcPr>
          <w:p>
            <w:pPr>
              <w:jc w:val="center"/>
              <w:spacing w:after="0"/>
              <w:rPr>
                <w:sz w:val="20"/>
                <w:szCs w:val="20"/>
                <w:color w:val="auto"/>
              </w:rPr>
            </w:pPr>
            <w:r>
              <w:rPr>
                <w:rFonts w:ascii="Arial" w:cs="Arial" w:eastAsia="Arial" w:hAnsi="Arial"/>
                <w:sz w:val="11"/>
                <w:szCs w:val="11"/>
                <w:color w:val="008000"/>
                <w:w w:val="88"/>
              </w:rPr>
              <w:t>(2)</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Restricted Stock Units (RSUs)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(3)</w:t>
            </w:r>
          </w:p>
        </w:tc>
        <w:tc>
          <w:tcPr>
            <w:tcW w:w="800" w:type="dxa"/>
            <w:vAlign w:val="bottom"/>
          </w:tcPr>
          <w:p>
            <w:pPr>
              <w:jc w:val="center"/>
              <w:spacing w:after="0"/>
              <w:rPr>
                <w:sz w:val="20"/>
                <w:szCs w:val="20"/>
                <w:color w:val="auto"/>
              </w:rPr>
            </w:pPr>
            <w:r>
              <w:rPr>
                <w:rFonts w:ascii="Arial" w:cs="Arial" w:eastAsia="Arial" w:hAnsi="Arial"/>
                <w:sz w:val="11"/>
                <w:szCs w:val="11"/>
                <w:color w:val="008000"/>
                <w:w w:val="88"/>
              </w:rPr>
              <w:t>(3)</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5,400</w:t>
            </w:r>
          </w:p>
        </w:tc>
        <w:tc>
          <w:tcPr>
            <w:tcW w:w="880" w:type="dxa"/>
            <w:vAlign w:val="bottom"/>
          </w:tcPr>
          <w:p>
            <w:pPr>
              <w:jc w:val="center"/>
              <w:spacing w:after="0"/>
              <w:rPr>
                <w:sz w:val="20"/>
                <w:szCs w:val="20"/>
                <w:color w:val="auto"/>
              </w:rPr>
            </w:pPr>
            <w:r>
              <w:rPr>
                <w:rFonts w:ascii="Arial" w:cs="Arial" w:eastAsia="Arial" w:hAnsi="Arial"/>
                <w:sz w:val="11"/>
                <w:szCs w:val="11"/>
                <w:color w:val="008000"/>
                <w:w w:val="88"/>
              </w:rPr>
              <w:t>(2)</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Restricted Stock Units (RSUs)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(4)</w:t>
            </w:r>
          </w:p>
        </w:tc>
        <w:tc>
          <w:tcPr>
            <w:tcW w:w="800" w:type="dxa"/>
            <w:vAlign w:val="bottom"/>
          </w:tcPr>
          <w:p>
            <w:pPr>
              <w:jc w:val="center"/>
              <w:spacing w:after="0"/>
              <w:rPr>
                <w:sz w:val="20"/>
                <w:szCs w:val="20"/>
                <w:color w:val="auto"/>
              </w:rPr>
            </w:pPr>
            <w:r>
              <w:rPr>
                <w:rFonts w:ascii="Arial" w:cs="Arial" w:eastAsia="Arial" w:hAnsi="Arial"/>
                <w:sz w:val="11"/>
                <w:szCs w:val="11"/>
                <w:color w:val="008000"/>
                <w:w w:val="88"/>
              </w:rPr>
              <w:t>(4)</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93"/>
              </w:rPr>
              <w:t>733</w:t>
            </w:r>
          </w:p>
        </w:tc>
        <w:tc>
          <w:tcPr>
            <w:tcW w:w="880" w:type="dxa"/>
            <w:vAlign w:val="bottom"/>
          </w:tcPr>
          <w:p>
            <w:pPr>
              <w:jc w:val="center"/>
              <w:spacing w:after="0"/>
              <w:rPr>
                <w:sz w:val="20"/>
                <w:szCs w:val="20"/>
                <w:color w:val="auto"/>
              </w:rPr>
            </w:pPr>
            <w:r>
              <w:rPr>
                <w:rFonts w:ascii="Arial" w:cs="Arial" w:eastAsia="Arial" w:hAnsi="Arial"/>
                <w:sz w:val="11"/>
                <w:szCs w:val="11"/>
                <w:color w:val="008000"/>
                <w:w w:val="88"/>
              </w:rPr>
              <w:t>(2)</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Restricted Stock Units (RSUs)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(5)</w:t>
            </w:r>
          </w:p>
        </w:tc>
        <w:tc>
          <w:tcPr>
            <w:tcW w:w="800" w:type="dxa"/>
            <w:vAlign w:val="bottom"/>
          </w:tcPr>
          <w:p>
            <w:pPr>
              <w:jc w:val="center"/>
              <w:spacing w:after="0"/>
              <w:rPr>
                <w:sz w:val="20"/>
                <w:szCs w:val="20"/>
                <w:color w:val="auto"/>
              </w:rPr>
            </w:pPr>
            <w:r>
              <w:rPr>
                <w:rFonts w:ascii="Arial" w:cs="Arial" w:eastAsia="Arial" w:hAnsi="Arial"/>
                <w:sz w:val="11"/>
                <w:szCs w:val="11"/>
                <w:color w:val="008000"/>
                <w:w w:val="88"/>
              </w:rPr>
              <w:t>(5)</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1,700</w:t>
            </w:r>
          </w:p>
        </w:tc>
        <w:tc>
          <w:tcPr>
            <w:tcW w:w="880" w:type="dxa"/>
            <w:vAlign w:val="bottom"/>
          </w:tcPr>
          <w:p>
            <w:pPr>
              <w:jc w:val="center"/>
              <w:spacing w:after="0"/>
              <w:rPr>
                <w:sz w:val="20"/>
                <w:szCs w:val="20"/>
                <w:color w:val="auto"/>
              </w:rPr>
            </w:pPr>
            <w:r>
              <w:rPr>
                <w:rFonts w:ascii="Arial" w:cs="Arial" w:eastAsia="Arial" w:hAnsi="Arial"/>
                <w:sz w:val="11"/>
                <w:szCs w:val="11"/>
                <w:color w:val="008000"/>
                <w:w w:val="88"/>
              </w:rPr>
              <w:t>(2)</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Settled SARs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(6)</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02/15/2023</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7"/>
              </w:rPr>
              <w:t>17,000</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9.06</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Settled SARs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(7)</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02/20/2024</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7"/>
              </w:rPr>
              <w:t>21,000</w:t>
            </w:r>
          </w:p>
        </w:tc>
        <w:tc>
          <w:tcPr>
            <w:tcW w:w="880" w:type="dxa"/>
            <w:vAlign w:val="bottom"/>
          </w:tcPr>
          <w:p>
            <w:pPr>
              <w:jc w:val="center"/>
              <w:spacing w:after="0"/>
              <w:rPr>
                <w:sz w:val="20"/>
                <w:szCs w:val="20"/>
                <w:color w:val="auto"/>
              </w:rPr>
            </w:pPr>
            <w:r>
              <w:rPr>
                <w:rFonts w:ascii="Arial" w:cs="Arial" w:eastAsia="Arial" w:hAnsi="Arial"/>
                <w:sz w:val="18"/>
                <w:szCs w:val="18"/>
                <w:color w:val="0000FF"/>
                <w:w w:val="88"/>
              </w:rPr>
              <w:t>15.23</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Settled SARs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(8)</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02/09/2021</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7"/>
              </w:rPr>
              <w:t>13,200</w:t>
            </w:r>
          </w:p>
        </w:tc>
        <w:tc>
          <w:tcPr>
            <w:tcW w:w="880" w:type="dxa"/>
            <w:vAlign w:val="bottom"/>
          </w:tcPr>
          <w:p>
            <w:pPr>
              <w:jc w:val="center"/>
              <w:spacing w:after="0"/>
              <w:rPr>
                <w:sz w:val="20"/>
                <w:szCs w:val="20"/>
                <w:color w:val="auto"/>
              </w:rPr>
            </w:pPr>
            <w:r>
              <w:rPr>
                <w:rFonts w:ascii="Arial" w:cs="Arial" w:eastAsia="Arial" w:hAnsi="Arial"/>
                <w:sz w:val="18"/>
                <w:szCs w:val="18"/>
                <w:color w:val="0000FF"/>
                <w:w w:val="88"/>
              </w:rPr>
              <w:t>12.75</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Settled SARs</w:t>
            </w:r>
          </w:p>
        </w:tc>
        <w:tc>
          <w:tcPr>
            <w:tcW w:w="1560" w:type="dxa"/>
            <w:vAlign w:val="bottom"/>
            <w:gridSpan w:val="2"/>
          </w:tcPr>
          <w:p>
            <w:pPr>
              <w:jc w:val="center"/>
              <w:ind w:left="617"/>
              <w:spacing w:after="0"/>
              <w:rPr>
                <w:sz w:val="20"/>
                <w:szCs w:val="20"/>
                <w:color w:val="auto"/>
              </w:rPr>
            </w:pPr>
            <w:r>
              <w:rPr>
                <w:rFonts w:ascii="Arial" w:cs="Arial" w:eastAsia="Arial" w:hAnsi="Arial"/>
                <w:sz w:val="11"/>
                <w:szCs w:val="11"/>
                <w:color w:val="008000"/>
                <w:w w:val="88"/>
              </w:rPr>
              <w:t>(9)</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02/14/2022</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7"/>
              </w:rPr>
              <w:t>15,300</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8.88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center"/>
              <w:ind w:left="617"/>
              <w:spacing w:after="0"/>
              <w:rPr>
                <w:sz w:val="20"/>
                <w:szCs w:val="20"/>
                <w:color w:val="auto"/>
              </w:rPr>
            </w:pPr>
            <w:r>
              <w:rPr>
                <w:rFonts w:ascii="Arial" w:cs="Arial" w:eastAsia="Arial" w:hAnsi="Arial"/>
                <w:sz w:val="14"/>
                <w:szCs w:val="14"/>
                <w:color w:val="0000FF"/>
                <w:w w:val="85"/>
              </w:rPr>
              <w:t>02/12/2012</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02/12/2019</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7"/>
              </w:rPr>
              <w:t>23,500</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2.46</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center"/>
              <w:ind w:left="617"/>
              <w:spacing w:after="0"/>
              <w:rPr>
                <w:sz w:val="20"/>
                <w:szCs w:val="20"/>
                <w:color w:val="auto"/>
              </w:rPr>
            </w:pPr>
            <w:r>
              <w:rPr>
                <w:rFonts w:ascii="Arial" w:cs="Arial" w:eastAsia="Arial" w:hAnsi="Arial"/>
                <w:sz w:val="14"/>
                <w:szCs w:val="14"/>
                <w:color w:val="0000FF"/>
                <w:w w:val="85"/>
              </w:rPr>
              <w:t>08/19/2012</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07/20/2015</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2,400</w:t>
            </w:r>
          </w:p>
        </w:tc>
        <w:tc>
          <w:tcPr>
            <w:tcW w:w="880" w:type="dxa"/>
            <w:vAlign w:val="bottom"/>
          </w:tcPr>
          <w:p>
            <w:pPr>
              <w:jc w:val="center"/>
              <w:spacing w:after="0"/>
              <w:rPr>
                <w:sz w:val="20"/>
                <w:szCs w:val="20"/>
                <w:color w:val="auto"/>
              </w:rPr>
            </w:pPr>
            <w:r>
              <w:rPr>
                <w:rFonts w:ascii="Arial" w:cs="Arial" w:eastAsia="Arial" w:hAnsi="Arial"/>
                <w:sz w:val="18"/>
                <w:szCs w:val="18"/>
                <w:color w:val="0000FF"/>
                <w:w w:val="87"/>
              </w:rPr>
              <w:t>7.8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center"/>
              <w:ind w:left="617"/>
              <w:spacing w:after="0"/>
              <w:rPr>
                <w:sz w:val="20"/>
                <w:szCs w:val="20"/>
                <w:color w:val="auto"/>
              </w:rPr>
            </w:pPr>
            <w:r>
              <w:rPr>
                <w:rFonts w:ascii="Arial" w:cs="Arial" w:eastAsia="Arial" w:hAnsi="Arial"/>
                <w:sz w:val="14"/>
                <w:szCs w:val="14"/>
                <w:color w:val="0000FF"/>
                <w:w w:val="85"/>
              </w:rPr>
              <w:t>08/19/2012</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08/09/2016</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2,100</w:t>
            </w:r>
          </w:p>
        </w:tc>
        <w:tc>
          <w:tcPr>
            <w:tcW w:w="880" w:type="dxa"/>
            <w:vAlign w:val="bottom"/>
          </w:tcPr>
          <w:p>
            <w:pPr>
              <w:jc w:val="center"/>
              <w:spacing w:after="0"/>
              <w:rPr>
                <w:sz w:val="20"/>
                <w:szCs w:val="20"/>
                <w:color w:val="auto"/>
              </w:rPr>
            </w:pPr>
            <w:r>
              <w:rPr>
                <w:rFonts w:ascii="Arial" w:cs="Arial" w:eastAsia="Arial" w:hAnsi="Arial"/>
                <w:sz w:val="18"/>
                <w:szCs w:val="18"/>
                <w:color w:val="0000FF"/>
                <w:w w:val="87"/>
              </w:rPr>
              <w:t>7.8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center"/>
              <w:ind w:left="617"/>
              <w:spacing w:after="0"/>
              <w:rPr>
                <w:sz w:val="20"/>
                <w:szCs w:val="20"/>
                <w:color w:val="auto"/>
              </w:rPr>
            </w:pPr>
            <w:r>
              <w:rPr>
                <w:rFonts w:ascii="Arial" w:cs="Arial" w:eastAsia="Arial" w:hAnsi="Arial"/>
                <w:sz w:val="14"/>
                <w:szCs w:val="14"/>
                <w:color w:val="0000FF"/>
                <w:w w:val="85"/>
              </w:rPr>
              <w:t>08/19/2012</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07/31/2017</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3,200</w:t>
            </w:r>
          </w:p>
        </w:tc>
        <w:tc>
          <w:tcPr>
            <w:tcW w:w="880" w:type="dxa"/>
            <w:vAlign w:val="bottom"/>
          </w:tcPr>
          <w:p>
            <w:pPr>
              <w:jc w:val="center"/>
              <w:spacing w:after="0"/>
              <w:rPr>
                <w:sz w:val="20"/>
                <w:szCs w:val="20"/>
                <w:color w:val="auto"/>
              </w:rPr>
            </w:pPr>
            <w:r>
              <w:rPr>
                <w:rFonts w:ascii="Arial" w:cs="Arial" w:eastAsia="Arial" w:hAnsi="Arial"/>
                <w:sz w:val="18"/>
                <w:szCs w:val="18"/>
                <w:color w:val="0000FF"/>
                <w:w w:val="87"/>
              </w:rPr>
              <w:t>7.8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center"/>
              <w:ind w:left="617"/>
              <w:spacing w:after="0"/>
              <w:rPr>
                <w:sz w:val="20"/>
                <w:szCs w:val="20"/>
                <w:color w:val="auto"/>
              </w:rPr>
            </w:pPr>
            <w:r>
              <w:rPr>
                <w:rFonts w:ascii="Arial" w:cs="Arial" w:eastAsia="Arial" w:hAnsi="Arial"/>
                <w:sz w:val="14"/>
                <w:szCs w:val="14"/>
                <w:color w:val="0000FF"/>
                <w:w w:val="85"/>
              </w:rPr>
              <w:t>08/19/2013</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02/13/2018</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8"/>
              </w:rPr>
              <w:t>4,200</w:t>
            </w:r>
          </w:p>
        </w:tc>
        <w:tc>
          <w:tcPr>
            <w:tcW w:w="880" w:type="dxa"/>
            <w:vAlign w:val="bottom"/>
          </w:tcPr>
          <w:p>
            <w:pPr>
              <w:jc w:val="center"/>
              <w:spacing w:after="0"/>
              <w:rPr>
                <w:sz w:val="20"/>
                <w:szCs w:val="20"/>
                <w:color w:val="auto"/>
              </w:rPr>
            </w:pPr>
            <w:r>
              <w:rPr>
                <w:rFonts w:ascii="Arial" w:cs="Arial" w:eastAsia="Arial" w:hAnsi="Arial"/>
                <w:sz w:val="18"/>
                <w:szCs w:val="18"/>
                <w:color w:val="0000FF"/>
                <w:w w:val="87"/>
              </w:rPr>
              <w:t>7.8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156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Stock Options (right to buy)</w:t>
            </w:r>
          </w:p>
        </w:tc>
        <w:tc>
          <w:tcPr>
            <w:tcW w:w="1560" w:type="dxa"/>
            <w:vAlign w:val="bottom"/>
            <w:gridSpan w:val="2"/>
          </w:tcPr>
          <w:p>
            <w:pPr>
              <w:jc w:val="center"/>
              <w:ind w:left="617"/>
              <w:spacing w:after="0"/>
              <w:rPr>
                <w:sz w:val="20"/>
                <w:szCs w:val="20"/>
                <w:color w:val="auto"/>
              </w:rPr>
            </w:pPr>
            <w:r>
              <w:rPr>
                <w:rFonts w:ascii="Arial" w:cs="Arial" w:eastAsia="Arial" w:hAnsi="Arial"/>
                <w:sz w:val="14"/>
                <w:szCs w:val="14"/>
                <w:color w:val="0000FF"/>
                <w:w w:val="85"/>
              </w:rPr>
              <w:t>02/10/2014</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02/10/2020</w:t>
            </w:r>
          </w:p>
        </w:tc>
        <w:tc>
          <w:tcPr>
            <w:tcW w:w="2020" w:type="dxa"/>
            <w:vAlign w:val="bottom"/>
          </w:tcPr>
          <w:p>
            <w:pPr>
              <w:ind w:left="200"/>
              <w:spacing w:after="0"/>
              <w:rPr>
                <w:sz w:val="20"/>
                <w:szCs w:val="20"/>
                <w:color w:val="auto"/>
              </w:rPr>
            </w:pPr>
            <w:r>
              <w:rPr>
                <w:rFonts w:ascii="Arial" w:cs="Arial" w:eastAsia="Arial" w:hAnsi="Arial"/>
                <w:sz w:val="18"/>
                <w:szCs w:val="18"/>
                <w:color w:val="0000FF"/>
                <w:w w:val="94"/>
              </w:rPr>
              <w:t>Class A Common Stock</w:t>
            </w:r>
          </w:p>
        </w:tc>
        <w:tc>
          <w:tcPr>
            <w:tcW w:w="740" w:type="dxa"/>
            <w:vAlign w:val="bottom"/>
          </w:tcPr>
          <w:p>
            <w:pPr>
              <w:jc w:val="center"/>
              <w:spacing w:after="0"/>
              <w:rPr>
                <w:sz w:val="20"/>
                <w:szCs w:val="20"/>
                <w:color w:val="auto"/>
              </w:rPr>
            </w:pPr>
            <w:r>
              <w:rPr>
                <w:rFonts w:ascii="Arial" w:cs="Arial" w:eastAsia="Arial" w:hAnsi="Arial"/>
                <w:sz w:val="18"/>
                <w:szCs w:val="18"/>
                <w:color w:val="0000FF"/>
                <w:w w:val="87"/>
              </w:rPr>
              <w:t>22,000</w:t>
            </w:r>
          </w:p>
        </w:tc>
        <w:tc>
          <w:tcPr>
            <w:tcW w:w="880" w:type="dxa"/>
            <w:vAlign w:val="bottom"/>
          </w:tcPr>
          <w:p>
            <w:pPr>
              <w:jc w:val="center"/>
              <w:spacing w:after="0"/>
              <w:rPr>
                <w:sz w:val="20"/>
                <w:szCs w:val="20"/>
                <w:color w:val="auto"/>
              </w:rPr>
            </w:pPr>
            <w:r>
              <w:rPr>
                <w:rFonts w:ascii="Arial" w:cs="Arial" w:eastAsia="Arial" w:hAnsi="Arial"/>
                <w:sz w:val="18"/>
                <w:szCs w:val="18"/>
                <w:color w:val="0000FF"/>
                <w:w w:val="88"/>
              </w:rPr>
              <w:t>14.18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28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6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Vests and converts to Class A Common Stock in equal annual installments on each of 2/15/2015, 2/15/2016 and 2/15/2017.</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Restricted Stock Units settle in Class A Common Stock on a 1:1 basis.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Vests and converts to Class A Common Stock in equal annual installments on each of 2/20/2015, 2/20/2016, 2/20/2017 and 2/20/2018.</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Vests and converts to Class A Common Stock on 2/9/2015.</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Vests and converts to Class A Common Stock in equal annual installments on each of 2/14/2015 and 2/14/2016.</w:t>
      </w:r>
    </w:p>
    <w:p>
      <w:pPr>
        <w:spacing w:after="0" w:line="41" w:lineRule="exact"/>
        <w:rPr>
          <w:rFonts w:ascii="Arial" w:cs="Arial" w:eastAsia="Arial" w:hAnsi="Arial"/>
          <w:sz w:val="14"/>
          <w:szCs w:val="14"/>
          <w:color w:val="008000"/>
        </w:rPr>
      </w:pPr>
    </w:p>
    <w:p>
      <w:pPr>
        <w:ind w:left="40" w:right="5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Vested one-fourth on 2/15/2014. Remaining award vests in equal annual installments on each of 2/15/2015, 2/15/2016 and 2/15/2017. The vested and unexercised portion of the SARs, if any, shall be automatically exercised if the closing price of the issuer's common stock equals or exceeds a specified "maximum share value" equal to $75.</w:t>
      </w:r>
    </w:p>
    <w:p>
      <w:pPr>
        <w:spacing w:after="0" w:line="30" w:lineRule="exact"/>
        <w:rPr>
          <w:rFonts w:ascii="Arial" w:cs="Arial" w:eastAsia="Arial" w:hAnsi="Arial"/>
          <w:sz w:val="14"/>
          <w:szCs w:val="14"/>
          <w:color w:val="008000"/>
        </w:rPr>
      </w:pPr>
    </w:p>
    <w:p>
      <w:pPr>
        <w:ind w:left="40" w:right="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Vests in equal annual installments on each of 2/20/2015, 2/20/2016, 2/20/2017, and 2/20/18. The vested and unexercised portion of the SARs, if any, shall be automatically exercised if the closing price of the issuer's common stock equals or exceeds a specified "maximum share value" equal to $75.</w:t>
      </w:r>
    </w:p>
    <w:p>
      <w:pPr>
        <w:spacing w:after="0" w:line="30" w:lineRule="exact"/>
        <w:rPr>
          <w:rFonts w:ascii="Arial" w:cs="Arial" w:eastAsia="Arial" w:hAnsi="Arial"/>
          <w:sz w:val="14"/>
          <w:szCs w:val="14"/>
          <w:color w:val="008000"/>
        </w:rPr>
      </w:pPr>
    </w:p>
    <w:p>
      <w:pPr>
        <w:ind w:left="40" w:right="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Vested one-fourth on 2/9/2012, 2/9/2013 and 2/9/2014. Remaining award vests on 2/9/2015. The vested and unexercised portion of the SARs, if any, shall be automatically exercised if the closing price of the issuer's common stock equals or exceeds a specified "maximum share value" equal to $75.</w:t>
      </w:r>
    </w:p>
    <w:p>
      <w:pPr>
        <w:spacing w:after="0" w:line="30" w:lineRule="exact"/>
        <w:rPr>
          <w:rFonts w:ascii="Arial" w:cs="Arial" w:eastAsia="Arial" w:hAnsi="Arial"/>
          <w:sz w:val="14"/>
          <w:szCs w:val="14"/>
          <w:color w:val="008000"/>
        </w:rPr>
      </w:pPr>
    </w:p>
    <w:p>
      <w:pPr>
        <w:ind w:left="40" w:right="7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Vested one-fourth on 2/14/2013 and 2/14/2014. Remaining award vests in equal annual installments on 2/14/2015 and 2/14/2016. The vested and unexercised portion of the SARs, if any, shall be automatically exercised if the closing price of the issuer's common stock equals or exceeds a specified "maximum share value" equal to $75.</w:t>
      </w:r>
    </w:p>
    <w:p>
      <w:pPr>
        <w:sectPr>
          <w:pgSz w:w="11900" w:h="16838" w:orient="portrait"/>
          <w:cols w:equalWidth="0" w:num="1">
            <w:col w:w="11420"/>
          </w:cols>
          <w:pgMar w:left="240" w:top="226" w:right="239" w:bottom="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Remarks:</w:t>
      </w:r>
    </w:p>
    <w:p>
      <w:pPr>
        <w:ind w:left="6820"/>
        <w:spacing w:after="0" w:line="234" w:lineRule="auto"/>
        <w:rPr>
          <w:sz w:val="20"/>
          <w:szCs w:val="20"/>
          <w:color w:val="auto"/>
        </w:rPr>
      </w:pPr>
      <w:r>
        <w:rPr>
          <w:rFonts w:ascii="Arial" w:cs="Arial" w:eastAsia="Arial" w:hAnsi="Arial"/>
          <w:sz w:val="17"/>
          <w:szCs w:val="17"/>
          <w:color w:val="0000FF"/>
        </w:rPr>
        <w:t xml:space="preserve">/s/ Christine A. Ness, by power </w:t>
      </w:r>
      <w:r>
        <w:rPr>
          <w:rFonts w:ascii="Arial" w:cs="Arial" w:eastAsia="Arial" w:hAnsi="Arial"/>
          <w:sz w:val="33"/>
          <w:szCs w:val="33"/>
          <w:color w:val="0000FF"/>
          <w:vertAlign w:val="subscript"/>
        </w:rPr>
        <w:t>02/03/2015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-27940</wp:posOffset>
            </wp:positionV>
            <wp:extent cx="13963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396365" cy="8890"/>
                    </a:xfrm>
                    <a:prstGeom prst="rect">
                      <a:avLst/>
                    </a:prstGeom>
                    <a:noFill/>
                  </pic:spPr>
                </pic:pic>
              </a:graphicData>
            </a:graphic>
          </wp:anchor>
        </w:drawing>
      </w:r>
    </w:p>
    <w:p>
      <w:pPr>
        <w:ind w:left="6820"/>
        <w:spacing w:after="0"/>
        <w:rPr>
          <w:sz w:val="20"/>
          <w:szCs w:val="20"/>
          <w:color w:val="auto"/>
        </w:rPr>
      </w:pPr>
      <w:r>
        <w:rPr>
          <w:rFonts w:ascii="Arial" w:cs="Arial" w:eastAsia="Arial" w:hAnsi="Arial"/>
          <w:sz w:val="18"/>
          <w:szCs w:val="18"/>
          <w:color w:val="0000FF"/>
        </w:rPr>
        <w:t>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4336415</wp:posOffset>
            </wp:positionH>
            <wp:positionV relativeFrom="paragraph">
              <wp:posOffset>-22860</wp:posOffset>
            </wp:positionV>
            <wp:extent cx="4857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485775" cy="8890"/>
                    </a:xfrm>
                    <a:prstGeom prst="rect">
                      <a:avLst/>
                    </a:prstGeom>
                    <a:noFill/>
                  </pic:spPr>
                </pic:pic>
              </a:graphicData>
            </a:graphic>
          </wp:anchor>
        </w:drawing>
        <w:drawing>
          <wp:anchor simplePos="0" relativeHeight="251657728" behindDoc="1" locked="0" layoutInCell="0" allowOverlap="1">
            <wp:simplePos x="0" y="0"/>
            <wp:positionH relativeFrom="column">
              <wp:posOffset>5785485</wp:posOffset>
            </wp:positionH>
            <wp:positionV relativeFrom="paragraph">
              <wp:posOffset>-91440</wp:posOffset>
            </wp:positionV>
            <wp:extent cx="5080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0"/>
          <w:szCs w:val="20"/>
          <w:color w:val="auto"/>
        </w:rPr>
      </w:pPr>
    </w:p>
    <w:p>
      <w:pPr>
        <w:ind w:left="6820"/>
        <w:spacing w:after="0"/>
        <w:tabs>
          <w:tab w:leader="none" w:pos="910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0"/>
          <w:szCs w:val="20"/>
          <w:color w:val="auto"/>
        </w:rPr>
      </w:pPr>
    </w:p>
    <w:p>
      <w:pPr>
        <w:jc w:val="both"/>
        <w:ind w:right="2520" w:firstLine="9"/>
        <w:spacing w:after="0" w:line="350" w:lineRule="auto"/>
        <w:tabs>
          <w:tab w:leader="none" w:pos="14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320"/>
          </w:cols>
          <w:pgMar w:left="280" w:top="121" w:right="1299" w:bottom="1440" w:gutter="0" w:footer="0" w:header="0"/>
        </w:sectPr>
      </w:pPr>
    </w:p>
    <w:bookmarkStart w:id="2" w:name="page3"/>
    <w:bookmarkEnd w:id="2"/>
    <w:p>
      <w:pPr>
        <w:ind w:left="6020"/>
        <w:spacing w:after="0"/>
        <w:rPr>
          <w:sz w:val="20"/>
          <w:szCs w:val="20"/>
          <w:color w:val="auto"/>
        </w:rPr>
      </w:pPr>
      <w:r>
        <w:rPr>
          <w:rFonts w:ascii="Courier New" w:cs="Courier New" w:eastAsia="Courier New" w:hAnsi="Courier New"/>
          <w:sz w:val="18"/>
          <w:szCs w:val="18"/>
          <w:color w:val="auto"/>
        </w:rPr>
        <w:t>SECTION 16</w:t>
      </w:r>
    </w:p>
    <w:p>
      <w:pPr>
        <w:ind w:left="5700"/>
        <w:spacing w:after="0" w:line="238" w:lineRule="auto"/>
        <w:rPr>
          <w:sz w:val="20"/>
          <w:szCs w:val="20"/>
          <w:color w:val="auto"/>
        </w:rPr>
      </w:pPr>
      <w:r>
        <w:rPr>
          <w:rFonts w:ascii="Courier New" w:cs="Courier New" w:eastAsia="Courier New" w:hAnsi="Courier New"/>
          <w:sz w:val="18"/>
          <w:szCs w:val="18"/>
          <w:color w:val="auto"/>
        </w:rPr>
        <w:t>POWER OF ATTORNEY</w:t>
      </w:r>
    </w:p>
    <w:p>
      <w:pPr>
        <w:spacing w:after="0" w:line="200" w:lineRule="exact"/>
        <w:rPr>
          <w:sz w:val="20"/>
          <w:szCs w:val="20"/>
          <w:color w:val="auto"/>
        </w:rPr>
      </w:pPr>
    </w:p>
    <w:p>
      <w:pPr>
        <w:spacing w:after="0" w:line="210" w:lineRule="exact"/>
        <w:rPr>
          <w:sz w:val="20"/>
          <w:szCs w:val="20"/>
          <w:color w:val="auto"/>
        </w:rPr>
      </w:pPr>
    </w:p>
    <w:p>
      <w:pPr>
        <w:ind w:right="1879" w:firstLine="843"/>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Michael J. McCullough and Christine A. Ness, signing singly, the undersigned's true and lawful attorney-in-fact to:</w:t>
      </w:r>
    </w:p>
    <w:p>
      <w:pPr>
        <w:spacing w:after="0" w:line="200" w:lineRule="exact"/>
        <w:rPr>
          <w:sz w:val="20"/>
          <w:szCs w:val="20"/>
          <w:color w:val="auto"/>
        </w:rPr>
      </w:pPr>
    </w:p>
    <w:p>
      <w:pPr>
        <w:spacing w:after="0" w:line="211" w:lineRule="exact"/>
        <w:rPr>
          <w:sz w:val="20"/>
          <w:szCs w:val="20"/>
          <w:color w:val="auto"/>
        </w:rPr>
      </w:pPr>
    </w:p>
    <w:p>
      <w:pPr>
        <w:ind w:right="1779" w:firstLine="851"/>
        <w:spacing w:after="0" w:line="237" w:lineRule="auto"/>
        <w:tabs>
          <w:tab w:leader="none" w:pos="1264"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Genworth Financial, Inc. (the "Company"), Forms 3, 4, and 5 in accordance with Section 16(a) of the Securities Exchange Act of 1934 and the rules thereunder;</w:t>
      </w:r>
    </w:p>
    <w:p>
      <w:pPr>
        <w:spacing w:after="0" w:line="200" w:lineRule="exact"/>
        <w:rPr>
          <w:rFonts w:ascii="Courier New" w:cs="Courier New" w:eastAsia="Courier New" w:hAnsi="Courier New"/>
          <w:sz w:val="18"/>
          <w:szCs w:val="18"/>
          <w:color w:val="auto"/>
        </w:rPr>
      </w:pPr>
    </w:p>
    <w:p>
      <w:pPr>
        <w:spacing w:after="0" w:line="210" w:lineRule="exact"/>
        <w:rPr>
          <w:rFonts w:ascii="Courier New" w:cs="Courier New" w:eastAsia="Courier New" w:hAnsi="Courier New"/>
          <w:sz w:val="18"/>
          <w:szCs w:val="18"/>
          <w:color w:val="auto"/>
        </w:rPr>
      </w:pPr>
    </w:p>
    <w:p>
      <w:pPr>
        <w:ind w:right="1159" w:firstLine="851"/>
        <w:spacing w:after="0" w:line="268" w:lineRule="auto"/>
        <w:tabs>
          <w:tab w:leader="none" w:pos="1264"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which may be necessary or desirable to complete and execute any such Form 3, 4, or 5</w:t>
      </w:r>
    </w:p>
    <w:p>
      <w:pPr>
        <w:ind w:right="209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and timely file such form with the Securities and Exchange Commission and any stock exchange or similar authority; and</w:t>
      </w:r>
    </w:p>
    <w:p>
      <w:pPr>
        <w:spacing w:after="0" w:line="200" w:lineRule="exact"/>
        <w:rPr>
          <w:rFonts w:ascii="Courier New" w:cs="Courier New" w:eastAsia="Courier New" w:hAnsi="Courier New"/>
          <w:sz w:val="16"/>
          <w:szCs w:val="16"/>
          <w:color w:val="auto"/>
        </w:rPr>
      </w:pPr>
    </w:p>
    <w:p>
      <w:pPr>
        <w:spacing w:after="0" w:line="210" w:lineRule="exact"/>
        <w:rPr>
          <w:rFonts w:ascii="Courier New" w:cs="Courier New" w:eastAsia="Courier New" w:hAnsi="Courier New"/>
          <w:sz w:val="16"/>
          <w:szCs w:val="16"/>
          <w:color w:val="auto"/>
        </w:rPr>
      </w:pPr>
    </w:p>
    <w:p>
      <w:pPr>
        <w:ind w:right="1779" w:firstLine="851"/>
        <w:spacing w:after="0" w:line="237" w:lineRule="auto"/>
        <w:tabs>
          <w:tab w:leader="none" w:pos="1264"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spacing w:after="0" w:line="214" w:lineRule="exact"/>
        <w:rPr>
          <w:sz w:val="20"/>
          <w:szCs w:val="20"/>
          <w:color w:val="auto"/>
        </w:rPr>
      </w:pPr>
    </w:p>
    <w:p>
      <w:pPr>
        <w:ind w:right="1579" w:firstLine="843"/>
        <w:spacing w:after="0" w:line="27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4"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200" w:lineRule="exact"/>
        <w:rPr>
          <w:sz w:val="20"/>
          <w:szCs w:val="20"/>
          <w:color w:val="auto"/>
        </w:rPr>
      </w:pPr>
    </w:p>
    <w:p>
      <w:pPr>
        <w:spacing w:after="0" w:line="21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without notice for an individual attorney-in-fact upon that person's termination of employment with the Company and any affiliate thereof or by the undersigned in a signed writing delivered to the Company. In affixing his or her signature to this Power of Attorney, the undersigned hereby revokes any and all previously executed Powers of Attorney for the same or similar purposes.</w:t>
      </w:r>
    </w:p>
    <w:p>
      <w:pPr>
        <w:spacing w:after="0" w:line="200" w:lineRule="exact"/>
        <w:rPr>
          <w:sz w:val="20"/>
          <w:szCs w:val="20"/>
          <w:color w:val="auto"/>
        </w:rPr>
      </w:pPr>
    </w:p>
    <w:p>
      <w:pPr>
        <w:spacing w:after="0" w:line="216"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27th day of January, 2015.</w:t>
      </w:r>
    </w:p>
    <w:p>
      <w:pPr>
        <w:spacing w:after="0" w:line="200" w:lineRule="exact"/>
        <w:rPr>
          <w:sz w:val="20"/>
          <w:szCs w:val="20"/>
          <w:color w:val="auto"/>
        </w:rPr>
      </w:pPr>
    </w:p>
    <w:p>
      <w:pPr>
        <w:spacing w:after="0" w:line="205" w:lineRule="exact"/>
        <w:rPr>
          <w:sz w:val="20"/>
          <w:szCs w:val="20"/>
          <w:color w:val="auto"/>
        </w:rPr>
      </w:pPr>
    </w:p>
    <w:p>
      <w:pPr>
        <w:jc w:val="center"/>
        <w:ind w:right="-320"/>
        <w:spacing w:after="0"/>
        <w:rPr>
          <w:sz w:val="20"/>
          <w:szCs w:val="20"/>
          <w:color w:val="auto"/>
        </w:rPr>
      </w:pPr>
      <w:r>
        <w:rPr>
          <w:rFonts w:ascii="Courier New" w:cs="Courier New" w:eastAsia="Courier New" w:hAnsi="Courier New"/>
          <w:sz w:val="18"/>
          <w:szCs w:val="18"/>
          <w:color w:val="auto"/>
        </w:rPr>
        <w:t>/s/ Ward E. Bobitz</w:t>
      </w:r>
    </w:p>
    <w:p>
      <w:pPr>
        <w:jc w:val="center"/>
        <w:ind w:right="-320"/>
        <w:spacing w:after="0" w:line="238" w:lineRule="auto"/>
        <w:rPr>
          <w:sz w:val="20"/>
          <w:szCs w:val="20"/>
          <w:color w:val="auto"/>
        </w:rPr>
      </w:pPr>
      <w:r>
        <w:rPr>
          <w:rFonts w:ascii="Courier New" w:cs="Courier New" w:eastAsia="Courier New" w:hAnsi="Courier New"/>
          <w:sz w:val="18"/>
          <w:szCs w:val="18"/>
          <w:color w:val="auto"/>
        </w:rPr>
        <w:t>Ward E. Bobitz</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1" Type="http://schemas.openxmlformats.org/officeDocument/2006/relationships/hyperlink" Target="http://www.sec.gov/cgi-bin/browse-edgar?action=getcompany&amp;CIK=0001632018" TargetMode="External"/><Relationship Id="rId12"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2020-01-22T05:46:43Z</dcterms:created>
  <dcterms:modified xsi:type="dcterms:W3CDTF">2020-01-22T05:46:43Z</dcterms:modified>
</cp:coreProperties>
</file>