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5" w:lineRule="exact"/>
        <w:rPr>
          <w:sz w:val="24"/>
          <w:szCs w:val="24"/>
          <w:color w:val="auto"/>
        </w:rPr>
      </w:pPr>
    </w:p>
    <w:p>
      <w:pPr>
        <w:ind w:left="360"/>
        <w:spacing w:after="0" w:line="23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35560</wp:posOffset>
            </wp:positionH>
            <wp:positionV relativeFrom="paragraph">
              <wp:posOffset>-234950</wp:posOffset>
            </wp:positionV>
            <wp:extent cx="132080" cy="132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55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6"/>
        </w:trPr>
        <w:tc>
          <w:tcPr>
            <w:tcW w:w="6480" w:type="dxa"/>
            <w:vAlign w:val="bottom"/>
          </w:tcPr>
          <w:p>
            <w:pPr>
              <w:jc w:val="center"/>
              <w:ind w:right="29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8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80" w:type="dxa"/>
            <w:vAlign w:val="bottom"/>
            <w:vMerge w:val="restart"/>
          </w:tcPr>
          <w:p>
            <w:pPr>
              <w:jc w:val="center"/>
              <w:ind w:right="275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64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"/>
        </w:trPr>
        <w:tc>
          <w:tcPr>
            <w:tcW w:w="64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80" w:type="dxa"/>
            <w:vAlign w:val="bottom"/>
            <w:vMerge w:val="restart"/>
          </w:tcPr>
          <w:p>
            <w:pPr>
              <w:jc w:val="center"/>
              <w:ind w:right="275"/>
              <w:spacing w:after="0" w:line="1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8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64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640" w:type="dxa"/>
            <w:vAlign w:val="bottom"/>
            <w:vMerge w:val="restart"/>
          </w:tcPr>
          <w:p>
            <w:pPr>
              <w:jc w:val="right"/>
              <w:ind w:right="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4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64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6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6"/>
              </w:rPr>
              <w:t>Estimated average burden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6480" w:type="dxa"/>
            <w:vAlign w:val="bottom"/>
            <w:vMerge w:val="restart"/>
          </w:tcPr>
          <w:p>
            <w:pPr>
              <w:jc w:val="center"/>
              <w:ind w:right="27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640" w:type="dxa"/>
            <w:vAlign w:val="bottom"/>
          </w:tcPr>
          <w:p>
            <w:pPr>
              <w:jc w:val="right"/>
              <w:ind w:right="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4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5435600</wp:posOffset>
            </wp:positionH>
            <wp:positionV relativeFrom="paragraph">
              <wp:posOffset>-631825</wp:posOffset>
            </wp:positionV>
            <wp:extent cx="58420" cy="6451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645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4097655</wp:posOffset>
            </wp:positionH>
            <wp:positionV relativeFrom="paragraph">
              <wp:posOffset>-631825</wp:posOffset>
            </wp:positionV>
            <wp:extent cx="58420" cy="64516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645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-1749425</wp:posOffset>
            </wp:positionH>
            <wp:positionV relativeFrom="paragraph">
              <wp:posOffset>16510</wp:posOffset>
            </wp:positionV>
            <wp:extent cx="7325360" cy="43618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5360" cy="436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80" w:space="460"/>
            <w:col w:w="8780"/>
          </w:cols>
          <w:pgMar w:left="240" w:top="222" w:right="139" w:bottom="1440" w:gutter="0" w:footer="0" w:header="0"/>
        </w:sect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1"/>
        </w:trPr>
        <w:tc>
          <w:tcPr>
            <w:tcW w:w="25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1"/>
                <w:szCs w:val="21"/>
                <w:color w:val="auto"/>
                <w:vertAlign w:val="superscript"/>
              </w:rPr>
              <w:t>*</w:t>
            </w: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00" w:type="dxa"/>
            <w:vAlign w:val="bottom"/>
            <w:gridSpan w:val="3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1"/>
                <w:szCs w:val="21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>MOLONEY THOMAS E</w:t>
              </w:r>
            </w:hyperlink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920" w:type="dxa"/>
            <w:vAlign w:val="bottom"/>
            <w:gridSpan w:val="2"/>
          </w:tcPr>
          <w:p>
            <w:pPr>
              <w:spacing w:after="0" w:line="182" w:lineRule="exact"/>
              <w:rPr>
                <w:rFonts w:ascii="Arial" w:cs="Arial" w:eastAsia="Arial" w:hAnsi="Arial"/>
                <w:sz w:val="21"/>
                <w:szCs w:val="21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 xml:space="preserve">GENWORTH FINANCIAL INC </w:t>
              </w:r>
            </w:hyperlink>
            <w:r>
              <w:rPr>
                <w:rFonts w:ascii="Arial" w:cs="Arial" w:eastAsia="Arial" w:hAnsi="Arial"/>
                <w:sz w:val="21"/>
                <w:szCs w:val="21"/>
                <w:color w:val="000000"/>
              </w:rPr>
              <w:t>[</w:t>
            </w:r>
            <w:r>
              <w:rPr>
                <w:rFonts w:ascii="Arial" w:cs="Arial" w:eastAsia="Arial" w:hAnsi="Arial"/>
                <w:sz w:val="21"/>
                <w:szCs w:val="21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6"/>
                <w:szCs w:val="16"/>
                <w:color w:val="0000FF"/>
              </w:rPr>
              <w:t>GNW</w:t>
            </w:r>
            <w:r>
              <w:rPr>
                <w:rFonts w:ascii="Arial" w:cs="Arial" w:eastAsia="Arial" w:hAnsi="Arial"/>
                <w:sz w:val="21"/>
                <w:szCs w:val="21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21"/>
                <w:szCs w:val="21"/>
                <w:color w:val="000000"/>
              </w:rPr>
              <w:t>]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0000EE"/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top w:val="single" w:sz="8" w:color="0000EE"/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1700" w:type="dxa"/>
            <w:vAlign w:val="bottom"/>
            <w:gridSpan w:val="2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2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9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780" w:type="dxa"/>
            <w:vAlign w:val="bottom"/>
            <w:gridSpan w:val="4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C/O GENWORTH FINANCIAL, INC.</w:t>
            </w:r>
          </w:p>
        </w:tc>
        <w:tc>
          <w:tcPr>
            <w:tcW w:w="2920" w:type="dxa"/>
            <w:vAlign w:val="bottom"/>
            <w:gridSpan w:val="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09/30/2015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7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5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6620 WEST BROAD STREET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65" w:lineRule="exact"/>
        <w:rPr>
          <w:sz w:val="20"/>
          <w:szCs w:val="20"/>
          <w:color w:val="auto"/>
        </w:rPr>
      </w:pPr>
    </w:p>
    <w:p>
      <w:pPr>
        <w:ind w:left="-2" w:right="740" w:firstLine="2"/>
        <w:spacing w:after="0" w:line="239" w:lineRule="auto"/>
        <w:tabs>
          <w:tab w:leader="none" w:pos="142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ind w:left="198"/>
        <w:spacing w:after="0"/>
        <w:tabs>
          <w:tab w:leader="none" w:pos="517" w:val="left"/>
          <w:tab w:leader="none" w:pos="2157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10% Owner</w:t>
      </w:r>
    </w:p>
    <w:p>
      <w:pPr>
        <w:spacing w:after="0" w:line="106" w:lineRule="exact"/>
        <w:rPr>
          <w:sz w:val="20"/>
          <w:szCs w:val="20"/>
          <w:color w:val="auto"/>
        </w:rPr>
      </w:pPr>
    </w:p>
    <w:p>
      <w:pPr>
        <w:jc w:val="right"/>
        <w:ind w:right="480"/>
        <w:spacing w:after="0"/>
        <w:tabs>
          <w:tab w:leader="none" w:pos="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Officer (give title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Other (specify</w:t>
      </w:r>
    </w:p>
    <w:p>
      <w:pPr>
        <w:ind w:left="538"/>
        <w:spacing w:after="0"/>
        <w:tabs>
          <w:tab w:leader="none" w:pos="2157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below)</w:t>
      </w:r>
    </w:p>
    <w:p>
      <w:pPr>
        <w:spacing w:after="0" w:line="566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7980" w:space="62"/>
            <w:col w:w="3478"/>
          </w:cols>
          <w:pgMar w:left="240" w:top="222" w:right="13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760" w:type="dxa"/>
            <w:vAlign w:val="bottom"/>
            <w:gridSpan w:val="7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4. If Amendment, Date of Original Filed (Month/Day/Year)</w:t>
            </w:r>
          </w:p>
        </w:tc>
        <w:tc>
          <w:tcPr>
            <w:tcW w:w="3860" w:type="dxa"/>
            <w:vAlign w:val="bottom"/>
            <w:gridSpan w:val="9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60" w:type="dxa"/>
            <w:vAlign w:val="bottom"/>
            <w:gridSpan w:val="9"/>
            <w:vMerge w:val="restart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RICHMOND</w:t>
            </w:r>
          </w:p>
        </w:tc>
        <w:tc>
          <w:tcPr>
            <w:tcW w:w="122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VA</w:t>
            </w:r>
          </w:p>
        </w:tc>
        <w:tc>
          <w:tcPr>
            <w:tcW w:w="11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23230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86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80" w:type="dxa"/>
            <w:vAlign w:val="bottom"/>
            <w:gridSpan w:val="7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8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9A9A9A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1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top w:val="single" w:sz="8" w:color="2C2C2C"/>
            </w:tcBorders>
            <w:gridSpan w:val="13"/>
          </w:tcPr>
          <w:p>
            <w:pPr>
              <w:jc w:val="center"/>
              <w:ind w:left="69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9"/>
              </w:rPr>
              <w:t>Table I - Non-Derivative Securities Acquired, Disposed of, or Beneficially Owned</w:t>
            </w:r>
          </w:p>
        </w:tc>
        <w:tc>
          <w:tcPr>
            <w:tcW w:w="5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56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40" w:type="dxa"/>
            <w:vAlign w:val="bottom"/>
            <w:gridSpan w:val="3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180" w:type="dxa"/>
            <w:vAlign w:val="bottom"/>
            <w:gridSpan w:val="4"/>
          </w:tcPr>
          <w:p>
            <w:pPr>
              <w:jc w:val="center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4. Securities Acquired (A) or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 of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gridSpan w:val="3"/>
          </w:tcPr>
          <w:p>
            <w:pPr>
              <w:ind w:left="92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8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Execution Date,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20" w:type="dxa"/>
            <w:vAlign w:val="bottom"/>
            <w:gridSpan w:val="5"/>
          </w:tcPr>
          <w:p>
            <w:pPr>
              <w:ind w:left="6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  Disposed Of (D) (Instr. 3, 4 and 5)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gridSpan w:val="3"/>
          </w:tcPr>
          <w:p>
            <w:pPr>
              <w:ind w:left="9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6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Beneficially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40" w:type="dxa"/>
            <w:vAlign w:val="bottom"/>
            <w:gridSpan w:val="4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gridSpan w:val="3"/>
            <w:vMerge w:val="restart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80" w:type="dxa"/>
            <w:vAlign w:val="bottom"/>
          </w:tcPr>
          <w:p>
            <w:pPr>
              <w:ind w:left="3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(A) or</w:t>
            </w:r>
          </w:p>
        </w:tc>
        <w:tc>
          <w:tcPr>
            <w:tcW w:w="780" w:type="dxa"/>
            <w:vAlign w:val="bottom"/>
            <w:gridSpan w:val="2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580" w:type="dxa"/>
            <w:vAlign w:val="bottom"/>
            <w:tcBorders>
              <w:top w:val="single" w:sz="8" w:color="2C2C2C"/>
            </w:tcBorders>
            <w:gridSpan w:val="12"/>
          </w:tcPr>
          <w:p>
            <w:pPr>
              <w:jc w:val="right"/>
              <w:ind w:right="30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5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60" w:type="dxa"/>
            <w:vAlign w:val="bottom"/>
            <w:gridSpan w:val="11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 of</w:t>
            </w:r>
          </w:p>
        </w:tc>
        <w:tc>
          <w:tcPr>
            <w:tcW w:w="148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46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 Amount of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660" w:type="dxa"/>
            <w:vAlign w:val="bottom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460" w:type="dxa"/>
            <w:vAlign w:val="bottom"/>
            <w:gridSpan w:val="3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 Underlying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00" w:type="dxa"/>
            <w:vAlign w:val="bottom"/>
            <w:gridSpan w:val="4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  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660" w:type="dxa"/>
            <w:vAlign w:val="bottom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460" w:type="dxa"/>
            <w:vAlign w:val="bottom"/>
            <w:gridSpan w:val="3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ind w:left="1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22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 (A)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60" w:type="dxa"/>
            <w:vAlign w:val="bottom"/>
            <w:gridSpan w:val="3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Direct (D)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ind w:left="1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Disposed of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1"/>
              </w:rPr>
              <w:t>or Indirect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ind w:left="1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(Instr. 3, 4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1500" w:type="dxa"/>
            <w:vAlign w:val="bottom"/>
            <w:gridSpan w:val="4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Reported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  <w:vMerge w:val="restart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or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 of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6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3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Deferred</w:t>
            </w:r>
          </w:p>
        </w:tc>
        <w:tc>
          <w:tcPr>
            <w:tcW w:w="64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jc w:val="right"/>
              <w:ind w:right="26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680" w:type="dxa"/>
            <w:vAlign w:val="bottom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89"/>
              </w:rPr>
              <w:t>Class A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5"/>
              </w:rPr>
              <w:t>7,017.187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jc w:val="right"/>
              <w:ind w:right="30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right"/>
              <w:ind w:right="175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09/30/2015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18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660" w:type="dxa"/>
            <w:vAlign w:val="bottom"/>
          </w:tcPr>
          <w:p>
            <w:pPr>
              <w:ind w:left="4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7,017.187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18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78,611.6</w:t>
            </w:r>
          </w:p>
        </w:tc>
        <w:tc>
          <w:tcPr>
            <w:tcW w:w="640" w:type="dxa"/>
            <w:vAlign w:val="bottom"/>
          </w:tcPr>
          <w:p>
            <w:pPr>
              <w:ind w:left="34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Units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2"/>
              </w:rPr>
              <w:t>Stock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8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3" w:lineRule="exact"/>
        <w:rPr>
          <w:sz w:val="20"/>
          <w:szCs w:val="20"/>
          <w:color w:val="auto"/>
        </w:rPr>
      </w:pPr>
    </w:p>
    <w:p>
      <w:pPr>
        <w:ind w:left="40" w:right="460" w:firstLine="3"/>
        <w:spacing w:after="0" w:line="252" w:lineRule="auto"/>
        <w:tabs>
          <w:tab w:leader="none" w:pos="17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Deferred Stock Units become payable in shares of Class A Common Stock beginning one year after termination of service as a director. The Reporting Person has previously elected to receive such amount in a single payment or in payments spread out for up to 10 years.</w:t>
      </w:r>
    </w:p>
    <w:p>
      <w:pPr>
        <w:spacing w:after="0" w:line="24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7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The number of Deferred Stock Units acquired represents a portion of the Reporting Person's annual retainer fee and was based on a price of $4.9165 per share of Class A Common Stock.</w:t>
      </w:r>
    </w:p>
    <w:p>
      <w:pPr>
        <w:sectPr>
          <w:pgSz w:w="11900" w:h="16838" w:orient="portrait"/>
          <w:cols w:equalWidth="0" w:num="1">
            <w:col w:w="11520"/>
          </w:cols>
          <w:pgMar w:left="240" w:top="222" w:right="139" w:bottom="1440" w:gutter="0" w:footer="0" w:header="0"/>
          <w:type w:val="continuous"/>
        </w:sectPr>
      </w:pP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38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/s/ David F. Kurzawa, by power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4355465</wp:posOffset>
            </wp:positionH>
            <wp:positionV relativeFrom="paragraph">
              <wp:posOffset>3175</wp:posOffset>
            </wp:positionV>
            <wp:extent cx="1365885" cy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of attorney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4355465</wp:posOffset>
            </wp:positionH>
            <wp:positionV relativeFrom="paragraph">
              <wp:posOffset>-14605</wp:posOffset>
            </wp:positionV>
            <wp:extent cx="467995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6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10/01/2015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3175</wp:posOffset>
            </wp:positionV>
            <wp:extent cx="488950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8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46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9000" w:space="140"/>
            <w:col w:w="2380"/>
          </w:cols>
          <w:pgMar w:left="240" w:top="222" w:right="1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46" w:lineRule="exact"/>
        <w:rPr>
          <w:sz w:val="20"/>
          <w:szCs w:val="20"/>
          <w:color w:val="auto"/>
        </w:rPr>
      </w:pPr>
    </w:p>
    <w:p>
      <w:pPr>
        <w:jc w:val="both"/>
        <w:ind w:left="40" w:right="3980" w:firstLine="3"/>
        <w:spacing w:after="0" w:line="337" w:lineRule="auto"/>
        <w:tabs>
          <w:tab w:leader="none" w:pos="177" w:val="left"/>
        </w:tabs>
        <w:numPr>
          <w:ilvl w:val="0"/>
          <w:numId w:val="3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20"/>
      </w:cols>
      <w:pgMar w:left="240" w:top="222" w:right="1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109101" TargetMode="External"/><Relationship Id="rId13" Type="http://schemas.openxmlformats.org/officeDocument/2006/relationships/hyperlink" Target="http://www.sec.gov/cgi-bin/browse-edgar?action=getcompany&amp;CIK=0001276520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2020-01-22T10:26:14Z</dcterms:created>
  <dcterms:modified xsi:type="dcterms:W3CDTF">2020-01-22T10:26:14Z</dcterms:modified>
</cp:coreProperties>
</file>