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480" w:type="dxa"/>
            <w:vAlign w:val="bottom"/>
          </w:tcPr>
          <w:p>
            <w:pPr>
              <w:jc w:val="center"/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Estimated average burden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5435600</wp:posOffset>
            </wp:positionH>
            <wp:positionV relativeFrom="paragraph">
              <wp:posOffset>-631825</wp:posOffset>
            </wp:positionV>
            <wp:extent cx="58420" cy="645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4097655</wp:posOffset>
            </wp:positionH>
            <wp:positionV relativeFrom="paragraph">
              <wp:posOffset>-631825</wp:posOffset>
            </wp:positionV>
            <wp:extent cx="58420" cy="645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-1749425</wp:posOffset>
            </wp:positionH>
            <wp:positionV relativeFrom="paragraph">
              <wp:posOffset>16510</wp:posOffset>
            </wp:positionV>
            <wp:extent cx="7325360" cy="43618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436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460"/>
            <w:col w:w="8780"/>
          </w:cols>
          <w:pgMar w:left="240" w:top="222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MEAD CHRISTINE B</w:t>
              </w:r>
            </w:hyperlink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 w:line="182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29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12/31/2014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-2" w:right="740" w:firstLine="2"/>
        <w:spacing w:after="0" w:line="239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8"/>
        <w:spacing w:after="0"/>
        <w:tabs>
          <w:tab w:leader="none" w:pos="517" w:val="left"/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jc w:val="right"/>
        <w:ind w:right="48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38"/>
        <w:spacing w:after="0"/>
        <w:tabs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6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62"/>
            <w:col w:w="3478"/>
          </w:cols>
          <w:pgMar w:left="240" w:top="222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60" w:type="dxa"/>
            <w:vAlign w:val="bottom"/>
            <w:gridSpan w:val="7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860" w:type="dxa"/>
            <w:vAlign w:val="bottom"/>
            <w:gridSpan w:val="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6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  <w:gridSpan w:val="5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58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gridSpan w:val="11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Direct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>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Deferred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4,149.378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175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12/31/2014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4,149.378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2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62,558.207</w:t>
            </w:r>
          </w:p>
        </w:tc>
        <w:tc>
          <w:tcPr>
            <w:tcW w:w="640" w:type="dxa"/>
            <w:vAlign w:val="bottom"/>
          </w:tcPr>
          <w:p>
            <w:pPr>
              <w:ind w:left="3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40" w:right="460" w:firstLine="3"/>
        <w:spacing w:after="0" w:line="252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Deferred Stock Units become payable in shares of Class A Common Stock beginning one year after termination of service as a director. The Reporting Person has previously elected to receive such amount in a single payment or in payments spread out for up to 10 years.</w:t>
      </w:r>
    </w:p>
    <w:p>
      <w:pPr>
        <w:spacing w:after="0" w:line="24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number of Deferred Stock Units acquired represents a portion of the Reporting Person's annual retainer fee and was based on a price of $8.3145 per share of Class A Common Stock.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0"/>
              </w:rPr>
              <w:t>/s/Christine A. Ness, by power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01/05/2015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740" w:type="dxa"/>
            <w:vAlign w:val="bottom"/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of attorney</w:t>
            </w:r>
          </w:p>
        </w:tc>
        <w:tc>
          <w:tcPr>
            <w:tcW w:w="1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7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2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40" w:right="3980" w:firstLine="3"/>
        <w:spacing w:after="0" w:line="337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2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05171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2020-01-22T05:35:05Z</dcterms:created>
  <dcterms:modified xsi:type="dcterms:W3CDTF">2020-01-22T05:35:05Z</dcterms:modified>
</cp:coreProperties>
</file>