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4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5399405</wp:posOffset>
            </wp:positionH>
            <wp:positionV relativeFrom="paragraph">
              <wp:posOffset>-623570</wp:posOffset>
            </wp:positionV>
            <wp:extent cx="57785" cy="636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4062730</wp:posOffset>
            </wp:positionH>
            <wp:positionV relativeFrom="paragraph">
              <wp:posOffset>-623570</wp:posOffset>
            </wp:positionV>
            <wp:extent cx="57785" cy="636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-1788160</wp:posOffset>
            </wp:positionH>
            <wp:positionV relativeFrom="paragraph">
              <wp:posOffset>15240</wp:posOffset>
            </wp:positionV>
            <wp:extent cx="7325995" cy="4304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560"/>
            <w:col w:w="8720"/>
          </w:cols>
          <w:pgMar w:left="240" w:top="221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HIGGINS MELINA E</w:t>
        </w:r>
      </w:hyperlink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GENWORTH FINANCIAL, INC.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GENWORTH FINANCIAL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GNW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06/30/2016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" w:right="780" w:hanging="3"/>
        <w:spacing w:after="0" w:line="237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7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420" w:space="557"/>
            <w:col w:w="3483"/>
          </w:cols>
          <w:pgMar w:left="240" w:top="221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gridSpan w:val="5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20" w:type="dxa"/>
            <w:vAlign w:val="bottom"/>
            <w:gridSpan w:val="11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5. Number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10,854.176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1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10,854.176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60,850.373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 w:right="260" w:firstLine="1"/>
        <w:spacing w:after="0" w:line="247" w:lineRule="auto"/>
        <w:tabs>
          <w:tab w:leader="none" w:pos="16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$3.1785 per share of Class A Common Stock.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94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/s/ David F. Kurzawa,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07/01/2016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40" w:type="dxa"/>
            <w:vAlign w:val="bottom"/>
            <w:vMerge w:val="restart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of 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4080" w:firstLine="1"/>
        <w:spacing w:after="0" w:line="331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1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6230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2020-01-19T08:24:53Z</dcterms:created>
  <dcterms:modified xsi:type="dcterms:W3CDTF">2020-01-19T08:24:53Z</dcterms:modified>
</cp:coreProperties>
</file>