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480" w:type="dxa"/>
            <w:vAlign w:val="bottom"/>
          </w:tcPr>
          <w:p>
            <w:pPr>
              <w:jc w:val="center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Estimated average burden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80" w:type="dxa"/>
            <w:vAlign w:val="bottom"/>
            <w:vMerge w:val="restart"/>
          </w:tcPr>
          <w:p>
            <w:pPr>
              <w:jc w:val="center"/>
              <w:ind w:right="2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5435600</wp:posOffset>
            </wp:positionH>
            <wp:positionV relativeFrom="paragraph">
              <wp:posOffset>-631825</wp:posOffset>
            </wp:positionV>
            <wp:extent cx="58420" cy="645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4097655</wp:posOffset>
            </wp:positionH>
            <wp:positionV relativeFrom="paragraph">
              <wp:posOffset>-631825</wp:posOffset>
            </wp:positionV>
            <wp:extent cx="58420" cy="645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-1749425</wp:posOffset>
            </wp:positionH>
            <wp:positionV relativeFrom="paragraph">
              <wp:posOffset>16510</wp:posOffset>
            </wp:positionV>
            <wp:extent cx="7325360" cy="43618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460"/>
            <w:col w:w="8780"/>
          </w:cols>
          <w:pgMar w:left="240" w:top="222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MOLONEY THOMAS E</w:t>
              </w:r>
            </w:hyperlink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 w:line="182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06/30/2017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-2" w:right="740" w:firstLine="2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8"/>
        <w:spacing w:after="0"/>
        <w:tabs>
          <w:tab w:leader="none" w:pos="517" w:val="left"/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80"/>
        <w:spacing w:after="0"/>
        <w:tabs>
          <w:tab w:leader="none" w:pos="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38"/>
        <w:spacing w:after="0"/>
        <w:tabs>
          <w:tab w:leader="none" w:pos="215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6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62"/>
            <w:col w:w="3478"/>
          </w:cols>
          <w:pgMar w:left="240" w:top="222" w:right="1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gridSpan w:val="7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60" w:type="dxa"/>
            <w:vAlign w:val="bottom"/>
            <w:gridSpan w:val="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VA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6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20" w:type="dxa"/>
            <w:vAlign w:val="bottom"/>
            <w:gridSpan w:val="5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9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5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gridSpan w:val="11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 (A)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Direct (D)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1"/>
              </w:rPr>
              <w:t>or Indirect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Deferred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Class A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9,401.826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175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06/30/2017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9,401.826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135,381.797</w:t>
            </w:r>
          </w:p>
        </w:tc>
        <w:tc>
          <w:tcPr>
            <w:tcW w:w="640" w:type="dxa"/>
            <w:vAlign w:val="bottom"/>
          </w:tcPr>
          <w:p>
            <w:pPr>
              <w:ind w:left="3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 w:right="460" w:firstLine="3"/>
        <w:spacing w:after="0" w:line="252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Deferred Stock Units become payable in shares of Class A Common Stock beginning one year after termination of service as a director. The Reporting Person has previously elected to receive such amount in a single payment or in payments spread out for up to 10 years.</w:t>
      </w:r>
    </w:p>
    <w:p>
      <w:pPr>
        <w:spacing w:after="0" w:line="2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number of Deferred Stock Units acquired represents a portion of the Reporting Person's annual retainer fee and was based on a price of $3.6695 per share of Class A Common Stock.</w:t>
      </w:r>
    </w:p>
    <w:p>
      <w:pPr>
        <w:sectPr>
          <w:pgSz w:w="11900" w:h="16838" w:orient="portrait"/>
          <w:cols w:equalWidth="0" w:num="1">
            <w:col w:w="11520"/>
          </w:cols>
          <w:pgMar w:left="240" w:top="222" w:right="139" w:bottom="1440" w:gutter="0" w:footer="0" w:header="0"/>
          <w:type w:val="continuous"/>
        </w:sectPr>
      </w:pP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David F. Kurzawa,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3175</wp:posOffset>
            </wp:positionV>
            <wp:extent cx="136588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-14605</wp:posOffset>
            </wp:positionV>
            <wp:extent cx="4679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07/05/2017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48895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40"/>
            <w:col w:w="2380"/>
          </w:cols>
          <w:pgMar w:left="240" w:top="222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980" w:firstLine="3"/>
        <w:spacing w:after="0" w:line="337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2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09101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2020-01-16T03:43:13Z</dcterms:created>
  <dcterms:modified xsi:type="dcterms:W3CDTF">2020-01-16T03:43:13Z</dcterms:modified>
</cp:coreProperties>
</file>