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3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-231775</wp:posOffset>
            </wp:positionV>
            <wp:extent cx="130175" cy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4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5399405</wp:posOffset>
            </wp:positionH>
            <wp:positionV relativeFrom="paragraph">
              <wp:posOffset>-623570</wp:posOffset>
            </wp:positionV>
            <wp:extent cx="57785" cy="636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4062730</wp:posOffset>
            </wp:positionH>
            <wp:positionV relativeFrom="paragraph">
              <wp:posOffset>-623570</wp:posOffset>
            </wp:positionV>
            <wp:extent cx="57785" cy="636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-1788160</wp:posOffset>
            </wp:positionH>
            <wp:positionV relativeFrom="paragraph">
              <wp:posOffset>15240</wp:posOffset>
            </wp:positionV>
            <wp:extent cx="7325995" cy="43040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560"/>
            <w:col w:w="8720"/>
          </w:cols>
          <w:pgMar w:left="240" w:top="221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RIEPE JAMES S</w:t>
        </w:r>
      </w:hyperlink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GENWORTH FINANCIAL, INC.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GENWORTH FINANCIAL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GNW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03/31/2017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" w:right="780" w:hanging="3"/>
        <w:spacing w:after="0" w:line="237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8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8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7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420" w:space="557"/>
            <w:col w:w="3483"/>
          </w:cols>
          <w:pgMar w:left="240" w:top="221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gridSpan w:val="5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20" w:type="dxa"/>
            <w:vAlign w:val="bottom"/>
            <w:gridSpan w:val="11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5. Number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16,010.923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1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03/31/2017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16,010.923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253,066.5751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 w:right="260" w:firstLine="1"/>
        <w:spacing w:after="0" w:line="247" w:lineRule="auto"/>
        <w:tabs>
          <w:tab w:leader="none" w:pos="16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160" w:firstLine="1"/>
        <w:spacing w:after="0" w:line="247" w:lineRule="auto"/>
        <w:tabs>
          <w:tab w:leader="none" w:pos="16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for service as a director and as Non-Executive Chairman and was based on a price of $4.0285 per share of Class A Common Stock.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94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/s/ David F. Kurzawa,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04/04/2017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40" w:type="dxa"/>
            <w:vAlign w:val="bottom"/>
            <w:vMerge w:val="restart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of 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left="40" w:right="4080" w:firstLine="1"/>
        <w:spacing w:after="0" w:line="331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1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03072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2020-01-16T02:04:19Z</dcterms:created>
  <dcterms:modified xsi:type="dcterms:W3CDTF">2020-01-16T02:04:19Z</dcterms:modified>
</cp:coreProperties>
</file>