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3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-233045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64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5399405</wp:posOffset>
            </wp:positionH>
            <wp:positionV relativeFrom="paragraph">
              <wp:posOffset>-623570</wp:posOffset>
            </wp:positionV>
            <wp:extent cx="57785" cy="636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4062730</wp:posOffset>
            </wp:positionH>
            <wp:positionV relativeFrom="paragraph">
              <wp:posOffset>-623570</wp:posOffset>
            </wp:positionV>
            <wp:extent cx="57785" cy="636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-1788160</wp:posOffset>
            </wp:positionH>
            <wp:positionV relativeFrom="paragraph">
              <wp:posOffset>22860</wp:posOffset>
            </wp:positionV>
            <wp:extent cx="7325995" cy="4304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560"/>
            <w:col w:w="8720"/>
          </w:cols>
          <w:pgMar w:left="240" w:top="217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PARKE JAMES A</w:t>
        </w:r>
      </w:hyperlink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GENWORTH FINANCIAL, INC.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GENWORTH FINANCIAL INC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color w:val="0000FF"/>
        </w:rPr>
        <w:t>GNW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03/31/2017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780" w:hanging="3"/>
        <w:spacing w:after="0" w:line="260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8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7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420" w:space="557"/>
            <w:col w:w="3483"/>
          </w:cols>
          <w:pgMar w:left="240" w:top="217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gridSpan w:val="5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10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20" w:type="dxa"/>
            <w:vAlign w:val="bottom"/>
            <w:gridSpan w:val="11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5. Number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Class A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14,273.303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1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03/31/2017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14,273.303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226,575.4942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 w:right="260" w:firstLine="1"/>
        <w:spacing w:after="0" w:line="253" w:lineRule="auto"/>
        <w:tabs>
          <w:tab w:leader="none" w:pos="1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number of Deferred Stock Units acquired represents a portion of the Reporting Person's annual retainer fee and was based on a price of $4.0285 per share of Class A Common Stock.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/s/ David F. Kurzawa,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04/04/2017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40" w:type="dxa"/>
            <w:vAlign w:val="bottom"/>
            <w:vMerge w:val="restart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of 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4080" w:firstLine="1"/>
        <w:spacing w:after="0" w:line="333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7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316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2020-01-16T01:42:14Z</dcterms:created>
  <dcterms:modified xsi:type="dcterms:W3CDTF">2020-01-16T01:42:14Z</dcterms:modified>
</cp:coreProperties>
</file>