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SEC Form 4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ind w:left="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5" w:lineRule="exact"/>
        <w:rPr>
          <w:sz w:val="24"/>
          <w:szCs w:val="24"/>
          <w:color w:val="auto"/>
        </w:rPr>
      </w:pPr>
    </w:p>
    <w:p>
      <w:pPr>
        <w:ind w:left="360"/>
        <w:spacing w:after="0" w:line="23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35560</wp:posOffset>
            </wp:positionH>
            <wp:positionV relativeFrom="paragraph">
              <wp:posOffset>-236220</wp:posOffset>
            </wp:positionV>
            <wp:extent cx="132080" cy="132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59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1"/>
        </w:trPr>
        <w:tc>
          <w:tcPr>
            <w:tcW w:w="6480" w:type="dxa"/>
            <w:vAlign w:val="bottom"/>
          </w:tcPr>
          <w:p>
            <w:pPr>
              <w:jc w:val="center"/>
              <w:ind w:right="29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8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6480" w:type="dxa"/>
            <w:vAlign w:val="bottom"/>
            <w:vMerge w:val="restart"/>
          </w:tcPr>
          <w:p>
            <w:pPr>
              <w:jc w:val="center"/>
              <w:ind w:right="275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4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6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80" w:type="dxa"/>
            <w:vAlign w:val="bottom"/>
            <w:vMerge w:val="restart"/>
          </w:tcPr>
          <w:p>
            <w:pPr>
              <w:jc w:val="center"/>
              <w:ind w:right="275"/>
              <w:spacing w:after="0" w:line="18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8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64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640" w:type="dxa"/>
            <w:vAlign w:val="bottom"/>
            <w:vMerge w:val="restart"/>
          </w:tcPr>
          <w:p>
            <w:pPr>
              <w:jc w:val="right"/>
              <w:ind w:right="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4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6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6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6"/>
              </w:rPr>
              <w:t>Estimated average burden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6480" w:type="dxa"/>
            <w:vAlign w:val="bottom"/>
            <w:vMerge w:val="restart"/>
          </w:tcPr>
          <w:p>
            <w:pPr>
              <w:jc w:val="center"/>
              <w:ind w:right="27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640" w:type="dxa"/>
            <w:vAlign w:val="bottom"/>
          </w:tcPr>
          <w:p>
            <w:pPr>
              <w:jc w:val="right"/>
              <w:ind w:right="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64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5435600</wp:posOffset>
            </wp:positionH>
            <wp:positionV relativeFrom="paragraph">
              <wp:posOffset>-631825</wp:posOffset>
            </wp:positionV>
            <wp:extent cx="58420" cy="6451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645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4097655</wp:posOffset>
            </wp:positionH>
            <wp:positionV relativeFrom="paragraph">
              <wp:posOffset>-631825</wp:posOffset>
            </wp:positionV>
            <wp:extent cx="58420" cy="64516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645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-1749425</wp:posOffset>
            </wp:positionH>
            <wp:positionV relativeFrom="paragraph">
              <wp:posOffset>24765</wp:posOffset>
            </wp:positionV>
            <wp:extent cx="7325360" cy="43618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5360" cy="436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80" w:space="460"/>
            <w:col w:w="8780"/>
          </w:cols>
          <w:pgMar w:left="240" w:top="216" w:right="139" w:bottom="1440" w:gutter="0" w:footer="0" w:header="0"/>
        </w:sect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1"/>
        </w:trPr>
        <w:tc>
          <w:tcPr>
            <w:tcW w:w="25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1"/>
                <w:szCs w:val="21"/>
                <w:color w:val="auto"/>
                <w:vertAlign w:val="superscript"/>
              </w:rPr>
              <w:t>*</w:t>
            </w: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9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00" w:type="dxa"/>
            <w:vAlign w:val="bottom"/>
            <w:gridSpan w:val="3"/>
            <w:vMerge w:val="restart"/>
          </w:tcPr>
          <w:p>
            <w:pPr>
              <w:spacing w:after="0"/>
              <w:rPr>
                <w:rFonts w:ascii="Times New Roman" w:cs="Times New Roman" w:eastAsia="Times New Roman" w:hAnsi="Times New Roman"/>
                <w:sz w:val="21"/>
                <w:szCs w:val="21"/>
                <w:color w:val="0000EE"/>
              </w:rPr>
            </w:pPr>
            <w:hyperlink r:id="rId12">
              <w:r>
                <w:rPr>
                  <w:rFonts w:ascii="Times New Roman" w:cs="Times New Roman" w:eastAsia="Times New Roman" w:hAnsi="Times New Roman"/>
                  <w:sz w:val="21"/>
                  <w:szCs w:val="21"/>
                  <w:color w:val="0000EE"/>
                </w:rPr>
                <w:t>PARKE JAMES A</w:t>
              </w:r>
            </w:hyperlink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920" w:type="dxa"/>
            <w:vAlign w:val="bottom"/>
            <w:gridSpan w:val="2"/>
          </w:tcPr>
          <w:p>
            <w:pPr>
              <w:spacing w:after="0" w:line="182" w:lineRule="exact"/>
              <w:rPr>
                <w:rFonts w:ascii="Times New Roman" w:cs="Times New Roman" w:eastAsia="Times New Roman" w:hAnsi="Times New Roman"/>
                <w:sz w:val="21"/>
                <w:szCs w:val="21"/>
                <w:color w:val="0000EE"/>
              </w:rPr>
            </w:pPr>
            <w:hyperlink r:id="rId13">
              <w:r>
                <w:rPr>
                  <w:rFonts w:ascii="Times New Roman" w:cs="Times New Roman" w:eastAsia="Times New Roman" w:hAnsi="Times New Roman"/>
                  <w:sz w:val="21"/>
                  <w:szCs w:val="21"/>
                  <w:color w:val="0000EE"/>
                </w:rPr>
                <w:t xml:space="preserve">GENWORTH FINANCIAL INC </w:t>
              </w:r>
            </w:hyperlink>
            <w:r>
              <w:rPr>
                <w:rFonts w:ascii="Times New Roman" w:cs="Times New Roman" w:eastAsia="Times New Roman" w:hAnsi="Times New Roman"/>
                <w:sz w:val="21"/>
                <w:szCs w:val="21"/>
                <w:color w:val="000000"/>
              </w:rPr>
              <w:t>[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0000EE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16"/>
                <w:szCs w:val="16"/>
                <w:color w:val="0000FF"/>
              </w:rPr>
              <w:t>GNW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0000EE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000000"/>
              </w:rPr>
              <w:t>]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0000EE"/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0000EE"/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1700" w:type="dxa"/>
            <w:vAlign w:val="bottom"/>
            <w:gridSpan w:val="2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2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9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 Date of Earliest Transaction (Month/Day/Year)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780" w:type="dxa"/>
            <w:vAlign w:val="bottom"/>
            <w:gridSpan w:val="4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C/O GENWORTH FINANCIAL, INC.</w:t>
            </w:r>
          </w:p>
        </w:tc>
        <w:tc>
          <w:tcPr>
            <w:tcW w:w="2920" w:type="dxa"/>
            <w:vAlign w:val="bottom"/>
            <w:gridSpan w:val="3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06/30/2017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7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1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6620 WEST BROAD STREET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49" w:lineRule="exact"/>
        <w:rPr>
          <w:sz w:val="20"/>
          <w:szCs w:val="20"/>
          <w:color w:val="auto"/>
        </w:rPr>
      </w:pPr>
    </w:p>
    <w:p>
      <w:pPr>
        <w:ind w:left="-2" w:right="740" w:firstLine="2"/>
        <w:spacing w:after="0" w:line="264" w:lineRule="auto"/>
        <w:tabs>
          <w:tab w:leader="none" w:pos="142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ind w:left="198"/>
        <w:spacing w:after="0"/>
        <w:tabs>
          <w:tab w:leader="none" w:pos="517" w:val="left"/>
          <w:tab w:leader="none" w:pos="2157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10% Owner</w:t>
      </w:r>
    </w:p>
    <w:p>
      <w:pPr>
        <w:spacing w:after="0" w:line="80" w:lineRule="exact"/>
        <w:rPr>
          <w:sz w:val="20"/>
          <w:szCs w:val="20"/>
          <w:color w:val="auto"/>
        </w:rPr>
      </w:pPr>
    </w:p>
    <w:p>
      <w:pPr>
        <w:jc w:val="right"/>
        <w:ind w:right="480"/>
        <w:spacing w:after="0"/>
        <w:tabs>
          <w:tab w:leader="none" w:pos="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Officer (give title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Other (specify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538"/>
        <w:spacing w:after="0"/>
        <w:tabs>
          <w:tab w:leader="none" w:pos="2157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below)</w:t>
      </w:r>
    </w:p>
    <w:p>
      <w:pPr>
        <w:spacing w:after="0" w:line="566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7980" w:space="62"/>
            <w:col w:w="3478"/>
          </w:cols>
          <w:pgMar w:left="240" w:top="216" w:right="13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760" w:type="dxa"/>
            <w:vAlign w:val="bottom"/>
            <w:gridSpan w:val="7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4. If Amendment, Date of Original Filed (Month/Day/Year)</w:t>
            </w:r>
          </w:p>
        </w:tc>
        <w:tc>
          <w:tcPr>
            <w:tcW w:w="3860" w:type="dxa"/>
            <w:vAlign w:val="bottom"/>
            <w:gridSpan w:val="9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60" w:type="dxa"/>
            <w:vAlign w:val="bottom"/>
            <w:gridSpan w:val="9"/>
            <w:vMerge w:val="restart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RICHMOND</w:t>
            </w:r>
          </w:p>
        </w:tc>
        <w:tc>
          <w:tcPr>
            <w:tcW w:w="122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VA</w:t>
            </w:r>
          </w:p>
        </w:tc>
        <w:tc>
          <w:tcPr>
            <w:tcW w:w="11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23230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86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80" w:type="dxa"/>
            <w:vAlign w:val="bottom"/>
            <w:gridSpan w:val="7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8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9A9A9A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1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top w:val="single" w:sz="8" w:color="2C2C2C"/>
            </w:tcBorders>
            <w:gridSpan w:val="13"/>
          </w:tcPr>
          <w:p>
            <w:pPr>
              <w:jc w:val="center"/>
              <w:ind w:left="69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9"/>
              </w:rPr>
              <w:t>Table I - Non-Derivative Securities Acquired, Disposed of, or Beneficially Owned</w:t>
            </w:r>
          </w:p>
        </w:tc>
        <w:tc>
          <w:tcPr>
            <w:tcW w:w="5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56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40" w:type="dxa"/>
            <w:vAlign w:val="bottom"/>
            <w:gridSpan w:val="3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180" w:type="dxa"/>
            <w:vAlign w:val="bottom"/>
            <w:gridSpan w:val="4"/>
          </w:tcPr>
          <w:p>
            <w:pPr>
              <w:jc w:val="center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4. Securities Acquired (A) or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 of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40" w:type="dxa"/>
            <w:vAlign w:val="bottom"/>
            <w:gridSpan w:val="3"/>
          </w:tcPr>
          <w:p>
            <w:pPr>
              <w:ind w:left="92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8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Execution Date,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20" w:type="dxa"/>
            <w:vAlign w:val="bottom"/>
            <w:gridSpan w:val="5"/>
          </w:tcPr>
          <w:p>
            <w:pPr>
              <w:ind w:left="6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  Disposed Of (D) (Instr. 3, 4 and 5)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gridSpan w:val="3"/>
          </w:tcPr>
          <w:p>
            <w:pPr>
              <w:ind w:left="9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6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Beneficially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40" w:type="dxa"/>
            <w:vAlign w:val="bottom"/>
            <w:gridSpan w:val="4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gridSpan w:val="3"/>
            <w:vMerge w:val="restart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(A) or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580" w:type="dxa"/>
            <w:vAlign w:val="bottom"/>
            <w:tcBorders>
              <w:top w:val="single" w:sz="8" w:color="2C2C2C"/>
            </w:tcBorders>
            <w:gridSpan w:val="12"/>
          </w:tcPr>
          <w:p>
            <w:pPr>
              <w:jc w:val="right"/>
              <w:ind w:right="30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5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60" w:type="dxa"/>
            <w:vAlign w:val="bottom"/>
            <w:gridSpan w:val="11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 of</w:t>
            </w:r>
          </w:p>
        </w:tc>
        <w:tc>
          <w:tcPr>
            <w:tcW w:w="148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46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 Amount of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660" w:type="dxa"/>
            <w:vAlign w:val="bottom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460" w:type="dxa"/>
            <w:vAlign w:val="bottom"/>
            <w:gridSpan w:val="3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 Underlying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00" w:type="dxa"/>
            <w:vAlign w:val="bottom"/>
            <w:gridSpan w:val="4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  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660" w:type="dxa"/>
            <w:vAlign w:val="bottom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460" w:type="dxa"/>
            <w:vAlign w:val="bottom"/>
            <w:gridSpan w:val="3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ind w:left="1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22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 (A)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60" w:type="dxa"/>
            <w:vAlign w:val="bottom"/>
            <w:gridSpan w:val="3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Direct (D)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ind w:left="1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Disposed of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1"/>
              </w:rPr>
              <w:t>or Indirect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ind w:left="1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(Instr. 3, 4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1500" w:type="dxa"/>
            <w:vAlign w:val="bottom"/>
            <w:gridSpan w:val="4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Reported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  <w:vMerge w:val="restart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or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66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</w:t>
            </w:r>
          </w:p>
        </w:tc>
        <w:tc>
          <w:tcPr>
            <w:tcW w:w="32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 of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Deferred</w:t>
            </w:r>
          </w:p>
        </w:tc>
        <w:tc>
          <w:tcPr>
            <w:tcW w:w="64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jc w:val="right"/>
              <w:ind w:right="26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680" w:type="dxa"/>
            <w:vAlign w:val="bottom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  <w:w w:val="97"/>
              </w:rPr>
              <w:t>Class A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15,669.71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jc w:val="right"/>
              <w:ind w:right="30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right"/>
              <w:ind w:right="175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06/30/2017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180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A</w:t>
            </w:r>
          </w:p>
        </w:tc>
        <w:tc>
          <w:tcPr>
            <w:tcW w:w="660" w:type="dxa"/>
            <w:vAlign w:val="bottom"/>
          </w:tcPr>
          <w:p>
            <w:pPr>
              <w:ind w:left="40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15,669.71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40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242,245.2042</w:t>
            </w:r>
          </w:p>
        </w:tc>
        <w:tc>
          <w:tcPr>
            <w:tcW w:w="640" w:type="dxa"/>
            <w:vAlign w:val="bottom"/>
          </w:tcPr>
          <w:p>
            <w:pPr>
              <w:ind w:left="340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D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Units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86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1" w:lineRule="exact"/>
        <w:rPr>
          <w:sz w:val="20"/>
          <w:szCs w:val="20"/>
          <w:color w:val="auto"/>
        </w:rPr>
      </w:pPr>
    </w:p>
    <w:p>
      <w:pPr>
        <w:ind w:left="40" w:right="460" w:firstLine="3"/>
        <w:spacing w:after="0" w:line="259" w:lineRule="auto"/>
        <w:tabs>
          <w:tab w:leader="none" w:pos="17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13"/>
          <w:szCs w:val="13"/>
          <w:color w:val="008000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Deferred Stock Units become payable in shares of Class A Common Stock beginning one year after termination of service as a director. The Reporting Person has previously elected to receive such amount in a single payment or in payments spread out for up to 10 years.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13"/>
          <w:szCs w:val="13"/>
          <w:color w:val="008000"/>
        </w:rPr>
      </w:pPr>
    </w:p>
    <w:p>
      <w:pPr>
        <w:ind w:left="180" w:hanging="137"/>
        <w:spacing w:after="0"/>
        <w:tabs>
          <w:tab w:leader="none" w:pos="18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13"/>
          <w:szCs w:val="13"/>
          <w:color w:val="008000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The number of Deferred Stock Units acquired represents a portion of the Reporting Person's annual retainer fee and was based on a price of $3.6695 per share of Class A Common Stock.</w:t>
      </w:r>
    </w:p>
    <w:p>
      <w:pPr>
        <w:sectPr>
          <w:pgSz w:w="11900" w:h="16838" w:orient="portrait"/>
          <w:cols w:equalWidth="0" w:num="1">
            <w:col w:w="11520"/>
          </w:cols>
          <w:pgMar w:left="240" w:top="216" w:right="139" w:bottom="1440" w:gutter="0" w:footer="0" w:header="0"/>
          <w:type w:val="continuous"/>
        </w:sectPr>
      </w:pPr>
    </w:p>
    <w:p>
      <w:pPr>
        <w:spacing w:after="0" w:line="3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38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0000FF"/>
        </w:rPr>
        <w:t>/s/ David F. Kurzawa, by power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4355465</wp:posOffset>
            </wp:positionH>
            <wp:positionV relativeFrom="paragraph">
              <wp:posOffset>-635</wp:posOffset>
            </wp:positionV>
            <wp:extent cx="1365885" cy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of attorney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4355465</wp:posOffset>
            </wp:positionH>
            <wp:positionV relativeFrom="paragraph">
              <wp:posOffset>-14605</wp:posOffset>
            </wp:positionV>
            <wp:extent cx="467995" cy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07/05/2017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-8255</wp:posOffset>
            </wp:positionV>
            <wp:extent cx="488950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4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46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9000" w:space="140"/>
            <w:col w:w="2380"/>
          </w:cols>
          <w:pgMar w:left="240" w:top="216" w:right="1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46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46" w:lineRule="exact"/>
        <w:rPr>
          <w:sz w:val="20"/>
          <w:szCs w:val="20"/>
          <w:color w:val="auto"/>
        </w:rPr>
      </w:pPr>
    </w:p>
    <w:p>
      <w:pPr>
        <w:jc w:val="both"/>
        <w:ind w:left="40" w:right="3980" w:firstLine="3"/>
        <w:spacing w:after="0" w:line="337" w:lineRule="auto"/>
        <w:tabs>
          <w:tab w:leader="none" w:pos="177" w:val="left"/>
        </w:tabs>
        <w:numPr>
          <w:ilvl w:val="0"/>
          <w:numId w:val="3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20"/>
      </w:cols>
      <w:pgMar w:left="240" w:top="216" w:right="1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233169" TargetMode="External"/><Relationship Id="rId13" Type="http://schemas.openxmlformats.org/officeDocument/2006/relationships/hyperlink" Target="http://www.sec.gov/cgi-bin/browse-edgar?action=getcompany&amp;CIK=0001276520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2020-01-16T04:00:48Z</dcterms:created>
  <dcterms:modified xsi:type="dcterms:W3CDTF">2020-01-16T04:00:48Z</dcterms:modified>
</cp:coreProperties>
</file>