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>EVANGEL LORI M</w:t>
              </w:r>
            </w:hyperlink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2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02/03/2017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 &amp; Chief Risk Officer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11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02/03/2017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1,625</w:t>
            </w: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10,813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02/03/2017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F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4"/>
              </w:rPr>
              <w:t>625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4"/>
                <w:vertAlign w:val="superscript"/>
              </w:rPr>
              <w:t>(2)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3.58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10,188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1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Class 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1,625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02/03/2017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1,625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1,625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settle in Class A Common Stock on a 1:1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Company withheld shares of common stock to satisfy the tax withholding obligation for the Reporting Person's Restricted Stock Units that vested on February 3,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vested and converted to Class A Common Stock on February 3, 2017.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David F. Kurzawa, by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02/06/2017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power of attorney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96836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2020-01-16T00:25:35Z</dcterms:created>
  <dcterms:modified xsi:type="dcterms:W3CDTF">2020-01-16T00:25:35Z</dcterms:modified>
</cp:coreProperties>
</file>