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7"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5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1"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250825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3"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8"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22"/>
          <w:szCs w:val="22"/>
          <w:b w:val="1"/>
          <w:bCs w:val="1"/>
          <w:color w:val="auto"/>
        </w:rPr>
        <w:t>PURSUANT TO SECTION 13 OR 15(d)</w:t>
      </w:r>
    </w:p>
    <w:p>
      <w:pPr>
        <w:jc w:val="center"/>
        <w:ind w:right="-59"/>
        <w:spacing w:after="0"/>
        <w:rPr>
          <w:sz w:val="20"/>
          <w:szCs w:val="20"/>
          <w:color w:val="auto"/>
        </w:rPr>
      </w:pPr>
      <w:r>
        <w:rPr>
          <w:rFonts w:ascii="Times New Roman" w:cs="Times New Roman" w:eastAsia="Times New Roman" w:hAnsi="Times New Roman"/>
          <w:sz w:val="22"/>
          <w:szCs w:val="22"/>
          <w:b w:val="1"/>
          <w:bCs w:val="1"/>
          <w:color w:val="auto"/>
        </w:rPr>
        <w:t>OF THE SECURITIES EXCHANGE ACT OF 1934</w:t>
      </w:r>
    </w:p>
    <w:p>
      <w:pPr>
        <w:spacing w:after="0" w:line="178"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22"/>
          <w:szCs w:val="22"/>
          <w:b w:val="1"/>
          <w:bCs w:val="1"/>
          <w:color w:val="auto"/>
        </w:rPr>
        <w:t>March 27, 2018</w:t>
      </w:r>
    </w:p>
    <w:p>
      <w:pPr>
        <w:spacing w:after="0" w:line="8"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22"/>
          <w:szCs w:val="22"/>
          <w:b w:val="1"/>
          <w:bCs w:val="1"/>
          <w:color w:val="auto"/>
        </w:rPr>
        <w:t>Date of Report</w:t>
      </w:r>
    </w:p>
    <w:p>
      <w:pPr>
        <w:jc w:val="center"/>
        <w:ind w:right="-59"/>
        <w:spacing w:after="0"/>
        <w:rPr>
          <w:sz w:val="20"/>
          <w:szCs w:val="20"/>
          <w:color w:val="auto"/>
        </w:rPr>
      </w:pPr>
      <w:r>
        <w:rPr>
          <w:rFonts w:ascii="Times New Roman" w:cs="Times New Roman" w:eastAsia="Times New Roman" w:hAnsi="Times New Roman"/>
          <w:sz w:val="22"/>
          <w:szCs w:val="22"/>
          <w:b w:val="1"/>
          <w:bCs w:val="1"/>
          <w:color w:val="auto"/>
        </w:rPr>
        <w:t>(Date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2852420</wp:posOffset>
            </wp:positionH>
            <wp:positionV relativeFrom="paragraph">
              <wp:posOffset>407670</wp:posOffset>
            </wp:positionV>
            <wp:extent cx="1560830" cy="4032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60830" cy="4032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3"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43"/>
          <w:szCs w:val="43"/>
          <w:b w:val="1"/>
          <w:bCs w:val="1"/>
          <w:color w:val="auto"/>
        </w:rPr>
        <w:t>GENWORTH FINANCIAL, INC.</w:t>
      </w:r>
    </w:p>
    <w:p>
      <w:pPr>
        <w:spacing w:after="0" w:line="58"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3" w:lineRule="exact"/>
        <w:rPr>
          <w:sz w:val="24"/>
          <w:szCs w:val="24"/>
          <w:color w:val="auto"/>
        </w:rPr>
      </w:pPr>
    </w:p>
    <w:tbl>
      <w:tblPr>
        <w:tblLayout w:type="fixed"/>
        <w:tblInd w:w="920" w:type="dxa"/>
        <w:tblCellMar>
          <w:top w:w="0" w:type="dxa"/>
          <w:left w:w="0" w:type="dxa"/>
          <w:bottom w:w="0" w:type="dxa"/>
          <w:right w:w="0" w:type="dxa"/>
        </w:tblCellMar>
      </w:tblPr>
      <w:tr>
        <w:trPr>
          <w:trHeight w:val="214"/>
        </w:trPr>
        <w:tc>
          <w:tcPr>
            <w:tcW w:w="4460" w:type="dxa"/>
            <w:vAlign w:val="bottom"/>
          </w:tcPr>
          <w:p>
            <w:pPr>
              <w:jc w:val="center"/>
              <w:ind w:right="2341"/>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2260" w:type="dxa"/>
            <w:vAlign w:val="bottom"/>
          </w:tcPr>
          <w:p>
            <w:pPr>
              <w:ind w:left="80"/>
              <w:spacing w:after="0"/>
              <w:rPr>
                <w:sz w:val="20"/>
                <w:szCs w:val="20"/>
                <w:color w:val="auto"/>
              </w:rPr>
            </w:pPr>
            <w:r>
              <w:rPr>
                <w:rFonts w:ascii="Times New Roman" w:cs="Times New Roman" w:eastAsia="Times New Roman" w:hAnsi="Times New Roman"/>
                <w:sz w:val="18"/>
                <w:szCs w:val="18"/>
                <w:b w:val="1"/>
                <w:bCs w:val="1"/>
                <w:color w:val="auto"/>
              </w:rPr>
              <w:t>001-32195</w:t>
            </w:r>
          </w:p>
        </w:tc>
        <w:tc>
          <w:tcPr>
            <w:tcW w:w="2520" w:type="dxa"/>
            <w:vAlign w:val="bottom"/>
          </w:tcPr>
          <w:p>
            <w:pPr>
              <w:jc w:val="right"/>
              <w:ind w:right="41"/>
              <w:spacing w:after="0"/>
              <w:rPr>
                <w:sz w:val="20"/>
                <w:szCs w:val="20"/>
                <w:color w:val="auto"/>
              </w:rPr>
            </w:pPr>
            <w:r>
              <w:rPr>
                <w:rFonts w:ascii="Times New Roman" w:cs="Times New Roman" w:eastAsia="Times New Roman" w:hAnsi="Times New Roman"/>
                <w:sz w:val="18"/>
                <w:szCs w:val="18"/>
                <w:b w:val="1"/>
                <w:bCs w:val="1"/>
                <w:color w:val="auto"/>
              </w:rPr>
              <w:t>80-0873306</w:t>
            </w:r>
          </w:p>
        </w:tc>
      </w:tr>
      <w:tr>
        <w:trPr>
          <w:trHeight w:val="149"/>
        </w:trPr>
        <w:tc>
          <w:tcPr>
            <w:tcW w:w="4460" w:type="dxa"/>
            <w:vAlign w:val="bottom"/>
          </w:tcPr>
          <w:p>
            <w:pPr>
              <w:jc w:val="center"/>
              <w:ind w:right="2341"/>
              <w:spacing w:after="0" w:line="149" w:lineRule="exact"/>
              <w:rPr>
                <w:sz w:val="20"/>
                <w:szCs w:val="20"/>
                <w:color w:val="auto"/>
              </w:rPr>
            </w:pPr>
            <w:r>
              <w:rPr>
                <w:rFonts w:ascii="Times New Roman" w:cs="Times New Roman" w:eastAsia="Times New Roman" w:hAnsi="Times New Roman"/>
                <w:sz w:val="14"/>
                <w:szCs w:val="14"/>
                <w:b w:val="1"/>
                <w:bCs w:val="1"/>
                <w:color w:val="auto"/>
              </w:rPr>
              <w:t>(State or other jurisdiction</w:t>
            </w:r>
          </w:p>
        </w:tc>
        <w:tc>
          <w:tcPr>
            <w:tcW w:w="2260" w:type="dxa"/>
            <w:vAlign w:val="bottom"/>
          </w:tcPr>
          <w:p>
            <w:pPr>
              <w:ind w:left="60"/>
              <w:spacing w:after="0" w:line="149" w:lineRule="exact"/>
              <w:rPr>
                <w:sz w:val="20"/>
                <w:szCs w:val="20"/>
                <w:color w:val="auto"/>
              </w:rPr>
            </w:pPr>
            <w:r>
              <w:rPr>
                <w:rFonts w:ascii="Times New Roman" w:cs="Times New Roman" w:eastAsia="Times New Roman" w:hAnsi="Times New Roman"/>
                <w:sz w:val="14"/>
                <w:szCs w:val="14"/>
                <w:b w:val="1"/>
                <w:bCs w:val="1"/>
                <w:color w:val="auto"/>
              </w:rPr>
              <w:t>(Commission</w:t>
            </w:r>
          </w:p>
        </w:tc>
        <w:tc>
          <w:tcPr>
            <w:tcW w:w="2520" w:type="dxa"/>
            <w:vAlign w:val="bottom"/>
          </w:tcPr>
          <w:p>
            <w:pPr>
              <w:jc w:val="center"/>
              <w:ind w:left="1321"/>
              <w:spacing w:after="0" w:line="149" w:lineRule="exact"/>
              <w:rPr>
                <w:sz w:val="20"/>
                <w:szCs w:val="20"/>
                <w:color w:val="auto"/>
              </w:rPr>
            </w:pPr>
            <w:r>
              <w:rPr>
                <w:rFonts w:ascii="Times New Roman" w:cs="Times New Roman" w:eastAsia="Times New Roman" w:hAnsi="Times New Roman"/>
                <w:sz w:val="14"/>
                <w:szCs w:val="14"/>
                <w:b w:val="1"/>
                <w:bCs w:val="1"/>
                <w:color w:val="auto"/>
              </w:rPr>
              <w:t>(I.R.S. Employer</w:t>
            </w:r>
          </w:p>
        </w:tc>
      </w:tr>
      <w:tr>
        <w:trPr>
          <w:trHeight w:val="190"/>
        </w:trPr>
        <w:tc>
          <w:tcPr>
            <w:tcW w:w="4460" w:type="dxa"/>
            <w:vAlign w:val="bottom"/>
          </w:tcPr>
          <w:p>
            <w:pPr>
              <w:jc w:val="center"/>
              <w:ind w:right="2341"/>
              <w:spacing w:after="0"/>
              <w:rPr>
                <w:sz w:val="20"/>
                <w:szCs w:val="20"/>
                <w:color w:val="auto"/>
              </w:rPr>
            </w:pPr>
            <w:r>
              <w:rPr>
                <w:rFonts w:ascii="Times New Roman" w:cs="Times New Roman" w:eastAsia="Times New Roman" w:hAnsi="Times New Roman"/>
                <w:sz w:val="14"/>
                <w:szCs w:val="14"/>
                <w:b w:val="1"/>
                <w:bCs w:val="1"/>
                <w:color w:val="auto"/>
              </w:rPr>
              <w:t>of incorporation or organization)</w:t>
            </w:r>
          </w:p>
        </w:tc>
        <w:tc>
          <w:tcPr>
            <w:tcW w:w="2260" w:type="dxa"/>
            <w:vAlign w:val="bottom"/>
          </w:tcPr>
          <w:p>
            <w:pPr>
              <w:ind w:left="40"/>
              <w:spacing w:after="0"/>
              <w:rPr>
                <w:sz w:val="20"/>
                <w:szCs w:val="20"/>
                <w:color w:val="auto"/>
              </w:rPr>
            </w:pPr>
            <w:r>
              <w:rPr>
                <w:rFonts w:ascii="Times New Roman" w:cs="Times New Roman" w:eastAsia="Times New Roman" w:hAnsi="Times New Roman"/>
                <w:sz w:val="14"/>
                <w:szCs w:val="14"/>
                <w:b w:val="1"/>
                <w:bCs w:val="1"/>
                <w:color w:val="auto"/>
              </w:rPr>
              <w:t>File Number)</w:t>
            </w:r>
          </w:p>
        </w:tc>
        <w:tc>
          <w:tcPr>
            <w:tcW w:w="2520" w:type="dxa"/>
            <w:vAlign w:val="bottom"/>
          </w:tcPr>
          <w:p>
            <w:pPr>
              <w:jc w:val="center"/>
              <w:ind w:left="1321"/>
              <w:spacing w:after="0"/>
              <w:rPr>
                <w:sz w:val="20"/>
                <w:szCs w:val="20"/>
                <w:color w:val="auto"/>
              </w:rPr>
            </w:pPr>
            <w:r>
              <w:rPr>
                <w:rFonts w:ascii="Times New Roman" w:cs="Times New Roman" w:eastAsia="Times New Roman" w:hAnsi="Times New Roman"/>
                <w:sz w:val="14"/>
                <w:szCs w:val="14"/>
                <w:b w:val="1"/>
                <w:bCs w:val="1"/>
                <w:color w:val="auto"/>
              </w:rPr>
              <w:t>Identification No.)</w:t>
            </w:r>
          </w:p>
        </w:tc>
      </w:tr>
      <w:tr>
        <w:trPr>
          <w:trHeight w:val="404"/>
        </w:trPr>
        <w:tc>
          <w:tcPr>
            <w:tcW w:w="4460" w:type="dxa"/>
            <w:vAlign w:val="bottom"/>
          </w:tcPr>
          <w:p>
            <w:pPr>
              <w:jc w:val="center"/>
              <w:ind w:left="1281"/>
              <w:spacing w:after="0"/>
              <w:rPr>
                <w:sz w:val="20"/>
                <w:szCs w:val="20"/>
                <w:color w:val="auto"/>
              </w:rPr>
            </w:pPr>
            <w:r>
              <w:rPr>
                <w:rFonts w:ascii="Times New Roman" w:cs="Times New Roman" w:eastAsia="Times New Roman" w:hAnsi="Times New Roman"/>
                <w:sz w:val="18"/>
                <w:szCs w:val="18"/>
                <w:b w:val="1"/>
                <w:bCs w:val="1"/>
                <w:color w:val="auto"/>
                <w:w w:val="98"/>
              </w:rPr>
              <w:t>6620 West Broad Street, Richmond, VA</w:t>
            </w:r>
          </w:p>
        </w:tc>
        <w:tc>
          <w:tcPr>
            <w:tcW w:w="2260" w:type="dxa"/>
            <w:vAlign w:val="bottom"/>
          </w:tcPr>
          <w:p>
            <w:pPr>
              <w:spacing w:after="0"/>
              <w:rPr>
                <w:sz w:val="24"/>
                <w:szCs w:val="24"/>
                <w:color w:val="auto"/>
              </w:rPr>
            </w:pPr>
          </w:p>
        </w:tc>
        <w:tc>
          <w:tcPr>
            <w:tcW w:w="2520" w:type="dxa"/>
            <w:vAlign w:val="bottom"/>
          </w:tcPr>
          <w:p>
            <w:pPr>
              <w:jc w:val="right"/>
              <w:ind w:right="261"/>
              <w:spacing w:after="0"/>
              <w:rPr>
                <w:sz w:val="20"/>
                <w:szCs w:val="20"/>
                <w:color w:val="auto"/>
              </w:rPr>
            </w:pPr>
            <w:r>
              <w:rPr>
                <w:rFonts w:ascii="Times New Roman" w:cs="Times New Roman" w:eastAsia="Times New Roman" w:hAnsi="Times New Roman"/>
                <w:sz w:val="18"/>
                <w:szCs w:val="18"/>
                <w:b w:val="1"/>
                <w:bCs w:val="1"/>
                <w:color w:val="auto"/>
              </w:rPr>
              <w:t>23230</w:t>
            </w:r>
          </w:p>
        </w:tc>
      </w:tr>
      <w:tr>
        <w:trPr>
          <w:trHeight w:val="190"/>
        </w:trPr>
        <w:tc>
          <w:tcPr>
            <w:tcW w:w="4460" w:type="dxa"/>
            <w:vAlign w:val="bottom"/>
          </w:tcPr>
          <w:p>
            <w:pPr>
              <w:jc w:val="center"/>
              <w:ind w:left="1281"/>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tc>
        <w:tc>
          <w:tcPr>
            <w:tcW w:w="2260" w:type="dxa"/>
            <w:vAlign w:val="bottom"/>
          </w:tcPr>
          <w:p>
            <w:pPr>
              <w:spacing w:after="0"/>
              <w:rPr>
                <w:sz w:val="16"/>
                <w:szCs w:val="16"/>
                <w:color w:val="auto"/>
              </w:rPr>
            </w:pPr>
          </w:p>
        </w:tc>
        <w:tc>
          <w:tcPr>
            <w:tcW w:w="2520" w:type="dxa"/>
            <w:vAlign w:val="bottom"/>
          </w:tcPr>
          <w:p>
            <w:pPr>
              <w:jc w:val="center"/>
              <w:ind w:left="1321"/>
              <w:spacing w:after="0"/>
              <w:rPr>
                <w:sz w:val="20"/>
                <w:szCs w:val="20"/>
                <w:color w:val="auto"/>
              </w:rPr>
            </w:pPr>
            <w:r>
              <w:rPr>
                <w:rFonts w:ascii="Times New Roman" w:cs="Times New Roman" w:eastAsia="Times New Roman" w:hAnsi="Times New Roman"/>
                <w:sz w:val="14"/>
                <w:szCs w:val="14"/>
                <w:b w:val="1"/>
                <w:bCs w:val="1"/>
                <w:color w:val="auto"/>
              </w:rPr>
              <w:t>(Zip Code)</w:t>
            </w:r>
          </w:p>
        </w:tc>
      </w:tr>
    </w:tbl>
    <w:p>
      <w:pPr>
        <w:spacing w:after="0" w:line="177"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(804) 281-6000</w:t>
      </w:r>
    </w:p>
    <w:p>
      <w:pPr>
        <w:spacing w:after="0" w:line="25"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4"/>
          <w:szCs w:val="14"/>
          <w:b w:val="1"/>
          <w:bCs w:val="1"/>
          <w:color w:val="auto"/>
        </w:rPr>
        <w:t>(Registrant’s telephone number, including area code)</w:t>
      </w:r>
    </w:p>
    <w:p>
      <w:pPr>
        <w:spacing w:after="0" w:line="188"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25"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37" w:lineRule="exact"/>
        <w:rPr>
          <w:sz w:val="24"/>
          <w:szCs w:val="24"/>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67"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25" w:lineRule="exact"/>
        <w:rPr>
          <w:sz w:val="24"/>
          <w:szCs w:val="24"/>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3"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54" w:lineRule="exact"/>
        <w:rPr>
          <w:sz w:val="24"/>
          <w:szCs w:val="24"/>
          <w:color w:val="auto"/>
        </w:rPr>
      </w:pPr>
    </w:p>
    <w:p>
      <w:pPr>
        <w:ind w:right="8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133985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176530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60"/>
          </w:cols>
          <w:pgMar w:left="240" w:top="362" w:right="299" w:bottom="1440" w:gutter="0" w:footer="0" w:header="0"/>
        </w:sectPr>
      </w:pPr>
    </w:p>
    <w:bookmarkStart w:id="1" w:name="page2"/>
    <w:bookmarkEnd w:id="1"/>
    <w:p>
      <w:pPr>
        <w:spacing w:after="0"/>
        <w:tabs>
          <w:tab w:leader="none" w:pos="1360" w:val="left"/>
        </w:tabs>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1.01</w:t>
      </w:r>
      <w:r>
        <w:rPr>
          <w:sz w:val="20"/>
          <w:szCs w:val="20"/>
          <w:color w:val="auto"/>
        </w:rPr>
        <w:tab/>
      </w:r>
      <w:r>
        <w:rPr>
          <w:rFonts w:ascii="Times New Roman" w:cs="Times New Roman" w:eastAsia="Times New Roman" w:hAnsi="Times New Roman"/>
          <w:sz w:val="17"/>
          <w:szCs w:val="17"/>
          <w:b w:val="1"/>
          <w:bCs w:val="1"/>
          <w:color w:val="auto"/>
        </w:rPr>
        <w:t>Entry into a Material Definitive Agreement.</w:t>
      </w:r>
    </w:p>
    <w:p>
      <w:pPr>
        <w:spacing w:after="0" w:line="121" w:lineRule="exact"/>
        <w:rPr>
          <w:sz w:val="20"/>
          <w:szCs w:val="20"/>
          <w:color w:val="auto"/>
        </w:rPr>
      </w:pPr>
    </w:p>
    <w:p>
      <w:pPr>
        <w:spacing w:after="0" w:line="256" w:lineRule="auto"/>
        <w:rPr>
          <w:sz w:val="20"/>
          <w:szCs w:val="20"/>
          <w:color w:val="auto"/>
        </w:rPr>
      </w:pPr>
      <w:r>
        <w:rPr>
          <w:rFonts w:ascii="Times New Roman" w:cs="Times New Roman" w:eastAsia="Times New Roman" w:hAnsi="Times New Roman"/>
          <w:sz w:val="18"/>
          <w:szCs w:val="18"/>
          <w:color w:val="auto"/>
        </w:rPr>
        <w:t>As previously reported, on October 21, 2016, Genworth Financial, Inc.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Asia Pacific Global Capital Co., Ltd., a limited liability company incorporated in the People’s Republic of China (“</w:t>
      </w:r>
      <w:r>
        <w:rPr>
          <w:rFonts w:ascii="Times New Roman" w:cs="Times New Roman" w:eastAsia="Times New Roman" w:hAnsi="Times New Roman"/>
          <w:sz w:val="18"/>
          <w:szCs w:val="18"/>
          <w:u w:val="single" w:color="auto"/>
          <w:color w:val="auto"/>
        </w:rPr>
        <w:t>Parent</w:t>
      </w:r>
      <w:r>
        <w:rPr>
          <w:rFonts w:ascii="Times New Roman" w:cs="Times New Roman" w:eastAsia="Times New Roman" w:hAnsi="Times New Roman"/>
          <w:sz w:val="18"/>
          <w:szCs w:val="18"/>
          <w:color w:val="auto"/>
        </w:rPr>
        <w:t>”), and Asia Pacific Global Capital USA Corporation, a Delaware corporation and an indirect, wholly owned subsidiary of Parent (“</w:t>
      </w:r>
      <w:r>
        <w:rPr>
          <w:rFonts w:ascii="Times New Roman" w:cs="Times New Roman" w:eastAsia="Times New Roman" w:hAnsi="Times New Roman"/>
          <w:sz w:val="18"/>
          <w:szCs w:val="18"/>
          <w:u w:val="single" w:color="auto"/>
          <w:color w:val="auto"/>
        </w:rPr>
        <w:t>Merger Sub</w:t>
      </w:r>
      <w:r>
        <w:rPr>
          <w:rFonts w:ascii="Times New Roman" w:cs="Times New Roman" w:eastAsia="Times New Roman" w:hAnsi="Times New Roman"/>
          <w:sz w:val="18"/>
          <w:szCs w:val="18"/>
          <w:color w:val="auto"/>
        </w:rPr>
        <w:t>”), entered into an Agreement and Plan of Merger (the “</w:t>
      </w:r>
      <w:r>
        <w:rPr>
          <w:rFonts w:ascii="Times New Roman" w:cs="Times New Roman" w:eastAsia="Times New Roman" w:hAnsi="Times New Roman"/>
          <w:sz w:val="18"/>
          <w:szCs w:val="18"/>
          <w:u w:val="single" w:color="auto"/>
          <w:color w:val="auto"/>
        </w:rPr>
        <w:t>Merger Agreement</w:t>
      </w:r>
      <w:r>
        <w:rPr>
          <w:rFonts w:ascii="Times New Roman" w:cs="Times New Roman" w:eastAsia="Times New Roman" w:hAnsi="Times New Roman"/>
          <w:sz w:val="18"/>
          <w:szCs w:val="18"/>
          <w:color w:val="auto"/>
        </w:rPr>
        <w:t>”), pursuant to which, subject to the terms and conditions set forth therein, the Company will be acquired by Parent through a merger effected under Delaware law. The Merger Agreement provides that, subject to the satisfaction or waiver of certain conditions, Merger Sub will merge with and into the Company (the “</w:t>
      </w:r>
      <w:r>
        <w:rPr>
          <w:rFonts w:ascii="Times New Roman" w:cs="Times New Roman" w:eastAsia="Times New Roman" w:hAnsi="Times New Roman"/>
          <w:sz w:val="18"/>
          <w:szCs w:val="18"/>
          <w:u w:val="single" w:color="auto"/>
          <w:color w:val="auto"/>
        </w:rPr>
        <w:t>Merger</w:t>
      </w:r>
      <w:r>
        <w:rPr>
          <w:rFonts w:ascii="Times New Roman" w:cs="Times New Roman" w:eastAsia="Times New Roman" w:hAnsi="Times New Roman"/>
          <w:sz w:val="18"/>
          <w:szCs w:val="18"/>
          <w:color w:val="auto"/>
        </w:rPr>
        <w:t>”). As a result of the Merger, Merger Sub will cease to exist and the Company will survive as an indirect, wholly owned subsidiary of Parent.</w:t>
      </w:r>
    </w:p>
    <w:p>
      <w:pPr>
        <w:spacing w:after="0" w:line="188" w:lineRule="exact"/>
        <w:rPr>
          <w:sz w:val="20"/>
          <w:szCs w:val="20"/>
          <w:color w:val="auto"/>
        </w:rPr>
      </w:pPr>
    </w:p>
    <w:p>
      <w:pPr>
        <w:jc w:val="both"/>
        <w:ind w:right="320"/>
        <w:spacing w:after="0" w:line="266" w:lineRule="auto"/>
        <w:rPr>
          <w:sz w:val="20"/>
          <w:szCs w:val="20"/>
          <w:color w:val="auto"/>
        </w:rPr>
      </w:pPr>
      <w:r>
        <w:rPr>
          <w:rFonts w:ascii="Times New Roman" w:cs="Times New Roman" w:eastAsia="Times New Roman" w:hAnsi="Times New Roman"/>
          <w:sz w:val="18"/>
          <w:szCs w:val="18"/>
          <w:color w:val="auto"/>
        </w:rPr>
        <w:t>On March 27, 2018, the Company, Parent and Merger Sub entered into a Fourth Waiver and Agreement (the “</w:t>
      </w:r>
      <w:r>
        <w:rPr>
          <w:rFonts w:ascii="Times New Roman" w:cs="Times New Roman" w:eastAsia="Times New Roman" w:hAnsi="Times New Roman"/>
          <w:sz w:val="18"/>
          <w:szCs w:val="18"/>
          <w:u w:val="single" w:color="auto"/>
          <w:color w:val="auto"/>
        </w:rPr>
        <w:t>Waiver Agreement</w:t>
      </w:r>
      <w:r>
        <w:rPr>
          <w:rFonts w:ascii="Times New Roman" w:cs="Times New Roman" w:eastAsia="Times New Roman" w:hAnsi="Times New Roman"/>
          <w:sz w:val="18"/>
          <w:szCs w:val="18"/>
          <w:color w:val="auto"/>
        </w:rPr>
        <w:t>”) pursuant to which the Company and Parent each agreed to waive until July 1, 2018 its right to terminate the Merger Agreement and abandon the Merger due to a failure of the Merger to have been consummated on or before April 1, 2018.</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 addition, under the Waiver Agreement, the Company and Parent acknowledged that the Merger Agreement may be terminated, and the Merger abandoned,</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at any time prior to July 1, 2018 by the board of directors of either the Company or Parent, if the Committee on Foreign Investment in the United States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CFIUS</w:t>
      </w:r>
      <w:r>
        <w:rPr>
          <w:rFonts w:ascii="Times New Roman" w:cs="Times New Roman" w:eastAsia="Times New Roman" w:hAnsi="Times New Roman"/>
          <w:sz w:val="17"/>
          <w:szCs w:val="17"/>
          <w:color w:val="auto"/>
        </w:rPr>
        <w:t>”) notifies the Company, Parent and Merger Sub that it has completed its review of the Merger and the mitigation proposals presented by the parties,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and intends to recommend that the President of the United States act to suspend or prohibit the Merger or any of the other transactions contemplated by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Merger Agreement.</w:t>
      </w:r>
    </w:p>
    <w:p>
      <w:pPr>
        <w:spacing w:after="0" w:line="207" w:lineRule="exact"/>
        <w:rPr>
          <w:sz w:val="20"/>
          <w:szCs w:val="20"/>
          <w:color w:val="auto"/>
        </w:rPr>
      </w:pPr>
    </w:p>
    <w:p>
      <w:pPr>
        <w:ind w:right="120"/>
        <w:spacing w:after="0" w:line="261" w:lineRule="auto"/>
        <w:rPr>
          <w:sz w:val="20"/>
          <w:szCs w:val="20"/>
          <w:color w:val="auto"/>
        </w:rPr>
      </w:pPr>
      <w:r>
        <w:rPr>
          <w:rFonts w:ascii="Times New Roman" w:cs="Times New Roman" w:eastAsia="Times New Roman" w:hAnsi="Times New Roman"/>
          <w:sz w:val="18"/>
          <w:szCs w:val="18"/>
          <w:color w:val="auto"/>
        </w:rPr>
        <w:t>Further, pursuant to the Waiver Agreement, each of Parent and Merger Sub, on the one hand, and the Company, on the other hand, acknowledges that as of March 27, 2018, there has been no breach of the Merger Agreement on the part of the other party and irrevocably waives any claim against such other party based upon or arising out of any actual or alleged breach of any representation, warranty, covenant or agreement set forth in the Merger Agreement based upon the facts or circumstances existing or occurring on or prior to March 27, 2018.</w:t>
      </w:r>
    </w:p>
    <w:p>
      <w:pPr>
        <w:spacing w:after="0" w:line="180" w:lineRule="exact"/>
        <w:rPr>
          <w:sz w:val="20"/>
          <w:szCs w:val="20"/>
          <w:color w:val="auto"/>
        </w:rPr>
      </w:pPr>
    </w:p>
    <w:p>
      <w:pPr>
        <w:ind w:right="140"/>
        <w:spacing w:after="0" w:line="282" w:lineRule="auto"/>
        <w:rPr>
          <w:sz w:val="20"/>
          <w:szCs w:val="20"/>
          <w:color w:val="auto"/>
        </w:rPr>
      </w:pPr>
      <w:r>
        <w:rPr>
          <w:rFonts w:ascii="Times New Roman" w:cs="Times New Roman" w:eastAsia="Times New Roman" w:hAnsi="Times New Roman"/>
          <w:sz w:val="18"/>
          <w:szCs w:val="18"/>
          <w:color w:val="auto"/>
        </w:rPr>
        <w:t>The foregoing description of the Waiver Agreement is qualified in its entirety by reference to the Waiver Agreement, a copy of which is filed as Exhibit 2.1 hereto and incorporated herein by reference.</w:t>
      </w:r>
    </w:p>
    <w:p>
      <w:pPr>
        <w:spacing w:after="0" w:line="306" w:lineRule="exact"/>
        <w:rPr>
          <w:sz w:val="20"/>
          <w:szCs w:val="20"/>
          <w:color w:val="auto"/>
        </w:rPr>
      </w:pPr>
    </w:p>
    <w:p>
      <w:pPr>
        <w:spacing w:after="0"/>
        <w:tabs>
          <w:tab w:leader="none" w:pos="1360" w:val="left"/>
        </w:tabs>
        <w:rPr>
          <w:sz w:val="20"/>
          <w:szCs w:val="20"/>
          <w:color w:val="auto"/>
        </w:rPr>
      </w:pPr>
      <w:r>
        <w:rPr>
          <w:rFonts w:ascii="Times New Roman" w:cs="Times New Roman" w:eastAsia="Times New Roman" w:hAnsi="Times New Roman"/>
          <w:sz w:val="18"/>
          <w:szCs w:val="18"/>
          <w:b w:val="1"/>
          <w:bCs w:val="1"/>
          <w:color w:val="auto"/>
        </w:rPr>
        <w:t>Item 8.01</w:t>
      </w:r>
      <w:r>
        <w:rPr>
          <w:sz w:val="20"/>
          <w:szCs w:val="20"/>
          <w:color w:val="auto"/>
        </w:rPr>
        <w:tab/>
      </w:r>
      <w:r>
        <w:rPr>
          <w:rFonts w:ascii="Times New Roman" w:cs="Times New Roman" w:eastAsia="Times New Roman" w:hAnsi="Times New Roman"/>
          <w:sz w:val="17"/>
          <w:szCs w:val="17"/>
          <w:b w:val="1"/>
          <w:bCs w:val="1"/>
          <w:color w:val="auto"/>
        </w:rPr>
        <w:t>Other Events.</w:t>
      </w:r>
    </w:p>
    <w:p>
      <w:pPr>
        <w:spacing w:after="0" w:line="121" w:lineRule="exact"/>
        <w:rPr>
          <w:sz w:val="20"/>
          <w:szCs w:val="20"/>
          <w:color w:val="auto"/>
        </w:rPr>
      </w:pPr>
    </w:p>
    <w:p>
      <w:pPr>
        <w:ind w:right="400"/>
        <w:spacing w:after="0" w:line="282" w:lineRule="auto"/>
        <w:rPr>
          <w:sz w:val="20"/>
          <w:szCs w:val="20"/>
          <w:color w:val="auto"/>
        </w:rPr>
      </w:pPr>
      <w:r>
        <w:rPr>
          <w:rFonts w:ascii="Times New Roman" w:cs="Times New Roman" w:eastAsia="Times New Roman" w:hAnsi="Times New Roman"/>
          <w:sz w:val="18"/>
          <w:szCs w:val="18"/>
          <w:color w:val="auto"/>
        </w:rPr>
        <w:t>On March 27, 2018, the Company issued a press release (the “</w:t>
      </w:r>
      <w:r>
        <w:rPr>
          <w:rFonts w:ascii="Times New Roman" w:cs="Times New Roman" w:eastAsia="Times New Roman" w:hAnsi="Times New Roman"/>
          <w:sz w:val="18"/>
          <w:szCs w:val="18"/>
          <w:u w:val="single" w:color="auto"/>
          <w:color w:val="auto"/>
        </w:rPr>
        <w:t>Press Release</w:t>
      </w:r>
      <w:r>
        <w:rPr>
          <w:rFonts w:ascii="Times New Roman" w:cs="Times New Roman" w:eastAsia="Times New Roman" w:hAnsi="Times New Roman"/>
          <w:sz w:val="18"/>
          <w:szCs w:val="18"/>
          <w:color w:val="auto"/>
        </w:rPr>
        <w:t>”) announcing the execution of the Waiver Agreement. The Press Release is attached hereto as Exhibit 99.1 and is incorporated herein by reference.</w:t>
      </w:r>
    </w:p>
    <w:p>
      <w:pPr>
        <w:spacing w:after="0" w:line="306" w:lineRule="exact"/>
        <w:rPr>
          <w:sz w:val="20"/>
          <w:szCs w:val="20"/>
          <w:color w:val="auto"/>
        </w:rPr>
      </w:pPr>
    </w:p>
    <w:p>
      <w:pPr>
        <w:spacing w:after="0"/>
        <w:tabs>
          <w:tab w:leader="none" w:pos="1360" w:val="left"/>
        </w:tabs>
        <w:rPr>
          <w:sz w:val="20"/>
          <w:szCs w:val="20"/>
          <w:color w:val="auto"/>
        </w:rPr>
      </w:pPr>
      <w:r>
        <w:rPr>
          <w:rFonts w:ascii="Times New Roman" w:cs="Times New Roman" w:eastAsia="Times New Roman" w:hAnsi="Times New Roman"/>
          <w:sz w:val="18"/>
          <w:szCs w:val="18"/>
          <w:b w:val="1"/>
          <w:bCs w:val="1"/>
          <w:color w:val="auto"/>
        </w:rPr>
        <w:t>Item 9.01</w:t>
      </w:r>
      <w:r>
        <w:rPr>
          <w:sz w:val="20"/>
          <w:szCs w:val="20"/>
          <w:color w:val="auto"/>
        </w:rPr>
        <w:tab/>
      </w:r>
      <w:r>
        <w:rPr>
          <w:rFonts w:ascii="Times New Roman" w:cs="Times New Roman" w:eastAsia="Times New Roman" w:hAnsi="Times New Roman"/>
          <w:sz w:val="17"/>
          <w:szCs w:val="17"/>
          <w:b w:val="1"/>
          <w:bCs w:val="1"/>
          <w:color w:val="auto"/>
        </w:rPr>
        <w:t>Financial Statements and Exhibits.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 Exhibits.</w:t>
      </w:r>
    </w:p>
    <w:p>
      <w:pPr>
        <w:spacing w:after="0" w:line="243" w:lineRule="exact"/>
        <w:rPr>
          <w:sz w:val="20"/>
          <w:szCs w:val="20"/>
          <w:color w:val="auto"/>
        </w:rPr>
      </w:pPr>
    </w:p>
    <w:p>
      <w:pPr>
        <w:ind w:left="100"/>
        <w:spacing w:after="0"/>
        <w:tabs>
          <w:tab w:leader="none" w:pos="680" w:val="left"/>
        </w:tabs>
        <w:rPr>
          <w:rFonts w:ascii="Times New Roman" w:cs="Times New Roman" w:eastAsia="Times New Roman" w:hAnsi="Times New Roman"/>
          <w:sz w:val="17"/>
          <w:szCs w:val="17"/>
          <w:u w:val="single" w:color="auto"/>
          <w:color w:val="0000EE"/>
        </w:rPr>
      </w:pPr>
      <w:r>
        <w:rPr>
          <w:rFonts w:ascii="Times New Roman" w:cs="Times New Roman" w:eastAsia="Times New Roman" w:hAnsi="Times New Roman"/>
          <w:sz w:val="18"/>
          <w:szCs w:val="18"/>
          <w:color w:val="auto"/>
        </w:rPr>
        <w:t>2.1</w:t>
      </w:r>
      <w:r>
        <w:rPr>
          <w:sz w:val="20"/>
          <w:szCs w:val="20"/>
          <w:color w:val="auto"/>
        </w:rPr>
        <w:tab/>
      </w:r>
      <w:hyperlink w:anchor="page5">
        <w:r>
          <w:rPr>
            <w:rFonts w:ascii="Times New Roman" w:cs="Times New Roman" w:eastAsia="Times New Roman" w:hAnsi="Times New Roman"/>
            <w:sz w:val="17"/>
            <w:szCs w:val="17"/>
            <w:u w:val="single" w:color="auto"/>
            <w:color w:val="0000EE"/>
          </w:rPr>
          <w:t>Fourth Waiver and Agreement, dated as of March 27, 2018, among the Company, Parent and Merger Sub</w:t>
        </w:r>
      </w:hyperlink>
    </w:p>
    <w:p>
      <w:pPr>
        <w:spacing w:after="0" w:line="117" w:lineRule="exact"/>
        <w:rPr>
          <w:sz w:val="20"/>
          <w:szCs w:val="20"/>
          <w:color w:val="auto"/>
        </w:rPr>
      </w:pPr>
    </w:p>
    <w:p>
      <w:pPr>
        <w:spacing w:after="0"/>
        <w:tabs>
          <w:tab w:leader="none" w:pos="680" w:val="left"/>
        </w:tabs>
        <w:rPr>
          <w:rFonts w:ascii="Times New Roman" w:cs="Times New Roman" w:eastAsia="Times New Roman" w:hAnsi="Times New Roman"/>
          <w:sz w:val="17"/>
          <w:szCs w:val="17"/>
          <w:u w:val="single" w:color="auto"/>
          <w:color w:val="0000EE"/>
        </w:rPr>
      </w:pPr>
      <w:r>
        <w:rPr>
          <w:rFonts w:ascii="Times New Roman" w:cs="Times New Roman" w:eastAsia="Times New Roman" w:hAnsi="Times New Roman"/>
          <w:sz w:val="18"/>
          <w:szCs w:val="18"/>
          <w:color w:val="auto"/>
        </w:rPr>
        <w:t>99.1</w:t>
      </w:r>
      <w:r>
        <w:rPr>
          <w:sz w:val="20"/>
          <w:szCs w:val="20"/>
          <w:color w:val="auto"/>
        </w:rPr>
        <w:tab/>
      </w:r>
      <w:hyperlink w:anchor="page9">
        <w:r>
          <w:rPr>
            <w:rFonts w:ascii="Times New Roman" w:cs="Times New Roman" w:eastAsia="Times New Roman" w:hAnsi="Times New Roman"/>
            <w:sz w:val="17"/>
            <w:szCs w:val="17"/>
            <w:u w:val="single" w:color="auto"/>
            <w:color w:val="0000EE"/>
          </w:rPr>
          <w:t>Press Release issued by the Company, dated March 27, 2018</w:t>
        </w:r>
      </w:hyperlink>
    </w:p>
    <w:p>
      <w:pPr>
        <w:spacing w:after="0" w:line="329"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b w:val="1"/>
          <w:bCs w:val="1"/>
          <w:color w:val="auto"/>
        </w:rPr>
        <w:t>Cautionary Note Regarding Forward-Looking Statements</w:t>
      </w:r>
    </w:p>
    <w:p>
      <w:pPr>
        <w:spacing w:after="0" w:line="121" w:lineRule="exact"/>
        <w:rPr>
          <w:sz w:val="20"/>
          <w:szCs w:val="20"/>
          <w:color w:val="auto"/>
        </w:rPr>
      </w:pPr>
    </w:p>
    <w:p>
      <w:pPr>
        <w:ind w:right="60" w:firstLine="456"/>
        <w:spacing w:after="0" w:line="256" w:lineRule="auto"/>
        <w:rPr>
          <w:sz w:val="20"/>
          <w:szCs w:val="20"/>
          <w:color w:val="auto"/>
        </w:rPr>
      </w:pPr>
      <w:r>
        <w:rPr>
          <w:rFonts w:ascii="Times New Roman" w:cs="Times New Roman" w:eastAsia="Times New Roman" w:hAnsi="Times New Roman"/>
          <w:sz w:val="18"/>
          <w:szCs w:val="18"/>
          <w:color w:val="auto"/>
        </w:rPr>
        <w:t>This communication includes certain statements that may constitute “forward-looking statements” within the meaning of the federal securities laws, including Section 27A of the Securities Act of 1933, as amended, and Section 21E of the Securities Exchange Act of 1934, as amended. Forward-looking statements may be identified by words such as “expects,” “intends,” “anticipates,” “plans,” “believes,” “seeks,” “estimates,” “will” or words of similar meaning and include, but are not limited to, statements regarding the outlook for the company’s future business and financial performance. Forward-looking statements are based on management’s current expectations and assumptions, which are subject to inherent uncertainties, risks and changes in circumstances that are difficult to predict. Actual outcomes and results may differ materially from those in the forward-looking</w:t>
      </w:r>
    </w:p>
    <w:p>
      <w:pPr>
        <w:sectPr>
          <w:pgSz w:w="11900" w:h="16838" w:orient="portrait"/>
          <w:cols w:equalWidth="0" w:num="1">
            <w:col w:w="11340"/>
          </w:cols>
          <w:pgMar w:left="240" w:top="266" w:right="319" w:bottom="1440" w:gutter="0" w:footer="0" w:header="0"/>
        </w:sectPr>
      </w:pPr>
    </w:p>
    <w:bookmarkStart w:id="2" w:name="page3"/>
    <w:bookmarkEnd w:id="2"/>
    <w:p>
      <w:pPr>
        <w:spacing w:after="0" w:line="25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statements and factors that may cause such a difference include, but are not limited to, risks and uncertainties related to: (i) the risk that the transaction may not be completed in a timely manner or at all, which may adversely affect Genworth’s business and the price of Genworth’s common stock; (ii) the parties’ inability to find suitable mitigation options to address CFIUS’s interest and obtain regulatory approvals, or the possibility that regulatory approvals may further delay the transaction or will not be received prior to July 1, 2018 (and either or both of the parties may not be willing to further waive their End Date termination rights beyond July 1, 2018) or that materially burdensome or adverse regulatory conditions may be imposed in connection with any such regulatory approvals, including any mitigation approaches that may be necessary to obtain CFIUS approval (including those conditions that either or both of the parties may be unwilling to accept); (iii) the risk that a condition to closing of the transaction may not be satisfied; (iv) potential legal proceedings that may be instituted against Genworth following announcement of the transaction; (v) the risk that the proposed transaction disrupts Genworth’s current plans and operations as a result of the announcement and consummation of the transaction; (vi) potential adverse reactions or changes to Genworth’s business relationships with clients, employees, suppliers or other parties or other business uncertainties resulting from the announcement of the transaction or during the pendency of the transaction, including but not limited to such changes that could affect Genworth’s financial performance; (vii) certain restrictions during the pendency of the transaction that may impact Genworth’s ability to pursue certain business opportunities or strategic transactions; (viii) continued availability of capital and financing to Genworth before the consummation of the transaction; (ix) further rating agency actions and downgrades in Genworth’s financial strength ratings; (x) changes in applicable laws or regulations; (xi) Genworth’s ability to recognize the anticipated benefits of the transaction; (xii) the amount of the costs, fees, expenses and other charges related to the transaction; (xiii) the risks related to diverting management’s attention from Genworth’s ongoing business operations; (xiv) the impact of changes in interest rates and political instability; and (xv) other risks and uncertainties described in the Definitive Proxy Statement, filed with the SEC on January 25, 2017, and Genworth’s Annual Report on Form 10-K, filed with the SEC on February 28, 2018. Unlisted factors may present significant additional obstacles to the realization of forward-looking statements. Consequences of material differences in results as compared with those anticipated in the forward-looking statements could include, among other things, business disruption, operational problems, financial loss, legal liability to third parties and similar risks, any of which could have a material adverse effect on Genworth’s consolidated financial condition, results of operations, credit rating or liquidity. Accordingly, forward-looking statements should not be relied upon as representing Genworth’s views as of any subsequent date, and Genworth does not undertake any obligation to update forward-looking statements to reflect events or circumstances after the date they were made, whether as a result of new information, future events or otherwise, except as may be required under applicable securities laws.</w:t>
      </w:r>
    </w:p>
    <w:p>
      <w:pPr>
        <w:sectPr>
          <w:pgSz w:w="11900" w:h="16838" w:orient="portrait"/>
          <w:cols w:equalWidth="0" w:num="1">
            <w:col w:w="11420"/>
          </w:cols>
          <w:pgMar w:left="240" w:top="270" w:right="239" w:bottom="1440" w:gutter="0" w:footer="0" w:header="0"/>
        </w:sectPr>
      </w:pPr>
    </w:p>
    <w:bookmarkStart w:id="3" w:name="page4"/>
    <w:bookmarkEnd w:id="3"/>
    <w:p>
      <w:pPr>
        <w:jc w:val="center"/>
        <w:ind w:right="-679"/>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firstLine="456"/>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85" w:lineRule="exact"/>
        <w:rPr>
          <w:sz w:val="20"/>
          <w:szCs w:val="20"/>
          <w:color w:val="auto"/>
        </w:rPr>
      </w:pPr>
    </w:p>
    <w:p>
      <w:pPr>
        <w:spacing w:after="0"/>
        <w:tabs>
          <w:tab w:leader="none" w:pos="5880" w:val="left"/>
        </w:tabs>
        <w:rPr>
          <w:sz w:val="20"/>
          <w:szCs w:val="20"/>
          <w:color w:val="auto"/>
        </w:rPr>
      </w:pPr>
      <w:r>
        <w:rPr>
          <w:rFonts w:ascii="Times New Roman" w:cs="Times New Roman" w:eastAsia="Times New Roman" w:hAnsi="Times New Roman"/>
          <w:sz w:val="18"/>
          <w:szCs w:val="18"/>
          <w:color w:val="auto"/>
        </w:rPr>
        <w:t>Date: March 27, 2018</w:t>
      </w:r>
      <w:r>
        <w:rPr>
          <w:sz w:val="20"/>
          <w:szCs w:val="20"/>
          <w:color w:val="auto"/>
        </w:rPr>
        <w:tab/>
      </w:r>
      <w:r>
        <w:rPr>
          <w:rFonts w:ascii="Times New Roman" w:cs="Times New Roman" w:eastAsia="Times New Roman" w:hAnsi="Times New Roman"/>
          <w:sz w:val="18"/>
          <w:szCs w:val="18"/>
          <w:b w:val="1"/>
          <w:bCs w:val="1"/>
          <w:color w:val="auto"/>
        </w:rPr>
        <w:t>GENWORTH FINANCIAL, INC.</w:t>
      </w:r>
    </w:p>
    <w:p>
      <w:pPr>
        <w:spacing w:after="0" w:line="227" w:lineRule="exact"/>
        <w:rPr>
          <w:sz w:val="20"/>
          <w:szCs w:val="20"/>
          <w:color w:val="auto"/>
        </w:rPr>
      </w:pPr>
    </w:p>
    <w:p>
      <w:pPr>
        <w:ind w:left="5900"/>
        <w:spacing w:after="0"/>
        <w:rPr>
          <w:sz w:val="20"/>
          <w:szCs w:val="20"/>
          <w:color w:val="auto"/>
        </w:rPr>
      </w:pPr>
      <w:r>
        <w:rPr>
          <w:rFonts w:ascii="Times New Roman" w:cs="Times New Roman" w:eastAsia="Times New Roman" w:hAnsi="Times New Roman"/>
          <w:sz w:val="18"/>
          <w:szCs w:val="18"/>
          <w:color w:val="auto"/>
        </w:rPr>
        <w:t xml:space="preserve">By:  </w:t>
      </w:r>
      <w:r>
        <w:rPr>
          <w:rFonts w:ascii="Times New Roman" w:cs="Times New Roman" w:eastAsia="Times New Roman" w:hAnsi="Times New Roman"/>
          <w:sz w:val="18"/>
          <w:szCs w:val="18"/>
          <w:i w:val="1"/>
          <w:iCs w:val="1"/>
          <w:color w:val="auto"/>
        </w:rPr>
        <w:t>/s/ Ward E. Bobitz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18415</wp:posOffset>
            </wp:positionV>
            <wp:extent cx="32588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36" w:lineRule="exact"/>
        <w:rPr>
          <w:sz w:val="20"/>
          <w:szCs w:val="20"/>
          <w:color w:val="auto"/>
        </w:rPr>
      </w:pPr>
    </w:p>
    <w:p>
      <w:pPr>
        <w:ind w:left="6280"/>
        <w:spacing w:after="0"/>
        <w:rPr>
          <w:sz w:val="20"/>
          <w:szCs w:val="20"/>
          <w:color w:val="auto"/>
        </w:rPr>
      </w:pPr>
      <w:r>
        <w:rPr>
          <w:rFonts w:ascii="Times New Roman" w:cs="Times New Roman" w:eastAsia="Times New Roman" w:hAnsi="Times New Roman"/>
          <w:sz w:val="18"/>
          <w:szCs w:val="18"/>
          <w:color w:val="auto"/>
        </w:rPr>
        <w:t>Ward E. Bobitz</w:t>
      </w:r>
    </w:p>
    <w:p>
      <w:pPr>
        <w:spacing w:after="0" w:line="9" w:lineRule="exact"/>
        <w:rPr>
          <w:sz w:val="20"/>
          <w:szCs w:val="20"/>
          <w:color w:val="auto"/>
        </w:rPr>
      </w:pPr>
    </w:p>
    <w:p>
      <w:pPr>
        <w:ind w:left="6280"/>
        <w:spacing w:after="0"/>
        <w:rPr>
          <w:sz w:val="20"/>
          <w:szCs w:val="20"/>
          <w:color w:val="auto"/>
        </w:rPr>
      </w:pPr>
      <w:r>
        <w:rPr>
          <w:rFonts w:ascii="Times New Roman" w:cs="Times New Roman" w:eastAsia="Times New Roman" w:hAnsi="Times New Roman"/>
          <w:sz w:val="18"/>
          <w:szCs w:val="18"/>
          <w:color w:val="auto"/>
        </w:rPr>
        <w:t>Executive Vice President and General Counsel</w:t>
      </w:r>
    </w:p>
    <w:p>
      <w:pPr>
        <w:sectPr>
          <w:pgSz w:w="11900" w:h="16838" w:orient="portrait"/>
          <w:cols w:equalWidth="0" w:num="1">
            <w:col w:w="10740"/>
          </w:cols>
          <w:pgMar w:left="240" w:top="266" w:right="919" w:bottom="1440" w:gutter="0" w:footer="0" w:header="0"/>
        </w:sectPr>
      </w:pPr>
    </w:p>
    <w:bookmarkStart w:id="4" w:name="page5"/>
    <w:bookmarkEnd w:id="4"/>
    <w:p>
      <w:pPr>
        <w:jc w:val="right"/>
        <w:spacing w:after="0"/>
        <w:rPr>
          <w:sz w:val="20"/>
          <w:szCs w:val="20"/>
          <w:color w:val="auto"/>
        </w:rPr>
      </w:pPr>
      <w:r>
        <w:rPr>
          <w:rFonts w:ascii="Times New Roman" w:cs="Times New Roman" w:eastAsia="Times New Roman" w:hAnsi="Times New Roman"/>
          <w:sz w:val="18"/>
          <w:szCs w:val="18"/>
          <w:b w:val="1"/>
          <w:bCs w:val="1"/>
          <w:color w:val="auto"/>
        </w:rPr>
        <w:t>Exhibit 2.1</w:t>
      </w:r>
    </w:p>
    <w:p>
      <w:pPr>
        <w:spacing w:after="0" w:line="22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EXECUTION COPY</w:t>
      </w:r>
    </w:p>
    <w:p>
      <w:pPr>
        <w:spacing w:after="0" w:line="2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CONFIDENTIAL</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FOURTH WAIVER AND AGREEMENT</w:t>
      </w:r>
    </w:p>
    <w:p>
      <w:pPr>
        <w:spacing w:after="0" w:line="229" w:lineRule="exact"/>
        <w:rPr>
          <w:sz w:val="20"/>
          <w:szCs w:val="20"/>
          <w:color w:val="auto"/>
        </w:rPr>
      </w:pPr>
    </w:p>
    <w:p>
      <w:pPr>
        <w:ind w:right="260" w:firstLine="456"/>
        <w:spacing w:after="0" w:line="258" w:lineRule="auto"/>
        <w:rPr>
          <w:sz w:val="20"/>
          <w:szCs w:val="20"/>
          <w:color w:val="auto"/>
        </w:rPr>
      </w:pPr>
      <w:r>
        <w:rPr>
          <w:rFonts w:ascii="Times New Roman" w:cs="Times New Roman" w:eastAsia="Times New Roman" w:hAnsi="Times New Roman"/>
          <w:sz w:val="18"/>
          <w:szCs w:val="18"/>
          <w:color w:val="auto"/>
        </w:rPr>
        <w:t>This FOURTH WAIVER AND AGREEMENT, dated as of March 27, 2018 (this “</w:t>
      </w:r>
      <w:r>
        <w:rPr>
          <w:rFonts w:ascii="Times New Roman" w:cs="Times New Roman" w:eastAsia="Times New Roman" w:hAnsi="Times New Roman"/>
          <w:sz w:val="18"/>
          <w:szCs w:val="18"/>
          <w:u w:val="single" w:color="auto"/>
          <w:color w:val="auto"/>
        </w:rPr>
        <w:t>Waiver</w:t>
      </w:r>
      <w:r>
        <w:rPr>
          <w:rFonts w:ascii="Times New Roman" w:cs="Times New Roman" w:eastAsia="Times New Roman" w:hAnsi="Times New Roman"/>
          <w:sz w:val="18"/>
          <w:szCs w:val="18"/>
          <w:color w:val="auto"/>
        </w:rPr>
        <w:t>”), is by and among Genworth Financial, Inc., a Delaware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Asia Pacific Global Capital Co., Ltd., a limited liability company incorporated in the People’s Republic of China (“</w:t>
      </w:r>
      <w:r>
        <w:rPr>
          <w:rFonts w:ascii="Times New Roman" w:cs="Times New Roman" w:eastAsia="Times New Roman" w:hAnsi="Times New Roman"/>
          <w:sz w:val="18"/>
          <w:szCs w:val="18"/>
          <w:u w:val="single" w:color="auto"/>
          <w:color w:val="auto"/>
        </w:rPr>
        <w:t>Parent</w:t>
      </w:r>
      <w:r>
        <w:rPr>
          <w:rFonts w:ascii="Times New Roman" w:cs="Times New Roman" w:eastAsia="Times New Roman" w:hAnsi="Times New Roman"/>
          <w:sz w:val="18"/>
          <w:szCs w:val="18"/>
          <w:color w:val="auto"/>
        </w:rPr>
        <w:t>”), and Asia Pacific Global Capital USA Corporation, a Delaware corporation (“</w:t>
      </w:r>
      <w:r>
        <w:rPr>
          <w:rFonts w:ascii="Times New Roman" w:cs="Times New Roman" w:eastAsia="Times New Roman" w:hAnsi="Times New Roman"/>
          <w:sz w:val="18"/>
          <w:szCs w:val="18"/>
          <w:u w:val="single" w:color="auto"/>
          <w:color w:val="auto"/>
        </w:rPr>
        <w:t>Merger Sub</w:t>
      </w:r>
      <w:r>
        <w:rPr>
          <w:rFonts w:ascii="Times New Roman" w:cs="Times New Roman" w:eastAsia="Times New Roman" w:hAnsi="Times New Roman"/>
          <w:sz w:val="18"/>
          <w:szCs w:val="18"/>
          <w:color w:val="auto"/>
        </w:rPr>
        <w:t>”) (each of the Company, Parent and Merger Sub, a “</w:t>
      </w:r>
      <w:r>
        <w:rPr>
          <w:rFonts w:ascii="Times New Roman" w:cs="Times New Roman" w:eastAsia="Times New Roman" w:hAnsi="Times New Roman"/>
          <w:sz w:val="18"/>
          <w:szCs w:val="18"/>
          <w:u w:val="single" w:color="auto"/>
          <w:color w:val="auto"/>
        </w:rPr>
        <w:t>Party</w:t>
      </w:r>
      <w:r>
        <w:rPr>
          <w:rFonts w:ascii="Times New Roman" w:cs="Times New Roman" w:eastAsia="Times New Roman" w:hAnsi="Times New Roman"/>
          <w:sz w:val="18"/>
          <w:szCs w:val="18"/>
          <w:color w:val="auto"/>
        </w:rPr>
        <w:t>” and collectively, the “</w:t>
      </w:r>
      <w:r>
        <w:rPr>
          <w:rFonts w:ascii="Times New Roman" w:cs="Times New Roman" w:eastAsia="Times New Roman" w:hAnsi="Times New Roman"/>
          <w:sz w:val="18"/>
          <w:szCs w:val="18"/>
          <w:u w:val="single" w:color="auto"/>
          <w:color w:val="auto"/>
        </w:rPr>
        <w:t>Parties</w:t>
      </w:r>
      <w:r>
        <w:rPr>
          <w:rFonts w:ascii="Times New Roman" w:cs="Times New Roman" w:eastAsia="Times New Roman" w:hAnsi="Times New Roman"/>
          <w:sz w:val="18"/>
          <w:szCs w:val="18"/>
          <w:color w:val="auto"/>
        </w:rPr>
        <w:t>”). Any capitalized term used but not defined herein shall have the meaning ascribed to such term in the Merger Agreement (as defined below).</w:t>
      </w:r>
    </w:p>
    <w:p>
      <w:pPr>
        <w:spacing w:after="0" w:line="184" w:lineRule="exact"/>
        <w:rPr>
          <w:sz w:val="20"/>
          <w:szCs w:val="20"/>
          <w:color w:val="auto"/>
        </w:rPr>
      </w:pPr>
    </w:p>
    <w:p>
      <w:pPr>
        <w:ind w:right="180" w:firstLine="456"/>
        <w:spacing w:after="0" w:line="266" w:lineRule="auto"/>
        <w:rPr>
          <w:sz w:val="20"/>
          <w:szCs w:val="20"/>
          <w:color w:val="auto"/>
        </w:rPr>
      </w:pPr>
      <w:r>
        <w:rPr>
          <w:rFonts w:ascii="Times New Roman" w:cs="Times New Roman" w:eastAsia="Times New Roman" w:hAnsi="Times New Roman"/>
          <w:sz w:val="18"/>
          <w:szCs w:val="18"/>
          <w:color w:val="auto"/>
        </w:rPr>
        <w:t>WHEREAS, the Company, Parent and Merger Sub have entered into that certain (i) Agreement and Plan of Merger, dated as of October 21, 2016 (the “</w:t>
      </w:r>
      <w:r>
        <w:rPr>
          <w:rFonts w:ascii="Times New Roman" w:cs="Times New Roman" w:eastAsia="Times New Roman" w:hAnsi="Times New Roman"/>
          <w:sz w:val="18"/>
          <w:szCs w:val="18"/>
          <w:u w:val="single" w:color="auto"/>
          <w:color w:val="auto"/>
        </w:rPr>
        <w:t>Merger Agreement</w:t>
      </w:r>
      <w:r>
        <w:rPr>
          <w:rFonts w:ascii="Times New Roman" w:cs="Times New Roman" w:eastAsia="Times New Roman" w:hAnsi="Times New Roman"/>
          <w:sz w:val="18"/>
          <w:szCs w:val="18"/>
          <w:color w:val="auto"/>
        </w:rPr>
        <w:t>”), (ii) Waiver and Agreement, dated as of August 21, 2017, (iii) Second Waiver and Agreement, dated as of November 29, 2017 (the “</w:t>
      </w:r>
      <w:r>
        <w:rPr>
          <w:rFonts w:ascii="Times New Roman" w:cs="Times New Roman" w:eastAsia="Times New Roman" w:hAnsi="Times New Roman"/>
          <w:sz w:val="18"/>
          <w:szCs w:val="18"/>
          <w:u w:val="single" w:color="auto"/>
          <w:color w:val="auto"/>
        </w:rPr>
        <w:t>Second Waiver</w:t>
      </w:r>
      <w:r>
        <w:rPr>
          <w:rFonts w:ascii="Times New Roman" w:cs="Times New Roman" w:eastAsia="Times New Roman" w:hAnsi="Times New Roman"/>
          <w:sz w:val="18"/>
          <w:szCs w:val="18"/>
          <w:color w:val="auto"/>
        </w:rPr>
        <w:t>”) and (iv) Third Waiver and Agreement, dated as of February 23, 2018;</w:t>
      </w:r>
    </w:p>
    <w:p>
      <w:pPr>
        <w:spacing w:after="0" w:line="176" w:lineRule="exact"/>
        <w:rPr>
          <w:sz w:val="20"/>
          <w:szCs w:val="20"/>
          <w:color w:val="auto"/>
        </w:rPr>
      </w:pPr>
    </w:p>
    <w:p>
      <w:pPr>
        <w:ind w:firstLine="456"/>
        <w:spacing w:after="0" w:line="258" w:lineRule="auto"/>
        <w:rPr>
          <w:sz w:val="20"/>
          <w:szCs w:val="20"/>
          <w:color w:val="auto"/>
        </w:rPr>
      </w:pPr>
      <w:r>
        <w:rPr>
          <w:rFonts w:ascii="Times New Roman" w:cs="Times New Roman" w:eastAsia="Times New Roman" w:hAnsi="Times New Roman"/>
          <w:sz w:val="18"/>
          <w:szCs w:val="18"/>
          <w:color w:val="auto"/>
        </w:rPr>
        <w:t xml:space="preserve">WHEREAS, pursuant to </w:t>
      </w:r>
      <w:r>
        <w:rPr>
          <w:rFonts w:ascii="Times New Roman" w:cs="Times New Roman" w:eastAsia="Times New Roman" w:hAnsi="Times New Roman"/>
          <w:sz w:val="18"/>
          <w:szCs w:val="18"/>
          <w:u w:val="single" w:color="auto"/>
          <w:color w:val="auto"/>
        </w:rPr>
        <w:t>Section 7.1(b)</w:t>
      </w:r>
      <w:r>
        <w:rPr>
          <w:rFonts w:ascii="Times New Roman" w:cs="Times New Roman" w:eastAsia="Times New Roman" w:hAnsi="Times New Roman"/>
          <w:sz w:val="18"/>
          <w:szCs w:val="18"/>
          <w:color w:val="auto"/>
        </w:rPr>
        <w:t xml:space="preserve"> of the Merger Agreement it is a condition to the obligations of each of the Parties to effect the Merger that, prior to the Effective Time, the Parties shall have obtained the required non-PRC Regulatory Approvals including the Parent Approvals referred to in </w:t>
      </w:r>
      <w:r>
        <w:rPr>
          <w:rFonts w:ascii="Times New Roman" w:cs="Times New Roman" w:eastAsia="Times New Roman" w:hAnsi="Times New Roman"/>
          <w:sz w:val="18"/>
          <w:szCs w:val="18"/>
          <w:u w:val="single" w:color="auto"/>
          <w:color w:val="auto"/>
        </w:rPr>
        <w:t>Section 7.1(b)</w:t>
      </w:r>
      <w:r>
        <w:rPr>
          <w:rFonts w:ascii="Times New Roman" w:cs="Times New Roman" w:eastAsia="Times New Roman" w:hAnsi="Times New Roman"/>
          <w:sz w:val="18"/>
          <w:szCs w:val="18"/>
          <w:color w:val="auto"/>
        </w:rPr>
        <w:t xml:space="preserve"> of the Parent Disclosure Letter, the Company Approvals referred to in </w:t>
      </w:r>
      <w:r>
        <w:rPr>
          <w:rFonts w:ascii="Times New Roman" w:cs="Times New Roman" w:eastAsia="Times New Roman" w:hAnsi="Times New Roman"/>
          <w:sz w:val="18"/>
          <w:szCs w:val="18"/>
          <w:u w:val="single" w:color="auto"/>
          <w:color w:val="auto"/>
        </w:rPr>
        <w:t>Section 7.1(b)</w:t>
      </w:r>
      <w:r>
        <w:rPr>
          <w:rFonts w:ascii="Times New Roman" w:cs="Times New Roman" w:eastAsia="Times New Roman" w:hAnsi="Times New Roman"/>
          <w:sz w:val="18"/>
          <w:szCs w:val="18"/>
          <w:color w:val="auto"/>
        </w:rPr>
        <w:t xml:space="preserve"> of the Company Disclosure Letter and any other approvals from any Governmental Entity with competent jurisdiction for which the failure to obtain such approval would subject the Company, Parent, or their respective Affiliates, or any of their respective directors, officers, other employees or Representatives to any criminal liability;</w:t>
      </w:r>
    </w:p>
    <w:p>
      <w:pPr>
        <w:spacing w:after="0" w:line="184" w:lineRule="exact"/>
        <w:rPr>
          <w:sz w:val="20"/>
          <w:szCs w:val="20"/>
          <w:color w:val="auto"/>
        </w:rPr>
      </w:pPr>
    </w:p>
    <w:p>
      <w:pPr>
        <w:ind w:right="260" w:firstLine="456"/>
        <w:spacing w:after="0" w:line="256" w:lineRule="auto"/>
        <w:rPr>
          <w:sz w:val="20"/>
          <w:szCs w:val="20"/>
          <w:color w:val="auto"/>
        </w:rPr>
      </w:pPr>
      <w:r>
        <w:rPr>
          <w:rFonts w:ascii="Times New Roman" w:cs="Times New Roman" w:eastAsia="Times New Roman" w:hAnsi="Times New Roman"/>
          <w:sz w:val="18"/>
          <w:szCs w:val="18"/>
          <w:color w:val="auto"/>
        </w:rPr>
        <w:t xml:space="preserve">WHEREAS, </w:t>
      </w:r>
      <w:r>
        <w:rPr>
          <w:rFonts w:ascii="Times New Roman" w:cs="Times New Roman" w:eastAsia="Times New Roman" w:hAnsi="Times New Roman"/>
          <w:sz w:val="18"/>
          <w:szCs w:val="18"/>
          <w:u w:val="single" w:color="auto"/>
          <w:color w:val="auto"/>
        </w:rPr>
        <w:t>Section 8.2(a)</w:t>
      </w:r>
      <w:r>
        <w:rPr>
          <w:rFonts w:ascii="Times New Roman" w:cs="Times New Roman" w:eastAsia="Times New Roman" w:hAnsi="Times New Roman"/>
          <w:sz w:val="18"/>
          <w:szCs w:val="18"/>
          <w:color w:val="auto"/>
        </w:rPr>
        <w:t xml:space="preserve"> of the Merger Agreement provides that the Merger Agreement may be terminated and the Merger abandoned at any time prior to the Effective Time by action of the board of directors of either Parent or the Company if the Merger shall not have been consummated by the August 31, 2017 (the “</w:t>
      </w:r>
      <w:r>
        <w:rPr>
          <w:rFonts w:ascii="Times New Roman" w:cs="Times New Roman" w:eastAsia="Times New Roman" w:hAnsi="Times New Roman"/>
          <w:sz w:val="18"/>
          <w:szCs w:val="18"/>
          <w:u w:val="single" w:color="auto"/>
          <w:color w:val="auto"/>
        </w:rPr>
        <w:t>End Date</w:t>
      </w:r>
      <w:r>
        <w:rPr>
          <w:rFonts w:ascii="Times New Roman" w:cs="Times New Roman" w:eastAsia="Times New Roman" w:hAnsi="Times New Roman"/>
          <w:sz w:val="18"/>
          <w:szCs w:val="18"/>
          <w:color w:val="auto"/>
        </w:rPr>
        <w:t xml:space="preserve">”), whether such date is before or after the date of adoption of the Merger Agreement by the stockholders of the Company referred to in </w:t>
      </w:r>
      <w:r>
        <w:rPr>
          <w:rFonts w:ascii="Times New Roman" w:cs="Times New Roman" w:eastAsia="Times New Roman" w:hAnsi="Times New Roman"/>
          <w:sz w:val="18"/>
          <w:szCs w:val="18"/>
          <w:u w:val="single" w:color="auto"/>
          <w:color w:val="auto"/>
        </w:rPr>
        <w:t>Section 7.1(a)</w:t>
      </w:r>
      <w:r>
        <w:rPr>
          <w:rFonts w:ascii="Times New Roman" w:cs="Times New Roman" w:eastAsia="Times New Roman" w:hAnsi="Times New Roman"/>
          <w:sz w:val="18"/>
          <w:szCs w:val="18"/>
          <w:color w:val="auto"/>
        </w:rPr>
        <w:t xml:space="preserve"> of the Merger Agreement;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right to terminate the Merger Agreement under </w:t>
      </w:r>
      <w:r>
        <w:rPr>
          <w:rFonts w:ascii="Times New Roman" w:cs="Times New Roman" w:eastAsia="Times New Roman" w:hAnsi="Times New Roman"/>
          <w:sz w:val="18"/>
          <w:szCs w:val="18"/>
          <w:u w:val="single" w:color="auto"/>
          <w:color w:val="auto"/>
        </w:rPr>
        <w:t>Section 8.2(a)</w:t>
      </w:r>
      <w:r>
        <w:rPr>
          <w:rFonts w:ascii="Times New Roman" w:cs="Times New Roman" w:eastAsia="Times New Roman" w:hAnsi="Times New Roman"/>
          <w:sz w:val="18"/>
          <w:szCs w:val="18"/>
          <w:color w:val="auto"/>
        </w:rPr>
        <w:t xml:space="preserve"> of the Merger Agreement shall not be available to any Party if such failure of the Closing to occur on or prior to the End Date is principally caused by or is the result of a material breach of the Merger Agreement by such Party;</w:t>
      </w:r>
    </w:p>
    <w:p>
      <w:pPr>
        <w:spacing w:after="0" w:line="188" w:lineRule="exact"/>
        <w:rPr>
          <w:sz w:val="20"/>
          <w:szCs w:val="20"/>
          <w:color w:val="auto"/>
        </w:rPr>
      </w:pPr>
    </w:p>
    <w:p>
      <w:pPr>
        <w:ind w:right="280" w:firstLine="456"/>
        <w:spacing w:after="0" w:line="282" w:lineRule="auto"/>
        <w:rPr>
          <w:sz w:val="20"/>
          <w:szCs w:val="20"/>
          <w:color w:val="auto"/>
        </w:rPr>
      </w:pPr>
      <w:r>
        <w:rPr>
          <w:rFonts w:ascii="Times New Roman" w:cs="Times New Roman" w:eastAsia="Times New Roman" w:hAnsi="Times New Roman"/>
          <w:sz w:val="18"/>
          <w:szCs w:val="18"/>
          <w:color w:val="auto"/>
        </w:rPr>
        <w:t xml:space="preserve">WHEREAS, pursuant to </w:t>
      </w:r>
      <w:r>
        <w:rPr>
          <w:rFonts w:ascii="Times New Roman" w:cs="Times New Roman" w:eastAsia="Times New Roman" w:hAnsi="Times New Roman"/>
          <w:sz w:val="18"/>
          <w:szCs w:val="18"/>
          <w:u w:val="single" w:color="auto"/>
          <w:color w:val="auto"/>
        </w:rPr>
        <w:t>Section 1(a)</w:t>
      </w:r>
      <w:r>
        <w:rPr>
          <w:rFonts w:ascii="Times New Roman" w:cs="Times New Roman" w:eastAsia="Times New Roman" w:hAnsi="Times New Roman"/>
          <w:sz w:val="18"/>
          <w:szCs w:val="18"/>
          <w:color w:val="auto"/>
        </w:rPr>
        <w:t xml:space="preserve"> of the Second Waiver, each of the Parties waived its right to terminate the Merger Agreement and abandon the Merger pursuant to </w:t>
      </w:r>
      <w:r>
        <w:rPr>
          <w:rFonts w:ascii="Times New Roman" w:cs="Times New Roman" w:eastAsia="Times New Roman" w:hAnsi="Times New Roman"/>
          <w:sz w:val="18"/>
          <w:szCs w:val="18"/>
          <w:u w:val="single" w:color="auto"/>
          <w:color w:val="auto"/>
        </w:rPr>
        <w:t>Section 8.2(a)</w:t>
      </w:r>
      <w:r>
        <w:rPr>
          <w:rFonts w:ascii="Times New Roman" w:cs="Times New Roman" w:eastAsia="Times New Roman" w:hAnsi="Times New Roman"/>
          <w:sz w:val="18"/>
          <w:szCs w:val="18"/>
          <w:color w:val="auto"/>
        </w:rPr>
        <w:t xml:space="preserve"> of the Merger Agreement prior to April 1, 2018;</w:t>
      </w:r>
    </w:p>
    <w:p>
      <w:pPr>
        <w:spacing w:after="0" w:line="162" w:lineRule="exact"/>
        <w:rPr>
          <w:sz w:val="20"/>
          <w:szCs w:val="20"/>
          <w:color w:val="auto"/>
        </w:rPr>
      </w:pPr>
    </w:p>
    <w:p>
      <w:pPr>
        <w:ind w:right="140" w:firstLine="456"/>
        <w:spacing w:after="0" w:line="282" w:lineRule="auto"/>
        <w:rPr>
          <w:sz w:val="20"/>
          <w:szCs w:val="20"/>
          <w:color w:val="auto"/>
        </w:rPr>
      </w:pPr>
      <w:r>
        <w:rPr>
          <w:rFonts w:ascii="Times New Roman" w:cs="Times New Roman" w:eastAsia="Times New Roman" w:hAnsi="Times New Roman"/>
          <w:sz w:val="18"/>
          <w:szCs w:val="18"/>
          <w:color w:val="auto"/>
        </w:rPr>
        <w:t xml:space="preserve">WHEREAS, as of the date hereof, certain approvals required under </w:t>
      </w:r>
      <w:r>
        <w:rPr>
          <w:rFonts w:ascii="Times New Roman" w:cs="Times New Roman" w:eastAsia="Times New Roman" w:hAnsi="Times New Roman"/>
          <w:sz w:val="18"/>
          <w:szCs w:val="18"/>
          <w:u w:val="single" w:color="auto"/>
          <w:color w:val="auto"/>
        </w:rPr>
        <w:t>Section 7.1(b)</w:t>
      </w:r>
      <w:r>
        <w:rPr>
          <w:rFonts w:ascii="Times New Roman" w:cs="Times New Roman" w:eastAsia="Times New Roman" w:hAnsi="Times New Roman"/>
          <w:sz w:val="18"/>
          <w:szCs w:val="18"/>
          <w:color w:val="auto"/>
        </w:rPr>
        <w:t xml:space="preserve"> of the Merger Agreement have not been obtained (the “</w:t>
      </w:r>
      <w:r>
        <w:rPr>
          <w:rFonts w:ascii="Times New Roman" w:cs="Times New Roman" w:eastAsia="Times New Roman" w:hAnsi="Times New Roman"/>
          <w:sz w:val="18"/>
          <w:szCs w:val="18"/>
          <w:u w:val="single" w:color="auto"/>
          <w:color w:val="auto"/>
        </w:rPr>
        <w:t>Outstanding</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Approvals</w:t>
      </w:r>
      <w:r>
        <w:rPr>
          <w:rFonts w:ascii="Times New Roman" w:cs="Times New Roman" w:eastAsia="Times New Roman" w:hAnsi="Times New Roman"/>
          <w:sz w:val="18"/>
          <w:szCs w:val="18"/>
          <w:color w:val="auto"/>
        </w:rPr>
        <w:t>”) and the Parties have reasonably determined that certain of such Outstanding Approvals will not be obtained by April 1, 2018;</w:t>
      </w:r>
    </w:p>
    <w:p>
      <w:pPr>
        <w:sectPr>
          <w:pgSz w:w="11900" w:h="16838" w:orient="portrait"/>
          <w:cols w:equalWidth="0" w:num="1">
            <w:col w:w="11420"/>
          </w:cols>
          <w:pgMar w:left="240" w:top="117" w:right="239" w:bottom="1440" w:gutter="0" w:footer="0" w:header="0"/>
        </w:sectPr>
      </w:pPr>
    </w:p>
    <w:bookmarkStart w:id="5" w:name="page6"/>
    <w:bookmarkEnd w:id="5"/>
    <w:p>
      <w:pPr>
        <w:ind w:right="180" w:firstLine="456"/>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WHEREAS, in light of the above-referenced Outstanding Approvals, the Parties acknowledge that it is reasonably expected that each Party will have the right to terminate the Merger Agreement pursuant to </w:t>
      </w:r>
      <w:r>
        <w:rPr>
          <w:rFonts w:ascii="Times New Roman" w:cs="Times New Roman" w:eastAsia="Times New Roman" w:hAnsi="Times New Roman"/>
          <w:sz w:val="18"/>
          <w:szCs w:val="18"/>
          <w:u w:val="single" w:color="auto"/>
          <w:color w:val="auto"/>
        </w:rPr>
        <w:t>Section 8.2(a)</w:t>
      </w:r>
      <w:r>
        <w:rPr>
          <w:rFonts w:ascii="Times New Roman" w:cs="Times New Roman" w:eastAsia="Times New Roman" w:hAnsi="Times New Roman"/>
          <w:sz w:val="18"/>
          <w:szCs w:val="18"/>
          <w:color w:val="auto"/>
        </w:rPr>
        <w:t xml:space="preserve"> of the Merger Agreement on April 2, 2018;</w:t>
      </w:r>
    </w:p>
    <w:p>
      <w:pPr>
        <w:spacing w:after="0" w:line="162" w:lineRule="exact"/>
        <w:rPr>
          <w:sz w:val="20"/>
          <w:szCs w:val="20"/>
          <w:color w:val="auto"/>
        </w:rPr>
      </w:pPr>
    </w:p>
    <w:p>
      <w:pPr>
        <w:ind w:firstLine="456"/>
        <w:spacing w:after="0" w:line="258" w:lineRule="auto"/>
        <w:rPr>
          <w:sz w:val="20"/>
          <w:szCs w:val="20"/>
          <w:color w:val="auto"/>
        </w:rPr>
      </w:pPr>
      <w:r>
        <w:rPr>
          <w:rFonts w:ascii="Times New Roman" w:cs="Times New Roman" w:eastAsia="Times New Roman" w:hAnsi="Times New Roman"/>
          <w:sz w:val="18"/>
          <w:szCs w:val="18"/>
          <w:color w:val="auto"/>
        </w:rPr>
        <w:t>WHEREAS, as of the date hereof, each of the Parties has reasonably determined and therefore acknowledges that (i) each of the other Parties has performed its obligations under the Merger Agreement in all material respects including the obligation to use its reasonable best efforts to take or cause to be taken all actions, and do or cause to be done all things, reasonably necessary, proper or advisable on its part under the Merger Agreement and applicable Laws to consummate and make effective the Merger and the other transactions contemplated by the Merger Agreement, as soon as practicable, and (ii) there has been no breach of any representation, warranty, covenant or agreement under the Merger Agreement on the part of any of the Parties; and</w:t>
      </w:r>
    </w:p>
    <w:p>
      <w:pPr>
        <w:spacing w:after="0" w:line="184" w:lineRule="exact"/>
        <w:rPr>
          <w:sz w:val="20"/>
          <w:szCs w:val="20"/>
          <w:color w:val="auto"/>
        </w:rPr>
      </w:pPr>
    </w:p>
    <w:p>
      <w:pPr>
        <w:ind w:right="120" w:firstLine="456"/>
        <w:spacing w:after="0" w:line="266" w:lineRule="auto"/>
        <w:rPr>
          <w:sz w:val="20"/>
          <w:szCs w:val="20"/>
          <w:color w:val="auto"/>
        </w:rPr>
      </w:pPr>
      <w:r>
        <w:rPr>
          <w:rFonts w:ascii="Times New Roman" w:cs="Times New Roman" w:eastAsia="Times New Roman" w:hAnsi="Times New Roman"/>
          <w:sz w:val="18"/>
          <w:szCs w:val="18"/>
          <w:color w:val="auto"/>
        </w:rPr>
        <w:t xml:space="preserve">WHEREAS, in light of the above-referenced Outstanding Approvals, the board of directors of each of the Parties has determined that it is in such Party’s best interests and the best interests of its stockholder or stockholders (as applicable) for the Parties to continue to be bound by the Merger Agreement and each of the Parties desires to waive certain of its rights and obligations under the Merger Agreement, as set forth in </w:t>
      </w:r>
      <w:r>
        <w:rPr>
          <w:rFonts w:ascii="Times New Roman" w:cs="Times New Roman" w:eastAsia="Times New Roman" w:hAnsi="Times New Roman"/>
          <w:sz w:val="18"/>
          <w:szCs w:val="18"/>
          <w:u w:val="single" w:color="auto"/>
          <w:color w:val="auto"/>
        </w:rPr>
        <w:t>Section 1</w:t>
      </w:r>
      <w:r>
        <w:rPr>
          <w:rFonts w:ascii="Times New Roman" w:cs="Times New Roman" w:eastAsia="Times New Roman" w:hAnsi="Times New Roman"/>
          <w:sz w:val="18"/>
          <w:szCs w:val="18"/>
          <w:color w:val="auto"/>
        </w:rPr>
        <w:t xml:space="preserve"> of this Waiver.</w:t>
      </w:r>
    </w:p>
    <w:p>
      <w:pPr>
        <w:spacing w:after="0" w:line="176" w:lineRule="exact"/>
        <w:rPr>
          <w:sz w:val="20"/>
          <w:szCs w:val="20"/>
          <w:color w:val="auto"/>
        </w:rPr>
      </w:pPr>
    </w:p>
    <w:p>
      <w:pPr>
        <w:ind w:right="440" w:firstLine="456"/>
        <w:spacing w:after="0" w:line="266" w:lineRule="auto"/>
        <w:rPr>
          <w:sz w:val="20"/>
          <w:szCs w:val="20"/>
          <w:color w:val="auto"/>
        </w:rPr>
      </w:pPr>
      <w:r>
        <w:rPr>
          <w:rFonts w:ascii="Times New Roman" w:cs="Times New Roman" w:eastAsia="Times New Roman" w:hAnsi="Times New Roman"/>
          <w:sz w:val="18"/>
          <w:szCs w:val="18"/>
          <w:color w:val="auto"/>
        </w:rPr>
        <w:t>NOW, THEREFORE, in consideration of the mutual covenants, agreements and undertakings contained herein, and other good and valuable consideration, and subject to and on the terms and conditions set forth in this Waiver, the receipt and sufficiency of which are hereby acknowledged, the Parties, each intending to be legally bound, hereby agree as follows:</w:t>
      </w:r>
    </w:p>
    <w:p>
      <w:pPr>
        <w:spacing w:after="0" w:line="176"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 xml:space="preserve">SECTION 1. </w:t>
      </w:r>
      <w:r>
        <w:rPr>
          <w:rFonts w:ascii="Times New Roman" w:cs="Times New Roman" w:eastAsia="Times New Roman" w:hAnsi="Times New Roman"/>
          <w:sz w:val="18"/>
          <w:szCs w:val="18"/>
          <w:u w:val="single" w:color="auto"/>
          <w:color w:val="auto"/>
        </w:rPr>
        <w:t>Waiver and Agreement</w:t>
      </w:r>
      <w:r>
        <w:rPr>
          <w:rFonts w:ascii="Times New Roman" w:cs="Times New Roman" w:eastAsia="Times New Roman" w:hAnsi="Times New Roman"/>
          <w:sz w:val="18"/>
          <w:szCs w:val="18"/>
          <w:color w:val="auto"/>
        </w:rPr>
        <w:t>.</w:t>
      </w:r>
    </w:p>
    <w:p>
      <w:pPr>
        <w:spacing w:after="0" w:line="131" w:lineRule="exact"/>
        <w:rPr>
          <w:sz w:val="20"/>
          <w:szCs w:val="20"/>
          <w:color w:val="auto"/>
        </w:rPr>
      </w:pPr>
    </w:p>
    <w:p>
      <w:pPr>
        <w:ind w:left="900" w:right="160" w:hanging="446"/>
        <w:spacing w:after="0" w:line="282" w:lineRule="auto"/>
        <w:tabs>
          <w:tab w:leader="none" w:pos="9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Each of the Company and Parent hereby waives its right to terminate the Merger Agreement and abandon the Merger pursuant to </w:t>
      </w:r>
      <w:r>
        <w:rPr>
          <w:rFonts w:ascii="Times New Roman" w:cs="Times New Roman" w:eastAsia="Times New Roman" w:hAnsi="Times New Roman"/>
          <w:sz w:val="18"/>
          <w:szCs w:val="18"/>
          <w:u w:val="single" w:color="auto"/>
          <w:color w:val="auto"/>
        </w:rPr>
        <w:t>Section 8.2(a)</w:t>
      </w:r>
      <w:r>
        <w:rPr>
          <w:rFonts w:ascii="Times New Roman" w:cs="Times New Roman" w:eastAsia="Times New Roman" w:hAnsi="Times New Roman"/>
          <w:sz w:val="18"/>
          <w:szCs w:val="18"/>
          <w:color w:val="auto"/>
        </w:rPr>
        <w:t xml:space="preserve"> of the Merger Agreement prior to July 1, 2018.</w:t>
      </w:r>
    </w:p>
    <w:p>
      <w:pPr>
        <w:spacing w:after="0" w:line="67" w:lineRule="exact"/>
        <w:rPr>
          <w:rFonts w:ascii="Times New Roman" w:cs="Times New Roman" w:eastAsia="Times New Roman" w:hAnsi="Times New Roman"/>
          <w:sz w:val="18"/>
          <w:szCs w:val="18"/>
          <w:color w:val="auto"/>
        </w:rPr>
      </w:pPr>
    </w:p>
    <w:p>
      <w:pPr>
        <w:ind w:left="900" w:right="140" w:hanging="446"/>
        <w:spacing w:after="0" w:line="258" w:lineRule="auto"/>
        <w:tabs>
          <w:tab w:leader="none" w:pos="9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Each of the Company and Parent hereby acknowledges that the Merger Agreement may be terminated and the Merger may be abandoned at any time prior to the Effective Time by action of the board of directors of either Parent or the Company pursuant to </w:t>
      </w:r>
      <w:r>
        <w:rPr>
          <w:rFonts w:ascii="Times New Roman" w:cs="Times New Roman" w:eastAsia="Times New Roman" w:hAnsi="Times New Roman"/>
          <w:sz w:val="18"/>
          <w:szCs w:val="18"/>
          <w:u w:val="single" w:color="auto"/>
          <w:color w:val="auto"/>
        </w:rPr>
        <w:t>Section 8.2(c)</w:t>
      </w:r>
      <w:r>
        <w:rPr>
          <w:rFonts w:ascii="Times New Roman" w:cs="Times New Roman" w:eastAsia="Times New Roman" w:hAnsi="Times New Roman"/>
          <w:sz w:val="18"/>
          <w:szCs w:val="18"/>
          <w:color w:val="auto"/>
        </w:rPr>
        <w:t xml:space="preserve"> of the Merger Agreement if CFIUS notifies Parent, Merger Sub and the Company that CFIUS has completed its review of the Merger and the mitigation proposals presented by the Parties, and intends to send a report to the President of the United States recommending that the President act to suspend or prohibit the Merger or any of the other transactions contemplated by the Merger Agreement.</w:t>
      </w:r>
    </w:p>
    <w:p>
      <w:pPr>
        <w:spacing w:after="0" w:line="89" w:lineRule="exact"/>
        <w:rPr>
          <w:rFonts w:ascii="Times New Roman" w:cs="Times New Roman" w:eastAsia="Times New Roman" w:hAnsi="Times New Roman"/>
          <w:sz w:val="18"/>
          <w:szCs w:val="18"/>
          <w:color w:val="auto"/>
        </w:rPr>
      </w:pPr>
    </w:p>
    <w:p>
      <w:pPr>
        <w:ind w:left="900" w:right="100" w:hanging="446"/>
        <w:spacing w:after="0" w:line="261" w:lineRule="auto"/>
        <w:tabs>
          <w:tab w:leader="none" w:pos="9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The Company hereby (x) acknowledges that, as of the date hereof, there has been no breach of the Merger Agreement on the part of Parent or Merger Sub and (y) irrevocably waives any claim against each of Parent and Merger Sub based upon or arising out of any actual or alleged breach of any representation, warranty, covenant or agreement set forth in the Merger Agreement based upon the facts or circumstances existing or</w:t>
      </w:r>
    </w:p>
    <w:p>
      <w:pPr>
        <w:spacing w:after="0" w:line="112" w:lineRule="exact"/>
        <w:rPr>
          <w:rFonts w:ascii="Times New Roman" w:cs="Times New Roman" w:eastAsia="Times New Roman" w:hAnsi="Times New Roman"/>
          <w:sz w:val="18"/>
          <w:szCs w:val="18"/>
          <w:color w:val="auto"/>
        </w:rPr>
      </w:pPr>
    </w:p>
    <w:p>
      <w:pPr>
        <w:ind w:left="5660" w:hanging="96"/>
        <w:spacing w:after="0"/>
        <w:tabs>
          <w:tab w:leader="none" w:pos="5660" w:val="left"/>
        </w:tabs>
        <w:numPr>
          <w:ilvl w:val="1"/>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2 -</w:t>
      </w:r>
    </w:p>
    <w:p>
      <w:pPr>
        <w:sectPr>
          <w:pgSz w:w="11900" w:h="16838" w:orient="portrait"/>
          <w:cols w:equalWidth="0" w:num="1">
            <w:col w:w="11400"/>
          </w:cols>
          <w:pgMar w:left="240" w:top="270" w:right="259" w:bottom="1440" w:gutter="0" w:footer="0" w:header="0"/>
        </w:sectPr>
      </w:pPr>
    </w:p>
    <w:bookmarkStart w:id="6" w:name="page7"/>
    <w:bookmarkEnd w:id="6"/>
    <w:p>
      <w:pPr>
        <w:ind w:left="466" w:right="460"/>
        <w:spacing w:after="0" w:line="258"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occurring on or prior to the date hereof; and (ii) Parent hereby (x) acknowledges that, as of the date hereof, there has been no breach of the Merger Agreement on the part of the Company and (y) irrevocably waives any claim against the Company based upon or arising out of any actual or alleged breach of any representation, warranty, covenant or agreement set forth in the Merger Agreement based upon the facts or circumstances existing or occurring on or prior to the date hereof and in each of the foregoing clauses (i) and (ii), for all purposes under the Merger Agreement including </w:t>
      </w:r>
      <w:r>
        <w:rPr>
          <w:rFonts w:ascii="Times New Roman" w:cs="Times New Roman" w:eastAsia="Times New Roman" w:hAnsi="Times New Roman"/>
          <w:sz w:val="18"/>
          <w:szCs w:val="18"/>
          <w:u w:val="single" w:color="auto"/>
          <w:color w:val="auto"/>
        </w:rPr>
        <w:t>Section 8.3(a)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Section 8.4(b)</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u w:val="single" w:color="auto"/>
          <w:color w:val="auto"/>
        </w:rPr>
        <w:t>Section 8.5</w:t>
      </w:r>
      <w:r>
        <w:rPr>
          <w:rFonts w:ascii="Times New Roman" w:cs="Times New Roman" w:eastAsia="Times New Roman" w:hAnsi="Times New Roman"/>
          <w:sz w:val="18"/>
          <w:szCs w:val="18"/>
          <w:color w:val="auto"/>
        </w:rPr>
        <w:t xml:space="preserve"> (as applicable).</w:t>
      </w:r>
    </w:p>
    <w:p>
      <w:pPr>
        <w:spacing w:after="0" w:line="184" w:lineRule="exact"/>
        <w:rPr>
          <w:sz w:val="20"/>
          <w:szCs w:val="20"/>
          <w:color w:val="auto"/>
        </w:rPr>
      </w:pPr>
    </w:p>
    <w:p>
      <w:pPr>
        <w:ind w:left="6"/>
        <w:spacing w:after="0"/>
        <w:rPr>
          <w:sz w:val="20"/>
          <w:szCs w:val="20"/>
          <w:color w:val="auto"/>
        </w:rPr>
      </w:pPr>
      <w:r>
        <w:rPr>
          <w:rFonts w:ascii="Times New Roman" w:cs="Times New Roman" w:eastAsia="Times New Roman" w:hAnsi="Times New Roman"/>
          <w:sz w:val="18"/>
          <w:szCs w:val="18"/>
          <w:color w:val="auto"/>
        </w:rPr>
        <w:t xml:space="preserve">SECTION 2. </w:t>
      </w:r>
      <w:r>
        <w:rPr>
          <w:rFonts w:ascii="Times New Roman" w:cs="Times New Roman" w:eastAsia="Times New Roman" w:hAnsi="Times New Roman"/>
          <w:sz w:val="18"/>
          <w:szCs w:val="18"/>
          <w:u w:val="single" w:color="auto"/>
          <w:color w:val="auto"/>
        </w:rPr>
        <w:t>General Provisions</w:t>
      </w:r>
      <w:r>
        <w:rPr>
          <w:rFonts w:ascii="Times New Roman" w:cs="Times New Roman" w:eastAsia="Times New Roman" w:hAnsi="Times New Roman"/>
          <w:sz w:val="18"/>
          <w:szCs w:val="18"/>
          <w:color w:val="auto"/>
        </w:rPr>
        <w:t>.</w:t>
      </w:r>
    </w:p>
    <w:p>
      <w:pPr>
        <w:spacing w:after="0" w:line="131" w:lineRule="exact"/>
        <w:rPr>
          <w:sz w:val="20"/>
          <w:szCs w:val="20"/>
          <w:color w:val="auto"/>
        </w:rPr>
      </w:pPr>
    </w:p>
    <w:p>
      <w:pPr>
        <w:ind w:left="446" w:hanging="446"/>
        <w:spacing w:after="0" w:line="266" w:lineRule="auto"/>
        <w:tabs>
          <w:tab w:leader="none" w:pos="446"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expressly provided herein, nothing in this Waiver shall be deemed to constitute a waiver of compliance by any Party with respect to any other term, provision or condition of the Merger Agreement or shall be deemed or construed to amend, supplement or modify the Merger Agreement or otherwise affect the rights and obligations of any Party thereto, all of which remain in full force and effect.</w:t>
      </w:r>
    </w:p>
    <w:p>
      <w:pPr>
        <w:spacing w:after="0" w:line="81" w:lineRule="exact"/>
        <w:rPr>
          <w:rFonts w:ascii="Times New Roman" w:cs="Times New Roman" w:eastAsia="Times New Roman" w:hAnsi="Times New Roman"/>
          <w:sz w:val="18"/>
          <w:szCs w:val="18"/>
          <w:color w:val="auto"/>
        </w:rPr>
      </w:pPr>
    </w:p>
    <w:p>
      <w:pPr>
        <w:ind w:left="446" w:hanging="446"/>
        <w:spacing w:after="0" w:line="261" w:lineRule="auto"/>
        <w:tabs>
          <w:tab w:leader="none" w:pos="446"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following provisions from the Merger Agreement shall be incorporated into, and be effective with respect to, this Waiver as if set forth herein in their entirety: </w:t>
      </w:r>
      <w:r>
        <w:rPr>
          <w:rFonts w:ascii="Times New Roman" w:cs="Times New Roman" w:eastAsia="Times New Roman" w:hAnsi="Times New Roman"/>
          <w:sz w:val="18"/>
          <w:szCs w:val="18"/>
          <w:u w:val="single" w:color="auto"/>
          <w:color w:val="auto"/>
        </w:rPr>
        <w:t>Section 9.2</w:t>
      </w:r>
      <w:r>
        <w:rPr>
          <w:rFonts w:ascii="Times New Roman" w:cs="Times New Roman" w:eastAsia="Times New Roman" w:hAnsi="Times New Roman"/>
          <w:sz w:val="18"/>
          <w:szCs w:val="18"/>
          <w:color w:val="auto"/>
        </w:rPr>
        <w:t xml:space="preserve"> (Modification or Amendment), </w:t>
      </w:r>
      <w:r>
        <w:rPr>
          <w:rFonts w:ascii="Times New Roman" w:cs="Times New Roman" w:eastAsia="Times New Roman" w:hAnsi="Times New Roman"/>
          <w:sz w:val="18"/>
          <w:szCs w:val="18"/>
          <w:u w:val="single" w:color="auto"/>
          <w:color w:val="auto"/>
        </w:rPr>
        <w:t>Section 9.4</w:t>
      </w:r>
      <w:r>
        <w:rPr>
          <w:rFonts w:ascii="Times New Roman" w:cs="Times New Roman" w:eastAsia="Times New Roman" w:hAnsi="Times New Roman"/>
          <w:sz w:val="18"/>
          <w:szCs w:val="18"/>
          <w:color w:val="auto"/>
        </w:rPr>
        <w:t xml:space="preserve"> (Counterparts), </w:t>
      </w:r>
      <w:r>
        <w:rPr>
          <w:rFonts w:ascii="Times New Roman" w:cs="Times New Roman" w:eastAsia="Times New Roman" w:hAnsi="Times New Roman"/>
          <w:sz w:val="18"/>
          <w:szCs w:val="18"/>
          <w:u w:val="single" w:color="auto"/>
          <w:color w:val="auto"/>
        </w:rPr>
        <w:t>Section 9.5</w:t>
      </w:r>
      <w:r>
        <w:rPr>
          <w:rFonts w:ascii="Times New Roman" w:cs="Times New Roman" w:eastAsia="Times New Roman" w:hAnsi="Times New Roman"/>
          <w:sz w:val="18"/>
          <w:szCs w:val="18"/>
          <w:color w:val="auto"/>
        </w:rPr>
        <w:t xml:space="preserve"> (Governing Law; Arbitration; Specific Performance; Sovereign Immunity), </w:t>
      </w:r>
      <w:r>
        <w:rPr>
          <w:rFonts w:ascii="Times New Roman" w:cs="Times New Roman" w:eastAsia="Times New Roman" w:hAnsi="Times New Roman"/>
          <w:sz w:val="18"/>
          <w:szCs w:val="18"/>
          <w:u w:val="single" w:color="auto"/>
          <w:color w:val="auto"/>
        </w:rPr>
        <w:t>Section 9.6</w:t>
      </w:r>
      <w:r>
        <w:rPr>
          <w:rFonts w:ascii="Times New Roman" w:cs="Times New Roman" w:eastAsia="Times New Roman" w:hAnsi="Times New Roman"/>
          <w:sz w:val="18"/>
          <w:szCs w:val="18"/>
          <w:color w:val="auto"/>
        </w:rPr>
        <w:t xml:space="preserve"> (Notices), </w:t>
      </w:r>
      <w:r>
        <w:rPr>
          <w:rFonts w:ascii="Times New Roman" w:cs="Times New Roman" w:eastAsia="Times New Roman" w:hAnsi="Times New Roman"/>
          <w:sz w:val="18"/>
          <w:szCs w:val="18"/>
          <w:u w:val="single" w:color="auto"/>
          <w:color w:val="auto"/>
        </w:rPr>
        <w:t>Section 9.9</w:t>
      </w:r>
      <w:r>
        <w:rPr>
          <w:rFonts w:ascii="Times New Roman" w:cs="Times New Roman" w:eastAsia="Times New Roman" w:hAnsi="Times New Roman"/>
          <w:sz w:val="18"/>
          <w:szCs w:val="18"/>
          <w:color w:val="auto"/>
        </w:rPr>
        <w:t xml:space="preserve"> (Obligations of Parent and of the Company), </w:t>
      </w:r>
      <w:r>
        <w:rPr>
          <w:rFonts w:ascii="Times New Roman" w:cs="Times New Roman" w:eastAsia="Times New Roman" w:hAnsi="Times New Roman"/>
          <w:sz w:val="18"/>
          <w:szCs w:val="18"/>
          <w:u w:val="single" w:color="auto"/>
          <w:color w:val="auto"/>
        </w:rPr>
        <w:t>Section 9.11</w:t>
      </w:r>
      <w:r>
        <w:rPr>
          <w:rFonts w:ascii="Times New Roman" w:cs="Times New Roman" w:eastAsia="Times New Roman" w:hAnsi="Times New Roman"/>
          <w:sz w:val="18"/>
          <w:szCs w:val="18"/>
          <w:color w:val="auto"/>
        </w:rPr>
        <w:t xml:space="preserve"> (Severability) and </w:t>
      </w:r>
      <w:r>
        <w:rPr>
          <w:rFonts w:ascii="Times New Roman" w:cs="Times New Roman" w:eastAsia="Times New Roman" w:hAnsi="Times New Roman"/>
          <w:sz w:val="18"/>
          <w:szCs w:val="18"/>
          <w:u w:val="single" w:color="auto"/>
          <w:color w:val="auto"/>
        </w:rPr>
        <w:t>Section 9.13</w:t>
      </w:r>
      <w:r>
        <w:rPr>
          <w:rFonts w:ascii="Times New Roman" w:cs="Times New Roman" w:eastAsia="Times New Roman" w:hAnsi="Times New Roman"/>
          <w:sz w:val="18"/>
          <w:szCs w:val="18"/>
          <w:color w:val="auto"/>
        </w:rPr>
        <w:t xml:space="preserve"> (Assignment).</w:t>
      </w:r>
    </w:p>
    <w:p>
      <w:pPr>
        <w:spacing w:after="0" w:line="178" w:lineRule="exact"/>
        <w:rPr>
          <w:sz w:val="20"/>
          <w:szCs w:val="20"/>
          <w:color w:val="auto"/>
        </w:rPr>
      </w:pPr>
    </w:p>
    <w:p>
      <w:pPr>
        <w:jc w:val="center"/>
        <w:ind w:right="434"/>
        <w:spacing w:after="0"/>
        <w:rPr>
          <w:sz w:val="20"/>
          <w:szCs w:val="20"/>
          <w:color w:val="auto"/>
        </w:rPr>
      </w:pPr>
      <w:r>
        <w:rPr>
          <w:rFonts w:ascii="Times New Roman" w:cs="Times New Roman" w:eastAsia="Times New Roman" w:hAnsi="Times New Roman"/>
          <w:sz w:val="18"/>
          <w:szCs w:val="18"/>
          <w:i w:val="1"/>
          <w:iCs w:val="1"/>
          <w:color w:val="auto"/>
        </w:rPr>
        <w:t>[Signature page follows]</w:t>
      </w:r>
    </w:p>
    <w:p>
      <w:pPr>
        <w:spacing w:after="0" w:line="160" w:lineRule="exact"/>
        <w:rPr>
          <w:sz w:val="20"/>
          <w:szCs w:val="20"/>
          <w:color w:val="auto"/>
        </w:rPr>
      </w:pPr>
    </w:p>
    <w:p>
      <w:pPr>
        <w:jc w:val="center"/>
        <w:ind w:right="434"/>
        <w:spacing w:after="0"/>
        <w:rPr>
          <w:sz w:val="20"/>
          <w:szCs w:val="20"/>
          <w:color w:val="auto"/>
        </w:rPr>
      </w:pPr>
      <w:r>
        <w:rPr>
          <w:rFonts w:ascii="Times New Roman" w:cs="Times New Roman" w:eastAsia="Times New Roman" w:hAnsi="Times New Roman"/>
          <w:sz w:val="18"/>
          <w:szCs w:val="18"/>
          <w:color w:val="auto"/>
        </w:rPr>
        <w:t>- 3 -</w:t>
      </w:r>
    </w:p>
    <w:p>
      <w:pPr>
        <w:sectPr>
          <w:pgSz w:w="11900" w:h="16838" w:orient="portrait"/>
          <w:cols w:equalWidth="0" w:num="1">
            <w:col w:w="10966"/>
          </w:cols>
          <w:pgMar w:left="694" w:top="270" w:right="239" w:bottom="1440" w:gutter="0" w:footer="0" w:header="0"/>
        </w:sectPr>
      </w:pPr>
    </w:p>
    <w:bookmarkStart w:id="7" w:name="page8"/>
    <w:bookmarkEnd w:id="7"/>
    <w:p>
      <w:pPr>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 WITNESS WHEREOF, the Parties have duly executed this Waiver as of the date first written above.</w:t>
      </w:r>
    </w:p>
    <w:p>
      <w:pPr>
        <w:spacing w:after="0" w:line="252" w:lineRule="exact"/>
        <w:rPr>
          <w:sz w:val="20"/>
          <w:szCs w:val="20"/>
          <w:color w:val="auto"/>
        </w:rPr>
      </w:pPr>
    </w:p>
    <w:p>
      <w:pPr>
        <w:ind w:left="6400"/>
        <w:spacing w:after="0"/>
        <w:rPr>
          <w:sz w:val="20"/>
          <w:szCs w:val="20"/>
          <w:color w:val="auto"/>
        </w:rPr>
      </w:pPr>
      <w:r>
        <w:rPr>
          <w:rFonts w:ascii="Times New Roman" w:cs="Times New Roman" w:eastAsia="Times New Roman" w:hAnsi="Times New Roman"/>
          <w:sz w:val="18"/>
          <w:szCs w:val="18"/>
          <w:color w:val="auto"/>
        </w:rPr>
        <w:t>GENWORTH FINANCIAL, INC.</w:t>
      </w:r>
    </w:p>
    <w:p>
      <w:pPr>
        <w:spacing w:after="0" w:line="225" w:lineRule="exact"/>
        <w:rPr>
          <w:sz w:val="20"/>
          <w:szCs w:val="20"/>
          <w:color w:val="auto"/>
        </w:rPr>
      </w:pPr>
    </w:p>
    <w:p>
      <w:pPr>
        <w:ind w:left="6400"/>
        <w:spacing w:after="0"/>
        <w:rPr>
          <w:sz w:val="20"/>
          <w:szCs w:val="20"/>
          <w:color w:val="auto"/>
        </w:rPr>
      </w:pPr>
      <w:r>
        <w:rPr>
          <w:rFonts w:ascii="Times New Roman" w:cs="Times New Roman" w:eastAsia="Times New Roman" w:hAnsi="Times New Roman"/>
          <w:sz w:val="18"/>
          <w:szCs w:val="18"/>
          <w:color w:val="auto"/>
        </w:rPr>
        <w:t>By: /s/ Thomas J. McInerney</w:t>
      </w:r>
    </w:p>
    <w:p>
      <w:pPr>
        <w:spacing w:after="0" w:line="27" w:lineRule="exact"/>
        <w:rPr>
          <w:sz w:val="20"/>
          <w:szCs w:val="20"/>
          <w:color w:val="auto"/>
        </w:rPr>
      </w:pPr>
    </w:p>
    <w:p>
      <w:pPr>
        <w:ind w:left="6720"/>
        <w:spacing w:after="0"/>
        <w:rPr>
          <w:sz w:val="20"/>
          <w:szCs w:val="20"/>
          <w:color w:val="auto"/>
        </w:rPr>
      </w:pPr>
      <w:r>
        <w:rPr>
          <w:rFonts w:ascii="Times New Roman" w:cs="Times New Roman" w:eastAsia="Times New Roman" w:hAnsi="Times New Roman"/>
          <w:sz w:val="18"/>
          <w:szCs w:val="18"/>
          <w:color w:val="auto"/>
        </w:rPr>
        <w:t>Name: Thomas J. McInerney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4232275</wp:posOffset>
            </wp:positionH>
            <wp:positionV relativeFrom="paragraph">
              <wp:posOffset>-130810</wp:posOffset>
            </wp:positionV>
            <wp:extent cx="272732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2727325" cy="8890"/>
                    </a:xfrm>
                    <a:prstGeom prst="rect">
                      <a:avLst/>
                    </a:prstGeom>
                    <a:noFill/>
                  </pic:spPr>
                </pic:pic>
              </a:graphicData>
            </a:graphic>
          </wp:anchor>
        </w:drawing>
      </w:r>
    </w:p>
    <w:p>
      <w:pPr>
        <w:spacing w:after="0" w:line="3" w:lineRule="exact"/>
        <w:rPr>
          <w:sz w:val="20"/>
          <w:szCs w:val="20"/>
          <w:color w:val="auto"/>
        </w:rPr>
      </w:pPr>
    </w:p>
    <w:p>
      <w:pPr>
        <w:ind w:left="6720"/>
        <w:spacing w:after="0"/>
        <w:tabs>
          <w:tab w:leader="none" w:pos="7300" w:val="left"/>
        </w:tabs>
        <w:rPr>
          <w:sz w:val="20"/>
          <w:szCs w:val="20"/>
          <w:color w:val="auto"/>
        </w:rPr>
      </w:pPr>
      <w:r>
        <w:rPr>
          <w:rFonts w:ascii="Times New Roman" w:cs="Times New Roman" w:eastAsia="Times New Roman" w:hAnsi="Times New Roman"/>
          <w:sz w:val="18"/>
          <w:szCs w:val="18"/>
          <w:color w:val="auto"/>
        </w:rPr>
        <w:t>Title:</w:t>
        <w:tab/>
        <w:t>President and Chief Executive Officer</w:t>
      </w:r>
    </w:p>
    <w:p>
      <w:pPr>
        <w:spacing w:after="0" w:line="234" w:lineRule="exact"/>
        <w:rPr>
          <w:sz w:val="20"/>
          <w:szCs w:val="20"/>
          <w:color w:val="auto"/>
        </w:rPr>
      </w:pPr>
    </w:p>
    <w:p>
      <w:pPr>
        <w:ind w:left="6400"/>
        <w:spacing w:after="0"/>
        <w:rPr>
          <w:sz w:val="20"/>
          <w:szCs w:val="20"/>
          <w:color w:val="auto"/>
        </w:rPr>
      </w:pPr>
      <w:r>
        <w:rPr>
          <w:rFonts w:ascii="Times New Roman" w:cs="Times New Roman" w:eastAsia="Times New Roman" w:hAnsi="Times New Roman"/>
          <w:sz w:val="18"/>
          <w:szCs w:val="18"/>
          <w:color w:val="auto"/>
        </w:rPr>
        <w:t>ASIA PACIFIC GLOBAL CAPITAL CO., LTD.</w:t>
      </w:r>
    </w:p>
    <w:p>
      <w:pPr>
        <w:spacing w:after="0" w:line="225" w:lineRule="exact"/>
        <w:rPr>
          <w:sz w:val="20"/>
          <w:szCs w:val="20"/>
          <w:color w:val="auto"/>
        </w:rPr>
      </w:pPr>
    </w:p>
    <w:p>
      <w:pPr>
        <w:ind w:left="6400"/>
        <w:spacing w:after="0"/>
        <w:rPr>
          <w:sz w:val="20"/>
          <w:szCs w:val="20"/>
          <w:color w:val="auto"/>
        </w:rPr>
      </w:pPr>
      <w:r>
        <w:rPr>
          <w:rFonts w:ascii="Times New Roman" w:cs="Times New Roman" w:eastAsia="Times New Roman" w:hAnsi="Times New Roman"/>
          <w:sz w:val="18"/>
          <w:szCs w:val="18"/>
          <w:color w:val="auto"/>
        </w:rPr>
        <w:t>By: /s/ Xiaoxia Zhao</w:t>
      </w:r>
    </w:p>
    <w:p>
      <w:pPr>
        <w:spacing w:after="0" w:line="27" w:lineRule="exact"/>
        <w:rPr>
          <w:sz w:val="20"/>
          <w:szCs w:val="20"/>
          <w:color w:val="auto"/>
        </w:rPr>
      </w:pPr>
    </w:p>
    <w:p>
      <w:pPr>
        <w:ind w:left="6720"/>
        <w:spacing w:after="0"/>
        <w:rPr>
          <w:sz w:val="20"/>
          <w:szCs w:val="20"/>
          <w:color w:val="auto"/>
        </w:rPr>
      </w:pPr>
      <w:r>
        <w:rPr>
          <w:rFonts w:ascii="Times New Roman" w:cs="Times New Roman" w:eastAsia="Times New Roman" w:hAnsi="Times New Roman"/>
          <w:sz w:val="18"/>
          <w:szCs w:val="18"/>
          <w:color w:val="auto"/>
        </w:rPr>
        <w:t>Name: Xiaoxia Zhao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4232275</wp:posOffset>
            </wp:positionH>
            <wp:positionV relativeFrom="paragraph">
              <wp:posOffset>-130810</wp:posOffset>
            </wp:positionV>
            <wp:extent cx="272732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2727325" cy="8890"/>
                    </a:xfrm>
                    <a:prstGeom prst="rect">
                      <a:avLst/>
                    </a:prstGeom>
                    <a:noFill/>
                  </pic:spPr>
                </pic:pic>
              </a:graphicData>
            </a:graphic>
          </wp:anchor>
        </w:drawing>
      </w:r>
    </w:p>
    <w:p>
      <w:pPr>
        <w:spacing w:after="0" w:line="3" w:lineRule="exact"/>
        <w:rPr>
          <w:sz w:val="20"/>
          <w:szCs w:val="20"/>
          <w:color w:val="auto"/>
        </w:rPr>
      </w:pPr>
    </w:p>
    <w:p>
      <w:pPr>
        <w:ind w:left="6720"/>
        <w:spacing w:after="0"/>
        <w:tabs>
          <w:tab w:leader="none" w:pos="7300" w:val="left"/>
        </w:tabs>
        <w:rPr>
          <w:sz w:val="20"/>
          <w:szCs w:val="20"/>
          <w:color w:val="auto"/>
        </w:rPr>
      </w:pPr>
      <w:r>
        <w:rPr>
          <w:rFonts w:ascii="Times New Roman" w:cs="Times New Roman" w:eastAsia="Times New Roman" w:hAnsi="Times New Roman"/>
          <w:sz w:val="18"/>
          <w:szCs w:val="18"/>
          <w:color w:val="auto"/>
        </w:rPr>
        <w:t>Title:</w:t>
        <w:tab/>
        <w:t>Director and General Manager</w:t>
      </w:r>
    </w:p>
    <w:p>
      <w:pPr>
        <w:spacing w:after="0" w:line="234" w:lineRule="exact"/>
        <w:rPr>
          <w:sz w:val="20"/>
          <w:szCs w:val="20"/>
          <w:color w:val="auto"/>
        </w:rPr>
      </w:pPr>
    </w:p>
    <w:p>
      <w:pPr>
        <w:ind w:left="6400"/>
        <w:spacing w:after="0"/>
        <w:rPr>
          <w:sz w:val="20"/>
          <w:szCs w:val="20"/>
          <w:color w:val="auto"/>
        </w:rPr>
      </w:pPr>
      <w:r>
        <w:rPr>
          <w:rFonts w:ascii="Times New Roman" w:cs="Times New Roman" w:eastAsia="Times New Roman" w:hAnsi="Times New Roman"/>
          <w:sz w:val="17"/>
          <w:szCs w:val="17"/>
          <w:color w:val="auto"/>
        </w:rPr>
        <w:t>ASIA PACIFIC GLOBAL CAPITAL USA CORPORATION</w:t>
      </w:r>
    </w:p>
    <w:p>
      <w:pPr>
        <w:spacing w:after="0" w:line="237" w:lineRule="exact"/>
        <w:rPr>
          <w:sz w:val="20"/>
          <w:szCs w:val="20"/>
          <w:color w:val="auto"/>
        </w:rPr>
      </w:pPr>
    </w:p>
    <w:p>
      <w:pPr>
        <w:ind w:left="6400"/>
        <w:spacing w:after="0"/>
        <w:rPr>
          <w:sz w:val="20"/>
          <w:szCs w:val="20"/>
          <w:color w:val="auto"/>
        </w:rPr>
      </w:pPr>
      <w:r>
        <w:rPr>
          <w:rFonts w:ascii="Times New Roman" w:cs="Times New Roman" w:eastAsia="Times New Roman" w:hAnsi="Times New Roman"/>
          <w:sz w:val="18"/>
          <w:szCs w:val="18"/>
          <w:color w:val="auto"/>
        </w:rPr>
        <w:t>By: /s/ Xiaoxia Zhao</w:t>
      </w:r>
    </w:p>
    <w:p>
      <w:pPr>
        <w:spacing w:after="0" w:line="27" w:lineRule="exact"/>
        <w:rPr>
          <w:sz w:val="20"/>
          <w:szCs w:val="20"/>
          <w:color w:val="auto"/>
        </w:rPr>
      </w:pPr>
    </w:p>
    <w:p>
      <w:pPr>
        <w:ind w:left="6720"/>
        <w:spacing w:after="0"/>
        <w:rPr>
          <w:sz w:val="20"/>
          <w:szCs w:val="20"/>
          <w:color w:val="auto"/>
        </w:rPr>
      </w:pPr>
      <w:r>
        <w:rPr>
          <w:rFonts w:ascii="Times New Roman" w:cs="Times New Roman" w:eastAsia="Times New Roman" w:hAnsi="Times New Roman"/>
          <w:sz w:val="18"/>
          <w:szCs w:val="18"/>
          <w:color w:val="auto"/>
        </w:rPr>
        <w:t>Name: Xiaoxia Zhao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4232275</wp:posOffset>
            </wp:positionH>
            <wp:positionV relativeFrom="paragraph">
              <wp:posOffset>-130810</wp:posOffset>
            </wp:positionV>
            <wp:extent cx="272732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2727325" cy="8890"/>
                    </a:xfrm>
                    <a:prstGeom prst="rect">
                      <a:avLst/>
                    </a:prstGeom>
                    <a:noFill/>
                  </pic:spPr>
                </pic:pic>
              </a:graphicData>
            </a:graphic>
          </wp:anchor>
        </w:drawing>
      </w:r>
    </w:p>
    <w:p>
      <w:pPr>
        <w:spacing w:after="0" w:line="3" w:lineRule="exact"/>
        <w:rPr>
          <w:sz w:val="20"/>
          <w:szCs w:val="20"/>
          <w:color w:val="auto"/>
        </w:rPr>
      </w:pPr>
    </w:p>
    <w:p>
      <w:pPr>
        <w:ind w:left="6720"/>
        <w:spacing w:after="0"/>
        <w:tabs>
          <w:tab w:leader="none" w:pos="7300" w:val="left"/>
        </w:tabs>
        <w:rPr>
          <w:sz w:val="20"/>
          <w:szCs w:val="20"/>
          <w:color w:val="auto"/>
        </w:rPr>
      </w:pPr>
      <w:r>
        <w:rPr>
          <w:rFonts w:ascii="Times New Roman" w:cs="Times New Roman" w:eastAsia="Times New Roman" w:hAnsi="Times New Roman"/>
          <w:sz w:val="18"/>
          <w:szCs w:val="18"/>
          <w:color w:val="auto"/>
        </w:rPr>
        <w:t>Title:</w:t>
        <w:tab/>
        <w:t>President</w:t>
      </w:r>
    </w:p>
    <w:p>
      <w:pPr>
        <w:spacing w:after="0" w:line="139"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18"/>
          <w:szCs w:val="18"/>
          <w:color w:val="auto"/>
        </w:rPr>
        <w:t>- 4 -</w:t>
      </w:r>
    </w:p>
    <w:p>
      <w:pPr>
        <w:sectPr>
          <w:pgSz w:w="11900" w:h="16838" w:orient="portrait"/>
          <w:cols w:equalWidth="0" w:num="1">
            <w:col w:w="10800"/>
          </w:cols>
          <w:pgMar w:left="700" w:top="270" w:right="399" w:bottom="1440" w:gutter="0" w:footer="0" w:header="0"/>
        </w:sectPr>
      </w:pPr>
    </w:p>
    <w:bookmarkStart w:id="8" w:name="page9"/>
    <w:bookmarkEnd w:id="8"/>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588010</wp:posOffset>
            </wp:positionH>
            <wp:positionV relativeFrom="paragraph">
              <wp:posOffset>174625</wp:posOffset>
            </wp:positionV>
            <wp:extent cx="6089015" cy="10979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089015" cy="10979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Genworth and Oceanwide Extend Merger Agreement</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i w:val="1"/>
          <w:iCs w:val="1"/>
          <w:color w:val="auto"/>
        </w:rPr>
        <w:t>Transaction approved by Australia regulator</w:t>
      </w:r>
    </w:p>
    <w:p>
      <w:pPr>
        <w:spacing w:after="0" w:line="229" w:lineRule="exact"/>
        <w:rPr>
          <w:sz w:val="20"/>
          <w:szCs w:val="20"/>
          <w:color w:val="auto"/>
        </w:rPr>
      </w:pPr>
    </w:p>
    <w:p>
      <w:pPr>
        <w:ind w:right="120"/>
        <w:spacing w:after="0" w:line="266" w:lineRule="auto"/>
        <w:rPr>
          <w:sz w:val="20"/>
          <w:szCs w:val="20"/>
          <w:color w:val="auto"/>
        </w:rPr>
      </w:pPr>
      <w:r>
        <w:rPr>
          <w:rFonts w:ascii="Times New Roman" w:cs="Times New Roman" w:eastAsia="Times New Roman" w:hAnsi="Times New Roman"/>
          <w:sz w:val="18"/>
          <w:szCs w:val="18"/>
          <w:color w:val="auto"/>
        </w:rPr>
        <w:t>Richmond, VA (March 27, 2018) – Genworth Financial, Inc. (NYSE: GNW) and China Oceanwide Holdings Group Co., Ltd. (Oceanwide) today announced they have agreed to a fourth waiver and agreement of each party’s right to terminate the previously announced merger agreement. The fourth waiver and agreement extends the previous deadline of April 1, 2018 to July 1, 2018, and allows additional time for regulatory reviews of the transaction.</w:t>
      </w:r>
    </w:p>
    <w:p>
      <w:pPr>
        <w:spacing w:after="0" w:line="176" w:lineRule="exact"/>
        <w:rPr>
          <w:sz w:val="20"/>
          <w:szCs w:val="20"/>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In addition, each party acknowledged that the merger agreement may be terminated at any time prior to July 1, 2018 by directors of either company if the Committee on Foreign Investment in the United States (CFIUS) notifies the parties that it has completed its review of the merger and the mitigation proposals presented by the parties, and intends to recommend that the President of the United States suspend or prohibit the merger from taking place.</w:t>
      </w:r>
    </w:p>
    <w:p>
      <w:pPr>
        <w:spacing w:after="0" w:line="176" w:lineRule="exact"/>
        <w:rPr>
          <w:sz w:val="20"/>
          <w:szCs w:val="20"/>
          <w:color w:val="auto"/>
        </w:rPr>
      </w:pPr>
    </w:p>
    <w:p>
      <w:pPr>
        <w:ind w:right="40"/>
        <w:spacing w:after="0" w:line="261" w:lineRule="auto"/>
        <w:rPr>
          <w:sz w:val="20"/>
          <w:szCs w:val="20"/>
          <w:color w:val="auto"/>
        </w:rPr>
      </w:pPr>
      <w:r>
        <w:rPr>
          <w:rFonts w:ascii="Times New Roman" w:cs="Times New Roman" w:eastAsia="Times New Roman" w:hAnsi="Times New Roman"/>
          <w:sz w:val="18"/>
          <w:szCs w:val="18"/>
          <w:color w:val="auto"/>
        </w:rPr>
        <w:t>“We recently refiled our joint voluntary notice with CFIUS and this merger extension will provide time for that review process, as well as other pending regulatory reviews, to continue,” said Tom McInerney, president and CEO of Genworth. “Our CFIUS refiling includes meaningful additions to our mitigation approach to further protect the personal data of Genworth policyholders. We are fully committed to developing a risk mitigation plan that is acceptable to all parties.”</w:t>
      </w:r>
    </w:p>
    <w:p>
      <w:pPr>
        <w:spacing w:after="0" w:line="180" w:lineRule="exact"/>
        <w:rPr>
          <w:sz w:val="20"/>
          <w:szCs w:val="20"/>
          <w:color w:val="auto"/>
        </w:rPr>
      </w:pPr>
    </w:p>
    <w:p>
      <w:pPr>
        <w:ind w:right="200"/>
        <w:spacing w:after="0" w:line="282" w:lineRule="auto"/>
        <w:rPr>
          <w:sz w:val="20"/>
          <w:szCs w:val="20"/>
          <w:color w:val="auto"/>
        </w:rPr>
      </w:pPr>
      <w:r>
        <w:rPr>
          <w:rFonts w:ascii="Times New Roman" w:cs="Times New Roman" w:eastAsia="Times New Roman" w:hAnsi="Times New Roman"/>
          <w:sz w:val="18"/>
          <w:szCs w:val="18"/>
          <w:color w:val="auto"/>
        </w:rPr>
        <w:t>In addition to clearance by CFIUS, the closing of the proposed transaction remains subject to the receipt of required regulatory approvals in the U.S., China and other international jurisdictions in which Genworth does business and other closing conditions.</w:t>
      </w:r>
    </w:p>
    <w:p>
      <w:pPr>
        <w:spacing w:after="0" w:line="162" w:lineRule="exact"/>
        <w:rPr>
          <w:sz w:val="20"/>
          <w:szCs w:val="20"/>
          <w:color w:val="auto"/>
        </w:rPr>
      </w:pPr>
    </w:p>
    <w:p>
      <w:pPr>
        <w:ind w:right="20"/>
        <w:spacing w:after="0" w:line="261" w:lineRule="auto"/>
        <w:rPr>
          <w:sz w:val="20"/>
          <w:szCs w:val="20"/>
          <w:color w:val="auto"/>
        </w:rPr>
      </w:pPr>
      <w:r>
        <w:rPr>
          <w:rFonts w:ascii="Times New Roman" w:cs="Times New Roman" w:eastAsia="Times New Roman" w:hAnsi="Times New Roman"/>
          <w:sz w:val="18"/>
          <w:szCs w:val="18"/>
          <w:color w:val="auto"/>
        </w:rPr>
        <w:t>In the event the transaction with Oceanwide does not close by the maturity of its 6.515% senior unsecured notes due May 22, 2018, Genworth will use a combination of the recently completed term loan proceeds plus some level of holding company cash to fully retire such senior unsecured notes. Genworth and Oceanwide are also discussing other options for reducing debt, subject to consummation of the merger, to improve Genworth’s financial flexibility and ratings over time.</w:t>
      </w:r>
    </w:p>
    <w:p>
      <w:pPr>
        <w:spacing w:after="0" w:line="180" w:lineRule="exact"/>
        <w:rPr>
          <w:sz w:val="20"/>
          <w:szCs w:val="20"/>
          <w:color w:val="auto"/>
        </w:rPr>
      </w:pPr>
    </w:p>
    <w:p>
      <w:pPr>
        <w:ind w:right="520"/>
        <w:spacing w:after="0" w:line="282" w:lineRule="auto"/>
        <w:rPr>
          <w:sz w:val="20"/>
          <w:szCs w:val="20"/>
          <w:color w:val="auto"/>
        </w:rPr>
      </w:pPr>
      <w:r>
        <w:rPr>
          <w:rFonts w:ascii="Times New Roman" w:cs="Times New Roman" w:eastAsia="Times New Roman" w:hAnsi="Times New Roman"/>
          <w:sz w:val="18"/>
          <w:szCs w:val="18"/>
          <w:color w:val="auto"/>
        </w:rPr>
        <w:t>In the meantime, Oceanwide and Genworth have received approval from regulators in Australia for the proposed transaction as contemplated under the merger agreement.</w:t>
      </w:r>
    </w:p>
    <w:p>
      <w:pPr>
        <w:sectPr>
          <w:pgSz w:w="11900" w:h="16838" w:orient="portrait"/>
          <w:cols w:equalWidth="0" w:num="1">
            <w:col w:w="11420"/>
          </w:cols>
          <w:pgMar w:left="240" w:top="117" w:right="239" w:bottom="1440" w:gutter="0" w:footer="0" w:header="0"/>
        </w:sectPr>
      </w:pPr>
    </w:p>
    <w:bookmarkStart w:id="9" w:name="page10"/>
    <w:bookmarkEnd w:id="9"/>
    <w:p>
      <w:pPr>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 addition to this approval, the closing of the proposed transaction remains subject to the receipt of required regulatory approvals in the U.S., China and other international jurisdictions in which Genworth does business and other closing conditions.</w:t>
      </w:r>
    </w:p>
    <w:p>
      <w:pPr>
        <w:spacing w:after="0" w:line="162" w:lineRule="exact"/>
        <w:rPr>
          <w:sz w:val="20"/>
          <w:szCs w:val="20"/>
          <w:color w:val="auto"/>
        </w:rPr>
      </w:pPr>
    </w:p>
    <w:p>
      <w:pPr>
        <w:ind w:right="140"/>
        <w:spacing w:after="0" w:line="282" w:lineRule="auto"/>
        <w:rPr>
          <w:sz w:val="20"/>
          <w:szCs w:val="20"/>
          <w:color w:val="auto"/>
        </w:rPr>
      </w:pPr>
      <w:r>
        <w:rPr>
          <w:rFonts w:ascii="Times New Roman" w:cs="Times New Roman" w:eastAsia="Times New Roman" w:hAnsi="Times New Roman"/>
          <w:sz w:val="18"/>
          <w:szCs w:val="18"/>
          <w:color w:val="auto"/>
        </w:rPr>
        <w:t>“Approval by Australia is an important step in the process of completing the merger with Oceanwide,” McInerney said. “Genworth and Oceanwide continue to be actively engaged with regulators who are reviewing our transaction in the remaining jurisdictions that must approve the transaction.”</w:t>
      </w:r>
    </w:p>
    <w:p>
      <w:pPr>
        <w:spacing w:after="0" w:line="162" w:lineRule="exact"/>
        <w:rPr>
          <w:sz w:val="20"/>
          <w:szCs w:val="20"/>
          <w:color w:val="auto"/>
        </w:rPr>
      </w:pPr>
    </w:p>
    <w:p>
      <w:pPr>
        <w:ind w:right="180"/>
        <w:spacing w:after="0" w:line="282" w:lineRule="auto"/>
        <w:rPr>
          <w:sz w:val="20"/>
          <w:szCs w:val="20"/>
          <w:color w:val="auto"/>
        </w:rPr>
      </w:pPr>
      <w:r>
        <w:rPr>
          <w:rFonts w:ascii="Times New Roman" w:cs="Times New Roman" w:eastAsia="Times New Roman" w:hAnsi="Times New Roman"/>
          <w:sz w:val="18"/>
          <w:szCs w:val="18"/>
          <w:color w:val="auto"/>
        </w:rPr>
        <w:t>Added LU Zhiqiang, chairman of Oceanwide: “We are pleased that our transaction has been approved by Australia and are committed to diligently working with Genworth to obtain the remaining regulatory approvals and satisfy other conditions necessary to close the transaction.”</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transaction also has been approved by regulators in Virginia, North Carolina, South Carolina and Vermont.</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Genworth Financial</w:t>
      </w:r>
    </w:p>
    <w:p>
      <w:pPr>
        <w:spacing w:after="0" w:line="121" w:lineRule="exact"/>
        <w:rPr>
          <w:sz w:val="20"/>
          <w:szCs w:val="20"/>
          <w:color w:val="auto"/>
        </w:rPr>
      </w:pPr>
    </w:p>
    <w:p>
      <w:pPr>
        <w:ind w:right="260"/>
        <w:spacing w:after="0" w:line="266" w:lineRule="auto"/>
        <w:rPr>
          <w:sz w:val="20"/>
          <w:szCs w:val="20"/>
          <w:color w:val="auto"/>
        </w:rPr>
      </w:pPr>
      <w:r>
        <w:rPr>
          <w:rFonts w:ascii="Times New Roman" w:cs="Times New Roman" w:eastAsia="Times New Roman" w:hAnsi="Times New Roman"/>
          <w:sz w:val="18"/>
          <w:szCs w:val="18"/>
          <w:color w:val="auto"/>
        </w:rPr>
        <w:t>Genworth Financial, Inc. (NYSE: GNW) is a Fortune 500 insurance holding company committed to helping families achieve the dream of homeownership and address the financial challenges of aging through its leadership positions in mortgage insurance and long term care insurance. Headquartered in Richmond, Virginia, Genworth traces its roots back to 1871 and became a public company in 2004. For more information, visit genworth.com.</w:t>
      </w:r>
    </w:p>
    <w:p>
      <w:pPr>
        <w:spacing w:after="0" w:line="176" w:lineRule="exact"/>
        <w:rPr>
          <w:sz w:val="20"/>
          <w:szCs w:val="20"/>
          <w:color w:val="auto"/>
        </w:rPr>
      </w:pPr>
    </w:p>
    <w:p>
      <w:pPr>
        <w:ind w:right="200"/>
        <w:spacing w:after="0" w:line="258" w:lineRule="auto"/>
        <w:rPr>
          <w:sz w:val="20"/>
          <w:szCs w:val="20"/>
          <w:color w:val="auto"/>
        </w:rPr>
      </w:pPr>
      <w:r>
        <w:rPr>
          <w:rFonts w:ascii="Times New Roman" w:cs="Times New Roman" w:eastAsia="Times New Roman" w:hAnsi="Times New Roman"/>
          <w:sz w:val="18"/>
          <w:szCs w:val="18"/>
          <w:color w:val="auto"/>
        </w:rPr>
        <w:t>From time to time, Genworth releases important information via postings on its corporate website. Accordingly, investors and other interested parties are encouraged to enroll to receive automatic email alerts and Really Simple Syndication (RSS) feeds regarding new postings. Enrollment information is found under the “Investors” section of genworth.com. From time to time, Genworth’s publicly traded subsidiaries, Genworth MI Canada Inc. and Genworth Mortgage Insurance Australia Limited, separately release financial and other information about their operations. This information can be found at http://genworth.ca and http://www.genworth.com.au.</w:t>
      </w:r>
    </w:p>
    <w:p>
      <w:pPr>
        <w:spacing w:after="0" w:line="2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Oceanwide</w:t>
      </w:r>
    </w:p>
    <w:p>
      <w:pPr>
        <w:spacing w:after="0" w:line="121" w:lineRule="exact"/>
        <w:rPr>
          <w:sz w:val="20"/>
          <w:szCs w:val="20"/>
          <w:color w:val="auto"/>
        </w:rPr>
      </w:pPr>
    </w:p>
    <w:p>
      <w:pPr>
        <w:ind w:right="100"/>
        <w:spacing w:after="0" w:line="266" w:lineRule="auto"/>
        <w:rPr>
          <w:sz w:val="20"/>
          <w:szCs w:val="20"/>
          <w:color w:val="auto"/>
        </w:rPr>
      </w:pPr>
      <w:r>
        <w:rPr>
          <w:rFonts w:ascii="Times New Roman" w:cs="Times New Roman" w:eastAsia="Times New Roman" w:hAnsi="Times New Roman"/>
          <w:sz w:val="18"/>
          <w:szCs w:val="18"/>
          <w:color w:val="auto"/>
        </w:rPr>
        <w:t>Oceanwide is a privately held, family owned international financial holding group founded by LU Zhiqiang. Headquartered in Beijing, China, Oceanwide’s well-established and diversified businesses include operations in financial services, energy, culture and media, and real estate assets globally, including in the United States.</w:t>
      </w:r>
    </w:p>
    <w:p>
      <w:pPr>
        <w:sectPr>
          <w:pgSz w:w="11900" w:h="16838" w:orient="portrait"/>
          <w:cols w:equalWidth="0" w:num="1">
            <w:col w:w="11420"/>
          </w:cols>
          <w:pgMar w:left="240" w:top="270" w:right="239" w:bottom="1440" w:gutter="0" w:footer="0" w:header="0"/>
        </w:sectPr>
      </w:pPr>
    </w:p>
    <w:bookmarkStart w:id="10" w:name="page11"/>
    <w:bookmarkEnd w:id="10"/>
    <w:p>
      <w:pPr>
        <w:spacing w:after="0" w:line="258"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Oceanwide is the controlling shareholder of the Shenzhen-listed Oceanwide Holdings Co., Ltd. and Minsheng Holdings Co. Ltd.; the Hong Kong-listed China Oceanwide Holdings Limited and China Oceanwide International Financial Limited, (formerly known as Quam Limited); the privately-held Minsheng Securities, Minsheng Trust, and Asia Pacific Property &amp; Casualty Insurance; and it is the single largest shareholder of Australia-listed CuDECO Ltd. China Oceanwide also is a minority investor in Shanghai-listed China Minsheng Bank and Hong Kong-listed Legend Holdings. In the United States, Oceanwide has real estate investments in New York, California, and Hawaii. Businesses controlled by Oceanwide have more than 10,000 employees globally.</w:t>
      </w:r>
    </w:p>
    <w:p>
      <w:pPr>
        <w:spacing w:after="0" w:line="2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Cautionary Note Regarding Forward-Looking Statements</w:t>
      </w:r>
    </w:p>
    <w:p>
      <w:pPr>
        <w:spacing w:after="0" w:line="121" w:lineRule="exact"/>
        <w:rPr>
          <w:sz w:val="20"/>
          <w:szCs w:val="20"/>
          <w:color w:val="auto"/>
        </w:rPr>
      </w:pPr>
    </w:p>
    <w:p>
      <w:pPr>
        <w:spacing w:after="0" w:line="252" w:lineRule="auto"/>
        <w:rPr>
          <w:sz w:val="20"/>
          <w:szCs w:val="20"/>
          <w:color w:val="auto"/>
        </w:rPr>
      </w:pPr>
      <w:r>
        <w:rPr>
          <w:rFonts w:ascii="Times New Roman" w:cs="Times New Roman" w:eastAsia="Times New Roman" w:hAnsi="Times New Roman"/>
          <w:sz w:val="18"/>
          <w:szCs w:val="18"/>
          <w:color w:val="auto"/>
        </w:rPr>
        <w:t>This communication includes certain statements that may constitute “forward-looking statements” within the meaning of the federal securities laws, including Section 27A of the Securities Act of 1933, as amended, and Section 21E of the Securities Exchange Act of 1934, as amended. Forward-looking statements may be identified by words such as “expects,” “intends,” “anticipates,” “plans,” “believes,” “seeks,” “estimates,” “will” or words of similar meaning and include, but are not limited to, statements regarding the outlook for the company’s future business and financial performance. Forward-looking statements are based on management’s current expectations and assumptions, which are subject to inherent uncertainties, risks and changes in circumstances that are difficult to predict. Actual outcomes and results may differ materially from those in the forward-looking statements and factors that may cause such a difference include, but are not limited to, risks and uncertainties related to: (i) the risk that the transaction may not be completed in a timely manner or at all, which may adversely affect Genworth’s business and the price of Genworth’s common stock; (ii) the parties’ inability to find suitable mitigation options to address CFIUS’s interest and obtain regulatory approvals, or the possibility that regulatory approvals may further delay the transaction or will not be received prior to July 1, 2018 (and either or both of the parties may not be willing to further waive their End Date termination rights beyond July 1, 2018) or that materially burdensome or adverse regulatory conditions may be imposed in connection with any such regulatory approvals, including any mitigation approaches that may be necessary to obtain CFIUS approval (including those conditions that either or both of the parties may be unwilling to accept); (iii) the risk that a condition to closing of the transaction may not be satisfied; (iv) potential legal proceedings that may be instituted against Genworth following announcement of the transaction; (v) the risk that the proposed transaction disrupts Genworth’s current plans and operations as a result of the announcement and consummation of the transaction; (vi) potential adverse reactions</w:t>
      </w:r>
    </w:p>
    <w:p>
      <w:pPr>
        <w:sectPr>
          <w:pgSz w:w="11900" w:h="16838" w:orient="portrait"/>
          <w:cols w:equalWidth="0" w:num="1">
            <w:col w:w="11420"/>
          </w:cols>
          <w:pgMar w:left="240" w:top="270" w:right="239" w:bottom="1440" w:gutter="0" w:footer="0" w:header="0"/>
        </w:sectPr>
      </w:pPr>
    </w:p>
    <w:bookmarkStart w:id="11" w:name="page12"/>
    <w:bookmarkEnd w:id="11"/>
    <w:p>
      <w:pPr>
        <w:spacing w:after="0" w:line="253"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or changes to Genworth’s business relationships with clients, employees, suppliers or other parties or other business uncertainties resulting from the announcement of the transaction or during the pendency of the transaction, including but not limited to such changes that could affect Genworth’s financial performance; (vii) certain restrictions during the pendency of the transaction that may impact Genworth’s ability to pursue certain business opportunities or strategic transactions; (viii) continued availability of capital and financing to Genworth before the consummation of the transaction; (ix) further rating agency actions and downgrades in Genworth’s financial strength ratings; (x) changes in applicable laws or regulations; (xi) Genworth’s ability to recognize the anticipated benefits of the transaction; (xii) the amount of the costs, fees, expenses and other charges related to the transaction; (xiii) the risks related to diverting management’s attention from Genworth’s ongoing business operations; (xiv) the impact of changes in interest rates and political instability; and</w:t>
      </w:r>
    </w:p>
    <w:p>
      <w:pPr>
        <w:spacing w:after="0" w:line="4" w:lineRule="exact"/>
        <w:rPr>
          <w:sz w:val="20"/>
          <w:szCs w:val="20"/>
          <w:color w:val="auto"/>
        </w:rPr>
      </w:pPr>
    </w:p>
    <w:p>
      <w:pPr>
        <w:ind w:right="20" w:firstLine="8"/>
        <w:spacing w:after="0" w:line="252" w:lineRule="auto"/>
        <w:tabs>
          <w:tab w:leader="none" w:pos="345"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risks and uncertainties described in the Definitive Proxy Statement, filed with the SEC on January 25, 2017, and Genworth’s Annual Report on Form 10-K, filed with the SEC on February 28, 2018. Unlisted factors may present significant additional obstacles to the realization of forward-looking statements. Consequences of material differences in results as compared with those anticipated in the forward-looking statements could include, among other things, business disruption, operational problems, financial loss, legal liability to third parties and similar risks, any of which could have a material adverse effect on Genworth’s consolidated financial condition, results of operations, credit rating or liquidity. Accordingly, forward-looking statements should not be relied upon as representing Genworth’s views as of any subsequent date, and Genworth does not undertake any obligation to update forward-looking statements to reflect events or circumstances after the date they were made, whether as a result of new information, future events or otherwise, except as may be required under applicable securities laws.</w:t>
      </w:r>
    </w:p>
    <w:p>
      <w:pPr>
        <w:spacing w:after="0" w:line="187" w:lineRule="exact"/>
        <w:rPr>
          <w:rFonts w:ascii="Times New Roman" w:cs="Times New Roman" w:eastAsia="Times New Roman" w:hAnsi="Times New Roman"/>
          <w:sz w:val="18"/>
          <w:szCs w:val="18"/>
          <w:color w:val="auto"/>
        </w:rPr>
      </w:pPr>
    </w:p>
    <w:p>
      <w:pPr>
        <w:ind w:left="5660" w:hanging="126"/>
        <w:spacing w:after="0"/>
        <w:tabs>
          <w:tab w:leader="none" w:pos="5660" w:val="left"/>
        </w:tabs>
        <w:numPr>
          <w:ilvl w:val="1"/>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 further information:</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Investors: </w:t>
      </w:r>
      <w:r>
        <w:rPr>
          <w:rFonts w:ascii="Times New Roman" w:cs="Times New Roman" w:eastAsia="Times New Roman" w:hAnsi="Times New Roman"/>
          <w:sz w:val="18"/>
          <w:szCs w:val="18"/>
          <w:u w:val="single" w:color="auto"/>
          <w:color w:val="auto"/>
        </w:rPr>
        <w:t>investorinfo@genworth.com</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Media: Julie Westermann, 804 662.2423, julie.westermann@genworth.com</w:t>
      </w:r>
    </w:p>
    <w:sectPr>
      <w:pgSz w:w="11900" w:h="16838" w:orient="portrait"/>
      <w:cols w:equalWidth="0" w:num="1">
        <w:col w:w="11360"/>
      </w:cols>
      <w:pgMar w:left="240" w:top="270" w:right="2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1)"/>
      <w:numFmt w:val="lowerLetter"/>
      <w:start w:val="1"/>
    </w:lvl>
    <w:lvl w:ilvl="1">
      <w:lvlJc w:val="left"/>
      <w:lvlText w:val="-"/>
      <w:numFmt w:val="bullet"/>
      <w:start w:val="1"/>
    </w:lvl>
  </w:abstractNum>
  <w:abstractNum w:abstractNumId="2">
    <w:nsid w:val="2AE8944A"/>
    <w:multiLevelType w:val="hybridMultilevel"/>
    <w:lvl w:ilvl="0">
      <w:lvlJc w:val="left"/>
      <w:lvlText w:val="(%1)"/>
      <w:numFmt w:val="lowerLetter"/>
      <w:start w:val="1"/>
    </w:lvl>
  </w:abstractNum>
  <w:abstractNum w:abstractNumId="3">
    <w:nsid w:val="625558EC"/>
    <w:multiLevelType w:val="hybridMultilevel"/>
    <w:lvl w:ilvl="0">
      <w:lvlJc w:val="left"/>
      <w:lvlText w:val="(%1)"/>
      <w:numFmt w:val="lowerRoman"/>
      <w:start w:val="15"/>
    </w:lvl>
    <w:lvl w:ilvl="1">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jpe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2020-01-14T20:56:37Z</dcterms:created>
  <dcterms:modified xsi:type="dcterms:W3CDTF">2020-01-14T20:56:37Z</dcterms:modified>
</cp:coreProperties>
</file>