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GENWORTH FINANCIAL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37247D106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2014</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37247D106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34172920</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38901219</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38901219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GENWORTH FINANCIAL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6620 WEST BROAD STREET</w:t>
      </w:r>
    </w:p>
    <w:p>
      <w:pPr>
        <w:spacing w:after="0" w:line="238" w:lineRule="auto"/>
        <w:rPr>
          <w:sz w:val="20"/>
          <w:szCs w:val="20"/>
          <w:color w:val="auto"/>
        </w:rPr>
      </w:pPr>
      <w:r>
        <w:rPr>
          <w:rFonts w:ascii="Courier New" w:cs="Courier New" w:eastAsia="Courier New" w:hAnsi="Courier New"/>
          <w:sz w:val="18"/>
          <w:szCs w:val="18"/>
          <w:color w:val="auto"/>
        </w:rPr>
        <w:t>RICHMOND VA 23230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10022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38901219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34172920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38901219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GENWORTH FINANCIAL INC.</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GENWORTH FINANCIAL INC</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12, 2015</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Matthew J. Fitzgerald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Name/Title</w:t>
        <w:tab/>
        <w:t>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(Netherlands) B.V.</w:t>
      </w:r>
    </w:p>
    <w:p>
      <w:pPr>
        <w:spacing w:after="0"/>
        <w:rPr>
          <w:sz w:val="20"/>
          <w:szCs w:val="20"/>
          <w:color w:val="auto"/>
        </w:rPr>
      </w:pPr>
      <w:r>
        <w:rPr>
          <w:rFonts w:ascii="Courier New" w:cs="Courier New" w:eastAsia="Courier New" w:hAnsi="Courier New"/>
          <w:sz w:val="18"/>
          <w:szCs w:val="18"/>
          <w:color w:val="auto"/>
        </w:rPr>
        <w:t>BlackRock Advisors (UK) Limited</w:t>
      </w:r>
    </w:p>
    <w:p>
      <w:pPr>
        <w:spacing w:after="0" w:line="237" w:lineRule="auto"/>
        <w:rPr>
          <w:sz w:val="20"/>
          <w:szCs w:val="20"/>
          <w:color w:val="auto"/>
        </w:rPr>
      </w:pPr>
      <w:r>
        <w:rPr>
          <w:rFonts w:ascii="Courier New" w:cs="Courier New" w:eastAsia="Courier New" w:hAnsi="Courier New"/>
          <w:sz w:val="18"/>
          <w:szCs w:val="18"/>
          <w:color w:val="auto"/>
        </w:rPr>
        <w:t>BlackRock Advisors, LLC</w:t>
      </w:r>
    </w:p>
    <w:p>
      <w:pPr>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spacing w:after="0"/>
        <w:rPr>
          <w:sz w:val="20"/>
          <w:szCs w:val="20"/>
          <w:color w:val="auto"/>
        </w:rPr>
      </w:pPr>
      <w:r>
        <w:rPr>
          <w:rFonts w:ascii="Courier New" w:cs="Courier New" w:eastAsia="Courier New" w:hAnsi="Courier New"/>
          <w:sz w:val="18"/>
          <w:szCs w:val="18"/>
          <w:color w:val="auto"/>
        </w:rPr>
        <w:t>BlackRock Asset Management Ireland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Fund Managers Ltd</w:t>
      </w:r>
    </w:p>
    <w:p>
      <w:pPr>
        <w:spacing w:after="0" w:line="237" w:lineRule="auto"/>
        <w:rPr>
          <w:sz w:val="20"/>
          <w:szCs w:val="20"/>
          <w:color w:val="auto"/>
        </w:rPr>
      </w:pPr>
      <w:r>
        <w:rPr>
          <w:rFonts w:ascii="Courier New" w:cs="Courier New" w:eastAsia="Courier New" w:hAnsi="Courier New"/>
          <w:sz w:val="18"/>
          <w:szCs w:val="18"/>
          <w:color w:val="auto"/>
        </w:rPr>
        <w:t>BlackRock Institutional Trust Company, N.A.</w:t>
      </w:r>
    </w:p>
    <w:p>
      <w:pPr>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37" w:lineRule="auto"/>
        <w:rPr>
          <w:sz w:val="20"/>
          <w:szCs w:val="20"/>
          <w:color w:val="auto"/>
        </w:rPr>
      </w:pPr>
      <w:r>
        <w:rPr>
          <w:rFonts w:ascii="Courier New" w:cs="Courier New" w:eastAsia="Courier New" w:hAnsi="Courier New"/>
          <w:sz w:val="18"/>
          <w:szCs w:val="18"/>
          <w:color w:val="auto"/>
        </w:rPr>
        <w:t>BlackRock Japan Co Ltd</w:t>
      </w:r>
    </w:p>
    <w:p>
      <w:pPr>
        <w:spacing w:after="0"/>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undersigned, BLACKROCK, INC., a corporation duly organized</w:t>
      </w:r>
    </w:p>
    <w:p>
      <w:pPr>
        <w:spacing w:after="0" w:line="238" w:lineRule="auto"/>
        <w:rPr>
          <w:sz w:val="20"/>
          <w:szCs w:val="20"/>
          <w:color w:val="auto"/>
        </w:rPr>
      </w:pPr>
      <w:r>
        <w:rPr>
          <w:rFonts w:ascii="Courier New" w:cs="Courier New" w:eastAsia="Courier New" w:hAnsi="Courier New"/>
          <w:sz w:val="18"/>
          <w:szCs w:val="18"/>
          <w:color w:val="auto"/>
        </w:rPr>
        <w:t>under the laws of the State of Delaware, United States (the</w:t>
      </w:r>
    </w:p>
    <w:p>
      <w:pPr>
        <w:spacing w:after="0"/>
        <w:rPr>
          <w:sz w:val="20"/>
          <w:szCs w:val="20"/>
          <w:color w:val="auto"/>
        </w:rPr>
      </w:pPr>
      <w:r>
        <w:rPr>
          <w:rFonts w:ascii="Courier New" w:cs="Courier New" w:eastAsia="Courier New" w:hAnsi="Courier New"/>
          <w:sz w:val="18"/>
          <w:szCs w:val="18"/>
          <w:color w:val="auto"/>
        </w:rPr>
        <w:t>"Company"), does hereby make, constitute and appoint each of</w:t>
      </w:r>
    </w:p>
    <w:p>
      <w:pPr>
        <w:spacing w:after="0" w:line="3" w:lineRule="exact"/>
        <w:rPr>
          <w:sz w:val="20"/>
          <w:szCs w:val="20"/>
          <w:color w:val="auto"/>
        </w:rPr>
      </w:pPr>
    </w:p>
    <w:p>
      <w:pPr>
        <w:ind w:right="2739"/>
        <w:spacing w:after="0" w:line="268" w:lineRule="auto"/>
        <w:rPr>
          <w:sz w:val="20"/>
          <w:szCs w:val="20"/>
          <w:color w:val="auto"/>
        </w:rPr>
      </w:pPr>
      <w:r>
        <w:rPr>
          <w:rFonts w:ascii="Courier New" w:cs="Courier New" w:eastAsia="Courier New" w:hAnsi="Courier New"/>
          <w:sz w:val="16"/>
          <w:szCs w:val="16"/>
          <w:color w:val="auto"/>
        </w:rPr>
        <w:t>Matthew Mallow, Howard Surloff, Herm Howerton, Bartholomew Battista, Dan Waltcher, Karen Clark, Daniel Ronnen, John Stelley, Brian Kindelan, Matthew Fitzgerald, Charles Park, Carsten Otto and Con Tzatzakis acting severally, as its true and lawful attorneys-in-fact, for the purpose of, from time to time, executing in its name and on its behalf, whether the Company is acting individually or as representative of others, any and all documents, certificates, instruments, statements, other filings and amendments to the foregoing (collectively,</w:t>
      </w:r>
    </w:p>
    <w:p>
      <w:pPr>
        <w:spacing w:after="0" w:line="1" w:lineRule="exact"/>
        <w:rPr>
          <w:sz w:val="20"/>
          <w:szCs w:val="20"/>
          <w:color w:val="auto"/>
        </w:rPr>
      </w:pPr>
    </w:p>
    <w:p>
      <w:pPr>
        <w:ind w:right="3479" w:firstLine="105"/>
        <w:spacing w:after="0" w:line="237" w:lineRule="auto"/>
        <w:rPr>
          <w:sz w:val="20"/>
          <w:szCs w:val="20"/>
          <w:color w:val="auto"/>
        </w:rPr>
      </w:pPr>
      <w:r>
        <w:rPr>
          <w:rFonts w:ascii="Courier New" w:cs="Courier New" w:eastAsia="Courier New" w:hAnsi="Courier New"/>
          <w:sz w:val="18"/>
          <w:szCs w:val="18"/>
          <w:color w:val="auto"/>
        </w:rPr>
        <w:t>"documents") determined by such person to be necessary or appropriate to comply with ownership or control-person reporting requirements imposed by any United States or non-United States governmental or regulatory authority, including</w:t>
      </w:r>
    </w:p>
    <w:p>
      <w:pPr>
        <w:spacing w:after="0" w:line="5"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without limitation Forms 3, 4, 5, 13D, 13F, 13G and 13H and any amendments to any of the 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 do if personally present by one of its authorized signatories, hereby ratifying and confirming all that said attorney-in-fact shall lawfully do or cause to be done by</w:t>
      </w:r>
    </w:p>
    <w:p>
      <w:pPr>
        <w:spacing w:after="0" w:line="12" w:lineRule="exact"/>
        <w:rPr>
          <w:sz w:val="20"/>
          <w:szCs w:val="20"/>
          <w:color w:val="auto"/>
        </w:rPr>
      </w:pPr>
    </w:p>
    <w:p>
      <w:pPr>
        <w:jc w:val="both"/>
        <w:ind w:right="3259"/>
        <w:spacing w:after="0" w:line="279" w:lineRule="auto"/>
        <w:rPr>
          <w:sz w:val="20"/>
          <w:szCs w:val="20"/>
          <w:color w:val="auto"/>
        </w:rPr>
      </w:pPr>
      <w:r>
        <w:rPr>
          <w:rFonts w:ascii="Courier New" w:cs="Courier New" w:eastAsia="Courier New" w:hAnsi="Courier New"/>
          <w:sz w:val="16"/>
          <w:szCs w:val="16"/>
          <w:color w:val="auto"/>
        </w:rPr>
        <w:t>virtue hereof. Any such determination by an attorney-in-fact named herein shall be conclusively evidenced by such person's execution, delivery, furnishing or filing of the applicable document.</w:t>
      </w:r>
    </w:p>
    <w:p>
      <w:pPr>
        <w:spacing w:after="0" w:line="178"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10th day of July,2012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28th day of July, 2014.</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2020-01-22T07:45:02Z</dcterms:created>
  <dcterms:modified xsi:type="dcterms:W3CDTF">2020-01-22T07:45:02Z</dcterms:modified>
</cp:coreProperties>
</file>