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213995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257175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3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116205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10-K/A</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Amendment No. 1 to Form 10-K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121285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79"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22"/>
          <w:szCs w:val="22"/>
          <w:color w:val="auto"/>
        </w:rPr>
      </w:pPr>
      <w:r>
        <w:rPr>
          <w:rFonts w:ascii="Arial" w:cs="Arial" w:eastAsia="Arial" w:hAnsi="Arial"/>
          <w:sz w:val="22"/>
          <w:szCs w:val="22"/>
          <w:b w:val="1"/>
          <w:bCs w:val="1"/>
          <w:color w:val="auto"/>
        </w:rPr>
        <w:t>ANNUAL REPORT PURSUANT TO SECTION 13 OR 15(d) OF THE SECURITIES EXCHANGE ACT OF 1934</w:t>
      </w:r>
    </w:p>
    <w:p>
      <w:pPr>
        <w:spacing w:after="0" w:line="8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 the fiscal year ended December 31, 2016</w:t>
      </w:r>
    </w:p>
    <w:p>
      <w:pPr>
        <w:spacing w:after="0" w:line="9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81" w:lineRule="exact"/>
        <w:rPr>
          <w:sz w:val="24"/>
          <w:szCs w:val="24"/>
          <w:color w:val="auto"/>
        </w:rPr>
      </w:pPr>
    </w:p>
    <w:p>
      <w:pPr>
        <w:ind w:left="460" w:right="460" w:hanging="452"/>
        <w:spacing w:after="0" w:line="256" w:lineRule="auto"/>
        <w:tabs>
          <w:tab w:leader="none" w:pos="460" w:val="left"/>
        </w:tabs>
        <w:numPr>
          <w:ilvl w:val="0"/>
          <w:numId w:val="2"/>
        </w:numPr>
        <w:rPr>
          <w:rFonts w:ascii="MS PGothic" w:cs="MS PGothic" w:eastAsia="MS PGothic" w:hAnsi="MS PGothic"/>
          <w:sz w:val="22"/>
          <w:szCs w:val="22"/>
          <w:color w:val="auto"/>
        </w:rPr>
      </w:pPr>
      <w:r>
        <w:rPr>
          <w:rFonts w:ascii="Arial" w:cs="Arial" w:eastAsia="Arial" w:hAnsi="Arial"/>
          <w:sz w:val="22"/>
          <w:szCs w:val="22"/>
          <w:b w:val="1"/>
          <w:bCs w:val="1"/>
          <w:color w:val="auto"/>
        </w:rPr>
        <w:t>TRANSITION REPORT PURSUANT TO SECTION 13 OR 15(d) OF THE SECURITIES EXCHANGE ACT OF 1934</w:t>
      </w:r>
    </w:p>
    <w:p>
      <w:pPr>
        <w:spacing w:after="0" w:line="23" w:lineRule="exact"/>
        <w:rPr>
          <w:sz w:val="24"/>
          <w:szCs w:val="24"/>
          <w:color w:val="auto"/>
        </w:rPr>
      </w:pPr>
    </w:p>
    <w:p>
      <w:pPr>
        <w:ind w:left="3500"/>
        <w:spacing w:after="0"/>
        <w:tabs>
          <w:tab w:leader="none" w:pos="680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6"/>
          <w:szCs w:val="16"/>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3733800</wp:posOffset>
            </wp:positionH>
            <wp:positionV relativeFrom="paragraph">
              <wp:posOffset>-7620</wp:posOffset>
            </wp:positionV>
            <wp:extent cx="12954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95400" cy="8890"/>
                    </a:xfrm>
                    <a:prstGeom prst="rect">
                      <a:avLst/>
                    </a:prstGeom>
                    <a:noFill/>
                  </pic:spPr>
                </pic:pic>
              </a:graphicData>
            </a:graphic>
          </wp:anchor>
        </w:drawing>
      </w:r>
    </w:p>
    <w:p>
      <w:pPr>
        <w:spacing w:after="0" w:line="5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number 001-32195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146050</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2877820</wp:posOffset>
            </wp:positionH>
            <wp:positionV relativeFrom="paragraph">
              <wp:posOffset>248920</wp:posOffset>
            </wp:positionV>
            <wp:extent cx="1500505" cy="3600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00505" cy="3600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6"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GENWORTH FINANCIAL, INC.</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125095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93" w:lineRule="exact"/>
        <w:rPr>
          <w:sz w:val="24"/>
          <w:szCs w:val="24"/>
          <w:color w:val="auto"/>
        </w:rPr>
      </w:pPr>
    </w:p>
    <w:tbl>
      <w:tblPr>
        <w:tblLayout w:type="fixed"/>
        <w:tblInd w:w="360" w:type="dxa"/>
        <w:tblCellMar>
          <w:top w:w="0" w:type="dxa"/>
          <w:left w:w="0" w:type="dxa"/>
          <w:bottom w:w="0" w:type="dxa"/>
          <w:right w:w="0" w:type="dxa"/>
        </w:tblCellMar>
      </w:tblPr>
      <w:tr>
        <w:trPr>
          <w:trHeight w:val="212"/>
        </w:trPr>
        <w:tc>
          <w:tcPr>
            <w:tcW w:w="1940" w:type="dxa"/>
            <w:vAlign w:val="bottom"/>
          </w:tcPr>
          <w:p>
            <w:pPr>
              <w:spacing w:after="0"/>
              <w:rPr>
                <w:sz w:val="18"/>
                <w:szCs w:val="18"/>
                <w:color w:val="auto"/>
              </w:rPr>
            </w:pPr>
          </w:p>
        </w:tc>
        <w:tc>
          <w:tcPr>
            <w:tcW w:w="4940" w:type="dxa"/>
            <w:vAlign w:val="bottom"/>
            <w:gridSpan w:val="4"/>
          </w:tcPr>
          <w:p>
            <w:pPr>
              <w:jc w:val="center"/>
              <w:ind w:right="3820"/>
              <w:spacing w:after="0"/>
              <w:rPr>
                <w:sz w:val="20"/>
                <w:szCs w:val="20"/>
                <w:color w:val="auto"/>
              </w:rPr>
            </w:pPr>
            <w:r>
              <w:rPr>
                <w:rFonts w:ascii="Arial" w:cs="Arial" w:eastAsia="Arial" w:hAnsi="Arial"/>
                <w:sz w:val="18"/>
                <w:szCs w:val="18"/>
                <w:b w:val="1"/>
                <w:bCs w:val="1"/>
                <w:color w:val="auto"/>
                <w:w w:val="91"/>
              </w:rPr>
              <w:t>Delaware</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220" w:type="dxa"/>
            <w:vAlign w:val="bottom"/>
          </w:tcPr>
          <w:p>
            <w:pPr>
              <w:jc w:val="right"/>
              <w:ind w:right="823"/>
              <w:spacing w:after="0"/>
              <w:rPr>
                <w:sz w:val="20"/>
                <w:szCs w:val="20"/>
                <w:color w:val="auto"/>
              </w:rPr>
            </w:pPr>
            <w:r>
              <w:rPr>
                <w:rFonts w:ascii="Arial" w:cs="Arial" w:eastAsia="Arial" w:hAnsi="Arial"/>
                <w:sz w:val="18"/>
                <w:szCs w:val="18"/>
                <w:b w:val="1"/>
                <w:bCs w:val="1"/>
                <w:color w:val="auto"/>
              </w:rPr>
              <w:t>80-0873306</w:t>
            </w:r>
          </w:p>
        </w:tc>
        <w:tc>
          <w:tcPr>
            <w:tcW w:w="0" w:type="dxa"/>
            <w:vAlign w:val="bottom"/>
          </w:tcPr>
          <w:p>
            <w:pPr>
              <w:spacing w:after="0"/>
              <w:rPr>
                <w:sz w:val="1"/>
                <w:szCs w:val="1"/>
                <w:color w:val="auto"/>
              </w:rPr>
            </w:pPr>
          </w:p>
        </w:tc>
      </w:tr>
      <w:tr>
        <w:trPr>
          <w:trHeight w:val="149"/>
        </w:trPr>
        <w:tc>
          <w:tcPr>
            <w:tcW w:w="6880" w:type="dxa"/>
            <w:vAlign w:val="bottom"/>
            <w:gridSpan w:val="5"/>
          </w:tcPr>
          <w:p>
            <w:pPr>
              <w:jc w:val="center"/>
              <w:ind w:right="1880"/>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220" w:type="dxa"/>
            <w:vAlign w:val="bottom"/>
          </w:tcPr>
          <w:p>
            <w:pPr>
              <w:jc w:val="center"/>
              <w:ind w:right="383"/>
              <w:spacing w:after="0" w:line="149" w:lineRule="exact"/>
              <w:rPr>
                <w:sz w:val="20"/>
                <w:szCs w:val="20"/>
                <w:color w:val="auto"/>
              </w:rPr>
            </w:pPr>
            <w:r>
              <w:rPr>
                <w:rFonts w:ascii="Arial" w:cs="Arial" w:eastAsia="Arial" w:hAnsi="Arial"/>
                <w:sz w:val="14"/>
                <w:szCs w:val="14"/>
                <w:b w:val="1"/>
                <w:bCs w:val="1"/>
                <w:color w:val="auto"/>
                <w:w w:val="96"/>
              </w:rPr>
              <w:t>(I.R.S. Employer</w:t>
            </w:r>
          </w:p>
        </w:tc>
        <w:tc>
          <w:tcPr>
            <w:tcW w:w="0" w:type="dxa"/>
            <w:vAlign w:val="bottom"/>
          </w:tcPr>
          <w:p>
            <w:pPr>
              <w:spacing w:after="0"/>
              <w:rPr>
                <w:sz w:val="1"/>
                <w:szCs w:val="1"/>
                <w:color w:val="auto"/>
              </w:rPr>
            </w:pPr>
          </w:p>
        </w:tc>
      </w:tr>
      <w:tr>
        <w:trPr>
          <w:trHeight w:val="186"/>
        </w:trPr>
        <w:tc>
          <w:tcPr>
            <w:tcW w:w="6880" w:type="dxa"/>
            <w:vAlign w:val="bottom"/>
            <w:gridSpan w:val="5"/>
          </w:tcPr>
          <w:p>
            <w:pPr>
              <w:jc w:val="center"/>
              <w:ind w:right="1880"/>
              <w:spacing w:after="0"/>
              <w:rPr>
                <w:sz w:val="20"/>
                <w:szCs w:val="20"/>
                <w:color w:val="auto"/>
              </w:rPr>
            </w:pPr>
            <w:r>
              <w:rPr>
                <w:rFonts w:ascii="Arial" w:cs="Arial" w:eastAsia="Arial" w:hAnsi="Arial"/>
                <w:sz w:val="14"/>
                <w:szCs w:val="14"/>
                <w:b w:val="1"/>
                <w:bCs w:val="1"/>
                <w:color w:val="auto"/>
                <w:w w:val="94"/>
              </w:rPr>
              <w:t>incorporation or organization)</w:t>
            </w:r>
          </w:p>
        </w:tc>
        <w:tc>
          <w:tcPr>
            <w:tcW w:w="1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2220" w:type="dxa"/>
            <w:vAlign w:val="bottom"/>
          </w:tcPr>
          <w:p>
            <w:pPr>
              <w:jc w:val="center"/>
              <w:ind w:right="383"/>
              <w:spacing w:after="0"/>
              <w:rPr>
                <w:sz w:val="20"/>
                <w:szCs w:val="20"/>
                <w:color w:val="auto"/>
              </w:rPr>
            </w:pPr>
            <w:r>
              <w:rPr>
                <w:rFonts w:ascii="Arial" w:cs="Arial" w:eastAsia="Arial" w:hAnsi="Arial"/>
                <w:sz w:val="14"/>
                <w:szCs w:val="14"/>
                <w:b w:val="1"/>
                <w:bCs w:val="1"/>
                <w:color w:val="auto"/>
                <w:w w:val="94"/>
              </w:rPr>
              <w:t>Identification No.)</w:t>
            </w:r>
          </w:p>
        </w:tc>
        <w:tc>
          <w:tcPr>
            <w:tcW w:w="0" w:type="dxa"/>
            <w:vAlign w:val="bottom"/>
          </w:tcPr>
          <w:p>
            <w:pPr>
              <w:spacing w:after="0"/>
              <w:rPr>
                <w:sz w:val="1"/>
                <w:szCs w:val="1"/>
                <w:color w:val="auto"/>
              </w:rPr>
            </w:pPr>
          </w:p>
        </w:tc>
      </w:tr>
      <w:tr>
        <w:trPr>
          <w:trHeight w:val="412"/>
        </w:trPr>
        <w:tc>
          <w:tcPr>
            <w:tcW w:w="6880" w:type="dxa"/>
            <w:vAlign w:val="bottom"/>
            <w:gridSpan w:val="5"/>
          </w:tcPr>
          <w:p>
            <w:pPr>
              <w:jc w:val="center"/>
              <w:ind w:right="1880"/>
              <w:spacing w:after="0"/>
              <w:rPr>
                <w:sz w:val="20"/>
                <w:szCs w:val="20"/>
                <w:color w:val="auto"/>
              </w:rPr>
            </w:pPr>
            <w:r>
              <w:rPr>
                <w:rFonts w:ascii="Arial" w:cs="Arial" w:eastAsia="Arial" w:hAnsi="Arial"/>
                <w:sz w:val="18"/>
                <w:szCs w:val="18"/>
                <w:b w:val="1"/>
                <w:bCs w:val="1"/>
                <w:color w:val="auto"/>
                <w:w w:val="89"/>
              </w:rPr>
              <w:t>6620 West Broad Street</w:t>
            </w: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6880" w:type="dxa"/>
            <w:vAlign w:val="bottom"/>
            <w:gridSpan w:val="5"/>
          </w:tcPr>
          <w:p>
            <w:pPr>
              <w:jc w:val="center"/>
              <w:ind w:right="1880"/>
              <w:spacing w:after="0"/>
              <w:rPr>
                <w:sz w:val="20"/>
                <w:szCs w:val="20"/>
                <w:color w:val="auto"/>
              </w:rPr>
            </w:pPr>
            <w:r>
              <w:rPr>
                <w:rFonts w:ascii="Arial" w:cs="Arial" w:eastAsia="Arial" w:hAnsi="Arial"/>
                <w:sz w:val="18"/>
                <w:szCs w:val="18"/>
                <w:b w:val="1"/>
                <w:bCs w:val="1"/>
                <w:color w:val="auto"/>
                <w:w w:val="92"/>
              </w:rPr>
              <w:t>Richmond, Virginia</w:t>
            </w: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220" w:type="dxa"/>
            <w:vAlign w:val="bottom"/>
          </w:tcPr>
          <w:p>
            <w:pPr>
              <w:jc w:val="right"/>
              <w:ind w:right="1043"/>
              <w:spacing w:after="0"/>
              <w:rPr>
                <w:sz w:val="20"/>
                <w:szCs w:val="20"/>
                <w:color w:val="auto"/>
              </w:rPr>
            </w:pPr>
            <w:r>
              <w:rPr>
                <w:rFonts w:ascii="Arial" w:cs="Arial" w:eastAsia="Arial" w:hAnsi="Arial"/>
                <w:sz w:val="18"/>
                <w:szCs w:val="18"/>
                <w:b w:val="1"/>
                <w:bCs w:val="1"/>
                <w:color w:val="auto"/>
              </w:rPr>
              <w:t>23230</w:t>
            </w:r>
          </w:p>
        </w:tc>
        <w:tc>
          <w:tcPr>
            <w:tcW w:w="0" w:type="dxa"/>
            <w:vAlign w:val="bottom"/>
          </w:tcPr>
          <w:p>
            <w:pPr>
              <w:spacing w:after="0"/>
              <w:rPr>
                <w:sz w:val="1"/>
                <w:szCs w:val="1"/>
                <w:color w:val="auto"/>
              </w:rPr>
            </w:pPr>
          </w:p>
        </w:tc>
      </w:tr>
      <w:tr>
        <w:trPr>
          <w:trHeight w:val="186"/>
        </w:trPr>
        <w:tc>
          <w:tcPr>
            <w:tcW w:w="6880" w:type="dxa"/>
            <w:vAlign w:val="bottom"/>
            <w:gridSpan w:val="5"/>
          </w:tcPr>
          <w:p>
            <w:pPr>
              <w:jc w:val="center"/>
              <w:ind w:right="1860"/>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1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2220" w:type="dxa"/>
            <w:vAlign w:val="bottom"/>
          </w:tcPr>
          <w:p>
            <w:pPr>
              <w:jc w:val="center"/>
              <w:ind w:right="383"/>
              <w:spacing w:after="0"/>
              <w:rPr>
                <w:sz w:val="20"/>
                <w:szCs w:val="20"/>
                <w:color w:val="auto"/>
              </w:rPr>
            </w:pPr>
            <w:r>
              <w:rPr>
                <w:rFonts w:ascii="Arial" w:cs="Arial" w:eastAsia="Arial" w:hAnsi="Arial"/>
                <w:sz w:val="14"/>
                <w:szCs w:val="14"/>
                <w:b w:val="1"/>
                <w:bCs w:val="1"/>
                <w:color w:val="auto"/>
                <w:w w:val="98"/>
              </w:rPr>
              <w:t>(Zip Code)</w:t>
            </w:r>
          </w:p>
        </w:tc>
        <w:tc>
          <w:tcPr>
            <w:tcW w:w="0" w:type="dxa"/>
            <w:vAlign w:val="bottom"/>
          </w:tcPr>
          <w:p>
            <w:pPr>
              <w:spacing w:after="0"/>
              <w:rPr>
                <w:sz w:val="1"/>
                <w:szCs w:val="1"/>
                <w:color w:val="auto"/>
              </w:rPr>
            </w:pPr>
          </w:p>
        </w:tc>
      </w:tr>
      <w:tr>
        <w:trPr>
          <w:trHeight w:val="286"/>
        </w:trPr>
        <w:tc>
          <w:tcPr>
            <w:tcW w:w="6540" w:type="dxa"/>
            <w:vAlign w:val="bottom"/>
            <w:gridSpan w:val="4"/>
          </w:tcPr>
          <w:p>
            <w:pPr>
              <w:jc w:val="center"/>
              <w:ind w:left="4101"/>
              <w:spacing w:after="0"/>
              <w:rPr>
                <w:sz w:val="20"/>
                <w:szCs w:val="20"/>
                <w:color w:val="auto"/>
              </w:rPr>
            </w:pPr>
            <w:r>
              <w:rPr>
                <w:rFonts w:ascii="Arial" w:cs="Arial" w:eastAsia="Arial" w:hAnsi="Arial"/>
                <w:sz w:val="18"/>
                <w:szCs w:val="18"/>
                <w:b w:val="1"/>
                <w:bCs w:val="1"/>
                <w:color w:val="auto"/>
                <w:w w:val="90"/>
              </w:rPr>
              <w:t>(804) 281-6000</w:t>
            </w: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6"/>
        </w:trPr>
        <w:tc>
          <w:tcPr>
            <w:tcW w:w="19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4360" w:type="dxa"/>
            <w:vAlign w:val="bottom"/>
            <w:gridSpan w:val="5"/>
          </w:tcPr>
          <w:p>
            <w:pPr>
              <w:jc w:val="center"/>
              <w:ind w:left="96"/>
              <w:spacing w:after="0"/>
              <w:rPr>
                <w:sz w:val="20"/>
                <w:szCs w:val="20"/>
                <w:color w:val="auto"/>
              </w:rPr>
            </w:pPr>
            <w:r>
              <w:rPr>
                <w:rFonts w:ascii="Arial" w:cs="Arial" w:eastAsia="Arial" w:hAnsi="Arial"/>
                <w:sz w:val="14"/>
                <w:szCs w:val="14"/>
                <w:b w:val="1"/>
                <w:bCs w:val="1"/>
                <w:color w:val="auto"/>
                <w:w w:val="91"/>
              </w:rPr>
              <w:t>(Registrant’s telephone number, including area code)</w:t>
            </w:r>
          </w:p>
        </w:tc>
        <w:tc>
          <w:tcPr>
            <w:tcW w:w="2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09"/>
        </w:trPr>
        <w:tc>
          <w:tcPr>
            <w:tcW w:w="19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580" w:type="dxa"/>
            <w:vAlign w:val="bottom"/>
            <w:gridSpan w:val="6"/>
          </w:tcPr>
          <w:p>
            <w:pPr>
              <w:jc w:val="center"/>
              <w:ind w:right="1963"/>
              <w:spacing w:after="0"/>
              <w:rPr>
                <w:sz w:val="20"/>
                <w:szCs w:val="20"/>
                <w:color w:val="auto"/>
              </w:rPr>
            </w:pPr>
            <w:r>
              <w:rPr>
                <w:rFonts w:ascii="Arial" w:cs="Arial" w:eastAsia="Arial" w:hAnsi="Arial"/>
                <w:sz w:val="18"/>
                <w:szCs w:val="18"/>
                <w:b w:val="1"/>
                <w:bCs w:val="1"/>
                <w:color w:val="auto"/>
                <w:w w:val="88"/>
              </w:rPr>
              <w:t>Securities registered pursuant to Section 12(b) of the Act</w:t>
            </w:r>
          </w:p>
        </w:tc>
        <w:tc>
          <w:tcPr>
            <w:tcW w:w="0" w:type="dxa"/>
            <w:vAlign w:val="bottom"/>
          </w:tcPr>
          <w:p>
            <w:pPr>
              <w:spacing w:after="0"/>
              <w:rPr>
                <w:sz w:val="1"/>
                <w:szCs w:val="1"/>
                <w:color w:val="auto"/>
              </w:rPr>
            </w:pPr>
          </w:p>
        </w:tc>
      </w:tr>
      <w:tr>
        <w:trPr>
          <w:trHeight w:val="270"/>
        </w:trPr>
        <w:tc>
          <w:tcPr>
            <w:tcW w:w="6880" w:type="dxa"/>
            <w:vAlign w:val="bottom"/>
            <w:gridSpan w:val="5"/>
          </w:tcPr>
          <w:p>
            <w:pPr>
              <w:jc w:val="center"/>
              <w:ind w:right="1880"/>
              <w:spacing w:after="0"/>
              <w:rPr>
                <w:sz w:val="20"/>
                <w:szCs w:val="20"/>
                <w:color w:val="auto"/>
              </w:rPr>
            </w:pPr>
            <w:r>
              <w:rPr>
                <w:rFonts w:ascii="Arial" w:cs="Arial" w:eastAsia="Arial" w:hAnsi="Arial"/>
                <w:sz w:val="14"/>
                <w:szCs w:val="14"/>
                <w:b w:val="1"/>
                <w:bCs w:val="1"/>
                <w:color w:val="auto"/>
                <w:w w:val="93"/>
              </w:rPr>
              <w:t>Title of Each Class</w:t>
            </w:r>
          </w:p>
        </w:tc>
        <w:tc>
          <w:tcPr>
            <w:tcW w:w="100" w:type="dxa"/>
            <w:vAlign w:val="bottom"/>
          </w:tcPr>
          <w:p>
            <w:pPr>
              <w:spacing w:after="0"/>
              <w:rPr>
                <w:sz w:val="23"/>
                <w:szCs w:val="23"/>
                <w:color w:val="auto"/>
              </w:rPr>
            </w:pPr>
          </w:p>
        </w:tc>
        <w:tc>
          <w:tcPr>
            <w:tcW w:w="2680" w:type="dxa"/>
            <w:vAlign w:val="bottom"/>
            <w:gridSpan w:val="2"/>
          </w:tcPr>
          <w:p>
            <w:pPr>
              <w:jc w:val="center"/>
              <w:spacing w:after="0"/>
              <w:rPr>
                <w:sz w:val="20"/>
                <w:szCs w:val="20"/>
                <w:color w:val="auto"/>
              </w:rPr>
            </w:pPr>
            <w:r>
              <w:rPr>
                <w:rFonts w:ascii="Arial" w:cs="Arial" w:eastAsia="Arial" w:hAnsi="Arial"/>
                <w:sz w:val="14"/>
                <w:szCs w:val="14"/>
                <w:b w:val="1"/>
                <w:bCs w:val="1"/>
                <w:color w:val="auto"/>
                <w:w w:val="90"/>
              </w:rPr>
              <w:t>Name of each exchange on which registered</w:t>
            </w:r>
          </w:p>
        </w:tc>
        <w:tc>
          <w:tcPr>
            <w:tcW w:w="0" w:type="dxa"/>
            <w:vAlign w:val="bottom"/>
          </w:tcPr>
          <w:p>
            <w:pPr>
              <w:spacing w:after="0"/>
              <w:rPr>
                <w:sz w:val="1"/>
                <w:szCs w:val="1"/>
                <w:color w:val="auto"/>
              </w:rPr>
            </w:pPr>
          </w:p>
        </w:tc>
      </w:tr>
      <w:tr>
        <w:trPr>
          <w:trHeight w:val="20"/>
        </w:trPr>
        <w:tc>
          <w:tcPr>
            <w:tcW w:w="1940" w:type="dxa"/>
            <w:vAlign w:val="bottom"/>
            <w:vMerge w:val="restart"/>
          </w:tcPr>
          <w:p>
            <w:pPr>
              <w:ind w:left="580"/>
              <w:spacing w:after="0"/>
              <w:rPr>
                <w:sz w:val="20"/>
                <w:szCs w:val="20"/>
                <w:color w:val="auto"/>
              </w:rPr>
            </w:pPr>
            <w:r>
              <w:rPr>
                <w:rFonts w:ascii="Arial" w:cs="Arial" w:eastAsia="Arial" w:hAnsi="Arial"/>
                <w:sz w:val="18"/>
                <w:szCs w:val="18"/>
                <w:b w:val="1"/>
                <w:bCs w:val="1"/>
                <w:color w:val="auto"/>
                <w:w w:val="89"/>
              </w:rPr>
              <w:t>Class A Common</w:t>
            </w:r>
          </w:p>
        </w:tc>
        <w:tc>
          <w:tcPr>
            <w:tcW w:w="1140" w:type="dxa"/>
            <w:vAlign w:val="bottom"/>
            <w:shd w:val="clear" w:color="auto" w:fill="000000"/>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2680" w:type="dxa"/>
            <w:vAlign w:val="bottom"/>
            <w:gridSpan w:val="2"/>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8"/>
        </w:trPr>
        <w:tc>
          <w:tcPr>
            <w:tcW w:w="1940" w:type="dxa"/>
            <w:vAlign w:val="bottom"/>
            <w:vMerge w:val="continue"/>
          </w:tcPr>
          <w:p>
            <w:pPr>
              <w:spacing w:after="0"/>
              <w:rPr>
                <w:sz w:val="19"/>
                <w:szCs w:val="19"/>
                <w:color w:val="auto"/>
              </w:rPr>
            </w:pPr>
          </w:p>
        </w:tc>
        <w:tc>
          <w:tcPr>
            <w:tcW w:w="4940" w:type="dxa"/>
            <w:vAlign w:val="bottom"/>
            <w:gridSpan w:val="4"/>
          </w:tcPr>
          <w:p>
            <w:pPr>
              <w:ind w:left="20"/>
              <w:spacing w:after="0"/>
              <w:rPr>
                <w:sz w:val="20"/>
                <w:szCs w:val="20"/>
                <w:color w:val="auto"/>
              </w:rPr>
            </w:pPr>
            <w:r>
              <w:rPr>
                <w:rFonts w:ascii="Arial" w:cs="Arial" w:eastAsia="Arial" w:hAnsi="Arial"/>
                <w:sz w:val="18"/>
                <w:szCs w:val="18"/>
                <w:b w:val="1"/>
                <w:bCs w:val="1"/>
                <w:color w:val="auto"/>
              </w:rPr>
              <w:t>Stock, par value $.001 per share</w:t>
            </w:r>
          </w:p>
        </w:tc>
        <w:tc>
          <w:tcPr>
            <w:tcW w:w="100" w:type="dxa"/>
            <w:vAlign w:val="bottom"/>
            <w:vMerge w:val="continue"/>
          </w:tcPr>
          <w:p>
            <w:pPr>
              <w:spacing w:after="0"/>
              <w:rPr>
                <w:sz w:val="19"/>
                <w:szCs w:val="19"/>
                <w:color w:val="auto"/>
              </w:rPr>
            </w:pPr>
          </w:p>
        </w:tc>
        <w:tc>
          <w:tcPr>
            <w:tcW w:w="2680" w:type="dxa"/>
            <w:vAlign w:val="bottom"/>
            <w:gridSpan w:val="2"/>
          </w:tcPr>
          <w:p>
            <w:pPr>
              <w:jc w:val="center"/>
              <w:spacing w:after="0"/>
              <w:rPr>
                <w:sz w:val="20"/>
                <w:szCs w:val="20"/>
                <w:color w:val="auto"/>
              </w:rPr>
            </w:pPr>
            <w:r>
              <w:rPr>
                <w:rFonts w:ascii="Arial" w:cs="Arial" w:eastAsia="Arial" w:hAnsi="Arial"/>
                <w:sz w:val="18"/>
                <w:szCs w:val="18"/>
                <w:b w:val="1"/>
                <w:bCs w:val="1"/>
                <w:color w:val="auto"/>
                <w:w w:val="90"/>
              </w:rPr>
              <w:t>New York Stock Exchange</w:t>
            </w:r>
          </w:p>
        </w:tc>
        <w:tc>
          <w:tcPr>
            <w:tcW w:w="0" w:type="dxa"/>
            <w:vAlign w:val="bottom"/>
          </w:tcPr>
          <w:p>
            <w:pPr>
              <w:spacing w:after="0"/>
              <w:rPr>
                <w:sz w:val="1"/>
                <w:szCs w:val="1"/>
                <w:color w:val="auto"/>
              </w:rPr>
            </w:pPr>
          </w:p>
        </w:tc>
      </w:tr>
      <w:tr>
        <w:trPr>
          <w:trHeight w:val="287"/>
        </w:trPr>
        <w:tc>
          <w:tcPr>
            <w:tcW w:w="19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580" w:type="dxa"/>
            <w:vAlign w:val="bottom"/>
            <w:gridSpan w:val="6"/>
          </w:tcPr>
          <w:p>
            <w:pPr>
              <w:jc w:val="center"/>
              <w:ind w:right="1963"/>
              <w:spacing w:after="0"/>
              <w:rPr>
                <w:sz w:val="20"/>
                <w:szCs w:val="20"/>
                <w:color w:val="auto"/>
              </w:rPr>
            </w:pPr>
            <w:r>
              <w:rPr>
                <w:rFonts w:ascii="Arial" w:cs="Arial" w:eastAsia="Arial" w:hAnsi="Arial"/>
                <w:sz w:val="18"/>
                <w:szCs w:val="18"/>
                <w:b w:val="1"/>
                <w:bCs w:val="1"/>
                <w:color w:val="auto"/>
                <w:w w:val="88"/>
              </w:rPr>
              <w:t>Securities registered pursuant to Section 12(g) of the Act</w:t>
            </w:r>
          </w:p>
        </w:tc>
        <w:tc>
          <w:tcPr>
            <w:tcW w:w="0" w:type="dxa"/>
            <w:vAlign w:val="bottom"/>
          </w:tcPr>
          <w:p>
            <w:pPr>
              <w:spacing w:after="0"/>
              <w:rPr>
                <w:sz w:val="1"/>
                <w:szCs w:val="1"/>
                <w:color w:val="auto"/>
              </w:rPr>
            </w:pPr>
          </w:p>
        </w:tc>
      </w:tr>
      <w:tr>
        <w:trPr>
          <w:trHeight w:val="234"/>
        </w:trPr>
        <w:tc>
          <w:tcPr>
            <w:tcW w:w="19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72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8"/>
              </w:rPr>
              <w:t>None</w:t>
            </w:r>
          </w:p>
        </w:tc>
        <w:tc>
          <w:tcPr>
            <w:tcW w:w="1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4160" w:type="dxa"/>
            <w:vAlign w:val="bottom"/>
            <w:gridSpan w:val="3"/>
          </w:tcPr>
          <w:p>
            <w:pPr>
              <w:spacing w:after="0"/>
              <w:rPr>
                <w:sz w:val="19"/>
                <w:szCs w:val="19"/>
                <w:color w:val="auto"/>
              </w:rPr>
            </w:pPr>
          </w:p>
        </w:tc>
        <w:tc>
          <w:tcPr>
            <w:tcW w:w="2380" w:type="dxa"/>
            <w:vAlign w:val="bottom"/>
            <w:tcBorders>
              <w:bottom w:val="single" w:sz="8" w:color="auto"/>
            </w:tcBorders>
          </w:tcPr>
          <w:p>
            <w:pPr>
              <w:spacing w:after="0"/>
              <w:rPr>
                <w:sz w:val="19"/>
                <w:szCs w:val="19"/>
                <w:color w:val="auto"/>
              </w:rPr>
            </w:pPr>
          </w:p>
        </w:tc>
        <w:tc>
          <w:tcPr>
            <w:tcW w:w="340" w:type="dxa"/>
            <w:vAlign w:val="bottom"/>
          </w:tcPr>
          <w:p>
            <w:pPr>
              <w:spacing w:after="0"/>
              <w:rPr>
                <w:sz w:val="19"/>
                <w:szCs w:val="19"/>
                <w:color w:val="auto"/>
              </w:rPr>
            </w:pPr>
          </w:p>
        </w:tc>
        <w:tc>
          <w:tcPr>
            <w:tcW w:w="560" w:type="dxa"/>
            <w:vAlign w:val="bottom"/>
            <w:gridSpan w:val="2"/>
            <w:vMerge w:val="restart"/>
          </w:tcPr>
          <w:p>
            <w:pPr>
              <w:spacing w:after="0" w:line="161" w:lineRule="exact"/>
              <w:rPr>
                <w:sz w:val="20"/>
                <w:szCs w:val="20"/>
                <w:color w:val="auto"/>
              </w:rPr>
            </w:pPr>
            <w:r>
              <w:rPr>
                <w:rFonts w:ascii="Arial" w:cs="Arial" w:eastAsia="Arial" w:hAnsi="Arial"/>
                <w:sz w:val="14"/>
                <w:szCs w:val="14"/>
                <w:color w:val="auto"/>
              </w:rPr>
              <w:t xml:space="preserve">Yes </w:t>
            </w:r>
            <w:r>
              <w:rPr>
                <w:rFonts w:ascii="MS PGothic" w:cs="MS PGothic" w:eastAsia="MS PGothic" w:hAnsi="MS PGothic"/>
                <w:sz w:val="14"/>
                <w:szCs w:val="14"/>
                <w:color w:val="auto"/>
              </w:rPr>
              <w:t>☒</w:t>
            </w:r>
          </w:p>
        </w:tc>
        <w:tc>
          <w:tcPr>
            <w:tcW w:w="2220" w:type="dxa"/>
            <w:vAlign w:val="bottom"/>
            <w:vMerge w:val="restart"/>
          </w:tcPr>
          <w:p>
            <w:pPr>
              <w:spacing w:after="0" w:line="161" w:lineRule="exact"/>
              <w:rPr>
                <w:sz w:val="20"/>
                <w:szCs w:val="20"/>
                <w:color w:val="auto"/>
              </w:rPr>
            </w:pPr>
            <w:r>
              <w:rPr>
                <w:rFonts w:ascii="Arial" w:cs="Arial" w:eastAsia="Arial" w:hAnsi="Arial"/>
                <w:sz w:val="14"/>
                <w:szCs w:val="14"/>
                <w:color w:val="auto"/>
              </w:rPr>
              <w:t xml:space="preserve">No </w:t>
            </w:r>
            <w:r>
              <w:rPr>
                <w:rFonts w:ascii="MS PGothic" w:cs="MS PGothic" w:eastAsia="MS PGothic" w:hAnsi="MS PGothic"/>
                <w:sz w:val="14"/>
                <w:szCs w:val="14"/>
                <w:color w:val="auto"/>
              </w:rPr>
              <w:t>☐</w:t>
            </w:r>
          </w:p>
        </w:tc>
        <w:tc>
          <w:tcPr>
            <w:tcW w:w="0" w:type="dxa"/>
            <w:vAlign w:val="bottom"/>
          </w:tcPr>
          <w:p>
            <w:pPr>
              <w:spacing w:after="0"/>
              <w:rPr>
                <w:sz w:val="1"/>
                <w:szCs w:val="1"/>
                <w:color w:val="auto"/>
              </w:rPr>
            </w:pPr>
          </w:p>
        </w:tc>
      </w:tr>
      <w:tr>
        <w:trPr>
          <w:trHeight w:val="295"/>
        </w:trPr>
        <w:tc>
          <w:tcPr>
            <w:tcW w:w="6880" w:type="dxa"/>
            <w:vAlign w:val="bottom"/>
            <w:gridSpan w:val="5"/>
          </w:tcPr>
          <w:p>
            <w:pPr>
              <w:spacing w:after="0"/>
              <w:rPr>
                <w:sz w:val="20"/>
                <w:szCs w:val="20"/>
                <w:color w:val="auto"/>
              </w:rPr>
            </w:pPr>
            <w:r>
              <w:rPr>
                <w:rFonts w:ascii="Arial" w:cs="Arial" w:eastAsia="Arial" w:hAnsi="Arial"/>
                <w:sz w:val="14"/>
                <w:szCs w:val="14"/>
                <w:color w:val="auto"/>
                <w:w w:val="94"/>
              </w:rPr>
              <w:t>Indicate by check mark if the registrant is a well-known seasoned issuer, as defined in Rule 405 of the Securities Act.</w:t>
            </w:r>
          </w:p>
        </w:tc>
        <w:tc>
          <w:tcPr>
            <w:tcW w:w="560" w:type="dxa"/>
            <w:vAlign w:val="bottom"/>
            <w:gridSpan w:val="2"/>
            <w:vMerge w:val="continue"/>
          </w:tcPr>
          <w:p>
            <w:pPr>
              <w:spacing w:after="0"/>
              <w:rPr>
                <w:sz w:val="24"/>
                <w:szCs w:val="24"/>
                <w:color w:val="auto"/>
              </w:rPr>
            </w:pPr>
          </w:p>
        </w:tc>
        <w:tc>
          <w:tcPr>
            <w:tcW w:w="222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6880" w:type="dxa"/>
            <w:vAlign w:val="bottom"/>
            <w:gridSpan w:val="5"/>
          </w:tcPr>
          <w:p>
            <w:pPr>
              <w:spacing w:after="0"/>
              <w:rPr>
                <w:sz w:val="20"/>
                <w:szCs w:val="20"/>
                <w:color w:val="auto"/>
              </w:rPr>
            </w:pPr>
            <w:r>
              <w:rPr>
                <w:rFonts w:ascii="Arial" w:cs="Arial" w:eastAsia="Arial" w:hAnsi="Arial"/>
                <w:sz w:val="14"/>
                <w:szCs w:val="14"/>
                <w:color w:val="auto"/>
                <w:w w:val="93"/>
              </w:rPr>
              <w:t>Indicate by check mark if the registrant is not required to file reports pursuant to Section 13 or Section 15(d) of the Act.</w:t>
            </w:r>
          </w:p>
        </w:tc>
        <w:tc>
          <w:tcPr>
            <w:tcW w:w="100" w:type="dxa"/>
            <w:vAlign w:val="bottom"/>
          </w:tcPr>
          <w:p>
            <w:pPr>
              <w:spacing w:after="0"/>
              <w:rPr>
                <w:sz w:val="22"/>
                <w:szCs w:val="22"/>
                <w:color w:val="auto"/>
              </w:rPr>
            </w:pPr>
          </w:p>
        </w:tc>
        <w:tc>
          <w:tcPr>
            <w:tcW w:w="460" w:type="dxa"/>
            <w:vAlign w:val="bottom"/>
          </w:tcPr>
          <w:p>
            <w:pPr>
              <w:ind w:left="20"/>
              <w:spacing w:after="0" w:line="161" w:lineRule="exact"/>
              <w:rPr>
                <w:sz w:val="20"/>
                <w:szCs w:val="20"/>
                <w:color w:val="auto"/>
              </w:rPr>
            </w:pPr>
            <w:r>
              <w:rPr>
                <w:rFonts w:ascii="Arial" w:cs="Arial" w:eastAsia="Arial" w:hAnsi="Arial"/>
                <w:sz w:val="14"/>
                <w:szCs w:val="14"/>
                <w:color w:val="auto"/>
                <w:w w:val="99"/>
              </w:rPr>
              <w:t xml:space="preserve">Yes </w:t>
            </w:r>
            <w:r>
              <w:rPr>
                <w:rFonts w:ascii="MS PGothic" w:cs="MS PGothic" w:eastAsia="MS PGothic" w:hAnsi="MS PGothic"/>
                <w:sz w:val="14"/>
                <w:szCs w:val="14"/>
                <w:color w:val="auto"/>
                <w:w w:val="99"/>
              </w:rPr>
              <w:t>☐</w:t>
            </w:r>
          </w:p>
        </w:tc>
        <w:tc>
          <w:tcPr>
            <w:tcW w:w="2220" w:type="dxa"/>
            <w:vAlign w:val="bottom"/>
          </w:tcPr>
          <w:p>
            <w:pPr>
              <w:ind w:left="120"/>
              <w:spacing w:after="0" w:line="161" w:lineRule="exact"/>
              <w:rPr>
                <w:sz w:val="20"/>
                <w:szCs w:val="20"/>
                <w:color w:val="auto"/>
              </w:rPr>
            </w:pPr>
            <w:r>
              <w:rPr>
                <w:rFonts w:ascii="Arial" w:cs="Arial" w:eastAsia="Arial" w:hAnsi="Arial"/>
                <w:sz w:val="14"/>
                <w:szCs w:val="14"/>
                <w:color w:val="auto"/>
              </w:rPr>
              <w:t xml:space="preserve">No </w:t>
            </w:r>
            <w:r>
              <w:rPr>
                <w:rFonts w:ascii="MS PGothic" w:cs="MS PGothic" w:eastAsia="MS PGothic" w:hAnsi="MS PGothic"/>
                <w:sz w:val="14"/>
                <w:szCs w:val="14"/>
                <w:color w:val="auto"/>
              </w:rPr>
              <w:t>☒</w:t>
            </w:r>
          </w:p>
        </w:tc>
        <w:tc>
          <w:tcPr>
            <w:tcW w:w="0" w:type="dxa"/>
            <w:vAlign w:val="bottom"/>
          </w:tcPr>
          <w:p>
            <w:pPr>
              <w:spacing w:after="0"/>
              <w:rPr>
                <w:sz w:val="1"/>
                <w:szCs w:val="1"/>
                <w:color w:val="auto"/>
              </w:rPr>
            </w:pPr>
          </w:p>
        </w:tc>
      </w:tr>
    </w:tbl>
    <w:p>
      <w:pPr>
        <w:spacing w:after="0" w:line="31" w:lineRule="exact"/>
        <w:rPr>
          <w:sz w:val="24"/>
          <w:szCs w:val="24"/>
          <w:color w:val="auto"/>
        </w:rPr>
      </w:pPr>
    </w:p>
    <w:p>
      <w:pPr>
        <w:ind w:right="40" w:firstLine="342"/>
        <w:spacing w:after="0" w:line="180" w:lineRule="exact"/>
        <w:rPr>
          <w:sz w:val="20"/>
          <w:szCs w:val="20"/>
          <w:color w:val="auto"/>
        </w:rPr>
      </w:pPr>
      <w:r>
        <w:rPr>
          <w:rFonts w:ascii="Arial" w:cs="Arial" w:eastAsia="Arial" w:hAnsi="Arial"/>
          <w:sz w:val="14"/>
          <w:szCs w:val="14"/>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32" w:lineRule="exact"/>
        <w:rPr>
          <w:sz w:val="24"/>
          <w:szCs w:val="24"/>
          <w:color w:val="auto"/>
        </w:rPr>
      </w:pPr>
    </w:p>
    <w:p>
      <w:pPr>
        <w:ind w:right="40" w:firstLine="342"/>
        <w:spacing w:after="0" w:line="181" w:lineRule="exact"/>
        <w:rPr>
          <w:sz w:val="20"/>
          <w:szCs w:val="20"/>
          <w:color w:val="auto"/>
        </w:rPr>
      </w:pPr>
      <w:r>
        <w:rPr>
          <w:rFonts w:ascii="Arial" w:cs="Arial" w:eastAsia="Arial" w:hAnsi="Arial"/>
          <w:sz w:val="13"/>
          <w:szCs w:val="13"/>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p>
      <w:pPr>
        <w:spacing w:after="0" w:line="45" w:lineRule="exact"/>
        <w:rPr>
          <w:sz w:val="24"/>
          <w:szCs w:val="24"/>
          <w:color w:val="auto"/>
        </w:rPr>
      </w:pPr>
    </w:p>
    <w:p>
      <w:pPr>
        <w:ind w:right="300" w:firstLine="342"/>
        <w:spacing w:after="0" w:line="180" w:lineRule="exact"/>
        <w:rPr>
          <w:sz w:val="20"/>
          <w:szCs w:val="20"/>
          <w:color w:val="auto"/>
        </w:rPr>
      </w:pPr>
      <w:r>
        <w:rPr>
          <w:rFonts w:ascii="Arial" w:cs="Arial" w:eastAsia="Arial" w:hAnsi="Arial"/>
          <w:sz w:val="14"/>
          <w:szCs w:val="14"/>
          <w:color w:val="auto"/>
        </w:rPr>
        <w:t xml:space="preserve">Indicate by check mark if disclosure of delinquent filers pursuant to Item 405 of Regulation S-K (§229.405 of this chapter) is not contained herein, and will not be contained, to the best of registrant’s knowledge, in definitive proxy or information statements incorporated by reference in Part III of this Form 10-K or any amendment to this Form 10-K. </w:t>
      </w:r>
      <w:r>
        <w:rPr>
          <w:rFonts w:ascii="MS PGothic" w:cs="MS PGothic" w:eastAsia="MS PGothic" w:hAnsi="MS PGothic"/>
          <w:sz w:val="14"/>
          <w:szCs w:val="14"/>
          <w:color w:val="auto"/>
        </w:rPr>
        <w:t>☒</w:t>
      </w:r>
    </w:p>
    <w:p>
      <w:pPr>
        <w:spacing w:after="0" w:line="32" w:lineRule="exact"/>
        <w:rPr>
          <w:sz w:val="24"/>
          <w:szCs w:val="24"/>
          <w:color w:val="auto"/>
        </w:rPr>
      </w:pPr>
    </w:p>
    <w:p>
      <w:pPr>
        <w:ind w:right="180" w:firstLine="342"/>
        <w:spacing w:after="0" w:line="253"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 (Check one):</w:t>
      </w:r>
    </w:p>
    <w:p>
      <w:pPr>
        <w:sectPr>
          <w:pgSz w:w="11900" w:h="16838" w:orient="portrait"/>
          <w:cols w:equalWidth="0" w:num="1">
            <w:col w:w="11420"/>
          </w:cols>
          <w:pgMar w:left="240" w:top="230" w:right="239" w:bottom="1440" w:gutter="0" w:footer="0" w:header="0"/>
        </w:sectPr>
      </w:pPr>
    </w:p>
    <w:p>
      <w:pPr>
        <w:spacing w:after="0" w:line="66" w:lineRule="exact"/>
        <w:rPr>
          <w:sz w:val="24"/>
          <w:szCs w:val="24"/>
          <w:color w:val="auto"/>
        </w:rPr>
      </w:pPr>
    </w:p>
    <w:p>
      <w:pPr>
        <w:spacing w:after="0"/>
        <w:rPr>
          <w:sz w:val="20"/>
          <w:szCs w:val="20"/>
          <w:color w:val="auto"/>
        </w:rPr>
      </w:pPr>
      <w:r>
        <w:rPr>
          <w:rFonts w:ascii="Arial" w:cs="Arial" w:eastAsia="Arial" w:hAnsi="Arial"/>
          <w:sz w:val="13"/>
          <w:szCs w:val="13"/>
          <w:color w:val="auto"/>
        </w:rPr>
        <w:t>Large accelerated filer</w:t>
      </w:r>
    </w:p>
    <w:p>
      <w:pPr>
        <w:spacing w:after="0" w:line="20" w:lineRule="exact"/>
        <w:rPr>
          <w:sz w:val="24"/>
          <w:szCs w:val="24"/>
          <w:color w:val="auto"/>
        </w:rPr>
      </w:pPr>
      <w:r>
        <w:rPr>
          <w:sz w:val="24"/>
          <w:szCs w:val="24"/>
          <w:color w:val="auto"/>
        </w:rPr>
        <w:br w:type="column"/>
      </w:r>
    </w:p>
    <w:p>
      <w:pPr>
        <w:spacing w:after="0" w:line="5" w:lineRule="exact"/>
        <w:rPr>
          <w:sz w:val="24"/>
          <w:szCs w:val="24"/>
          <w:color w:val="auto"/>
        </w:rPr>
      </w:pPr>
    </w:p>
    <w:p>
      <w:pPr>
        <w:spacing w:after="0" w:line="141" w:lineRule="exact"/>
        <w:rPr>
          <w:sz w:val="20"/>
          <w:szCs w:val="20"/>
          <w:color w:val="auto"/>
        </w:rPr>
      </w:pPr>
      <w:r>
        <w:rPr>
          <w:rFonts w:ascii="MS PGothic" w:cs="MS PGothic" w:eastAsia="MS PGothic" w:hAnsi="MS PGothic"/>
          <w:sz w:val="14"/>
          <w:szCs w:val="14"/>
          <w:color w:val="auto"/>
        </w:rPr>
        <w:t>☒</w:t>
      </w:r>
    </w:p>
    <w:p>
      <w:pPr>
        <w:spacing w:after="0" w:line="20" w:lineRule="exact"/>
        <w:rPr>
          <w:sz w:val="24"/>
          <w:szCs w:val="24"/>
          <w:color w:val="auto"/>
        </w:rPr>
      </w:pPr>
      <w:r>
        <w:rPr>
          <w:sz w:val="24"/>
          <w:szCs w:val="24"/>
          <w:color w:val="auto"/>
        </w:rPr>
        <w:br w:type="column"/>
      </w:r>
    </w:p>
    <w:p>
      <w:pPr>
        <w:spacing w:after="0" w:line="46" w:lineRule="exact"/>
        <w:rPr>
          <w:sz w:val="24"/>
          <w:szCs w:val="24"/>
          <w:color w:val="auto"/>
        </w:rPr>
      </w:pPr>
    </w:p>
    <w:p>
      <w:pPr>
        <w:spacing w:after="0"/>
        <w:rPr>
          <w:sz w:val="20"/>
          <w:szCs w:val="20"/>
          <w:color w:val="auto"/>
        </w:rPr>
      </w:pPr>
      <w:r>
        <w:rPr>
          <w:rFonts w:ascii="Arial" w:cs="Arial" w:eastAsia="Arial" w:hAnsi="Arial"/>
          <w:sz w:val="13"/>
          <w:szCs w:val="13"/>
          <w:color w:val="auto"/>
        </w:rPr>
        <w:t>Accelerated filer</w:t>
      </w:r>
    </w:p>
    <w:p>
      <w:pPr>
        <w:spacing w:after="0" w:line="20" w:lineRule="exact"/>
        <w:rPr>
          <w:sz w:val="24"/>
          <w:szCs w:val="24"/>
          <w:color w:val="auto"/>
        </w:rPr>
      </w:pPr>
      <w:r>
        <w:rPr>
          <w:sz w:val="24"/>
          <w:szCs w:val="24"/>
          <w:color w:val="auto"/>
        </w:rPr>
        <w:br w:type="column"/>
      </w:r>
    </w:p>
    <w:p>
      <w:pPr>
        <w:spacing w:after="0" w:line="5" w:lineRule="exact"/>
        <w:rPr>
          <w:sz w:val="24"/>
          <w:szCs w:val="24"/>
          <w:color w:val="auto"/>
        </w:rPr>
      </w:pPr>
    </w:p>
    <w:p>
      <w:pPr>
        <w:spacing w:after="0" w:line="141" w:lineRule="exact"/>
        <w:rPr>
          <w:sz w:val="20"/>
          <w:szCs w:val="20"/>
          <w:color w:val="auto"/>
        </w:rPr>
      </w:pPr>
      <w:r>
        <w:rPr>
          <w:rFonts w:ascii="MS PGothic" w:cs="MS PGothic" w:eastAsia="MS PGothic" w:hAnsi="MS PGothic"/>
          <w:sz w:val="14"/>
          <w:szCs w:val="14"/>
          <w:color w:val="auto"/>
        </w:rPr>
        <w:t>☐</w:t>
      </w:r>
    </w:p>
    <w:p>
      <w:pPr>
        <w:spacing w:after="0" w:line="143" w:lineRule="exact"/>
        <w:rPr>
          <w:sz w:val="24"/>
          <w:szCs w:val="24"/>
          <w:color w:val="auto"/>
        </w:rPr>
      </w:pPr>
    </w:p>
    <w:p>
      <w:pPr>
        <w:sectPr>
          <w:pgSz w:w="11900" w:h="16838" w:orient="portrait"/>
          <w:cols w:equalWidth="0" w:num="4">
            <w:col w:w="1300" w:space="540"/>
            <w:col w:w="6460" w:space="720"/>
            <w:col w:w="1540" w:space="720"/>
            <w:col w:w="140"/>
          </w:cols>
          <w:pgMar w:left="240" w:top="230" w:right="239" w:bottom="1440" w:gutter="0" w:footer="0" w:header="0"/>
          <w:type w:val="continuous"/>
        </w:sectPr>
      </w:pPr>
    </w:p>
    <w:p>
      <w:pPr>
        <w:spacing w:after="0" w:line="41" w:lineRule="exact"/>
        <w:rPr>
          <w:sz w:val="24"/>
          <w:szCs w:val="24"/>
          <w:color w:val="auto"/>
        </w:rPr>
      </w:pPr>
    </w:p>
    <w:p>
      <w:pPr>
        <w:spacing w:after="0"/>
        <w:rPr>
          <w:sz w:val="20"/>
          <w:szCs w:val="20"/>
          <w:color w:val="auto"/>
        </w:rPr>
      </w:pPr>
      <w:r>
        <w:rPr>
          <w:rFonts w:ascii="Arial" w:cs="Arial" w:eastAsia="Arial" w:hAnsi="Arial"/>
          <w:sz w:val="13"/>
          <w:szCs w:val="13"/>
          <w:color w:val="auto"/>
        </w:rPr>
        <w:t>Non-accelerated filer</w:t>
      </w:r>
    </w:p>
    <w:p>
      <w:pPr>
        <w:spacing w:after="0" w:line="20" w:lineRule="exact"/>
        <w:rPr>
          <w:sz w:val="24"/>
          <w:szCs w:val="24"/>
          <w:color w:val="auto"/>
        </w:rPr>
      </w:pPr>
      <w:r>
        <w:rPr>
          <w:sz w:val="24"/>
          <w:szCs w:val="24"/>
          <w:color w:val="auto"/>
        </w:rPr>
        <w:br w:type="column"/>
      </w:r>
    </w:p>
    <w:p>
      <w:pPr>
        <w:spacing w:after="0" w:line="121" w:lineRule="exact"/>
        <w:rPr>
          <w:sz w:val="20"/>
          <w:szCs w:val="20"/>
          <w:color w:val="auto"/>
        </w:rPr>
      </w:pPr>
      <w:r>
        <w:rPr>
          <w:rFonts w:ascii="MS PGothic" w:cs="MS PGothic" w:eastAsia="MS PGothic" w:hAnsi="MS PGothic"/>
          <w:sz w:val="14"/>
          <w:szCs w:val="14"/>
          <w:color w:val="auto"/>
        </w:rPr>
        <w:t>☐</w:t>
      </w:r>
    </w:p>
    <w:p>
      <w:pPr>
        <w:spacing w:after="0" w:line="20" w:lineRule="exact"/>
        <w:rPr>
          <w:sz w:val="24"/>
          <w:szCs w:val="24"/>
          <w:color w:val="auto"/>
        </w:rPr>
      </w:pPr>
      <w:r>
        <w:rPr>
          <w:sz w:val="24"/>
          <w:szCs w:val="24"/>
          <w:color w:val="auto"/>
        </w:rPr>
        <w:br w:type="column"/>
      </w:r>
    </w:p>
    <w:p>
      <w:pPr>
        <w:spacing w:after="0" w:line="21" w:lineRule="exact"/>
        <w:rPr>
          <w:sz w:val="24"/>
          <w:szCs w:val="24"/>
          <w:color w:val="auto"/>
        </w:rPr>
      </w:pPr>
    </w:p>
    <w:p>
      <w:pPr>
        <w:spacing w:after="0"/>
        <w:rPr>
          <w:sz w:val="20"/>
          <w:szCs w:val="20"/>
          <w:color w:val="auto"/>
        </w:rPr>
      </w:pPr>
      <w:r>
        <w:rPr>
          <w:rFonts w:ascii="Arial" w:cs="Arial" w:eastAsia="Arial" w:hAnsi="Arial"/>
          <w:sz w:val="13"/>
          <w:szCs w:val="13"/>
          <w:color w:val="auto"/>
        </w:rPr>
        <w:t>Smaller reporting company</w:t>
      </w:r>
    </w:p>
    <w:p>
      <w:pPr>
        <w:spacing w:after="0" w:line="20" w:lineRule="exact"/>
        <w:rPr>
          <w:sz w:val="24"/>
          <w:szCs w:val="24"/>
          <w:color w:val="auto"/>
        </w:rPr>
      </w:pPr>
      <w:r>
        <w:rPr>
          <w:sz w:val="24"/>
          <w:szCs w:val="24"/>
          <w:color w:val="auto"/>
        </w:rPr>
        <w:br w:type="column"/>
      </w:r>
    </w:p>
    <w:p>
      <w:pPr>
        <w:spacing w:after="0" w:line="121" w:lineRule="exact"/>
        <w:rPr>
          <w:sz w:val="20"/>
          <w:szCs w:val="20"/>
          <w:color w:val="auto"/>
        </w:rPr>
      </w:pPr>
      <w:r>
        <w:rPr>
          <w:rFonts w:ascii="MS PGothic" w:cs="MS PGothic" w:eastAsia="MS PGothic" w:hAnsi="MS PGothic"/>
          <w:sz w:val="14"/>
          <w:szCs w:val="14"/>
          <w:color w:val="auto"/>
        </w:rPr>
        <w:t>☐</w:t>
      </w:r>
    </w:p>
    <w:p>
      <w:pPr>
        <w:spacing w:after="0" w:line="103" w:lineRule="exact"/>
        <w:rPr>
          <w:sz w:val="24"/>
          <w:szCs w:val="24"/>
          <w:color w:val="auto"/>
        </w:rPr>
      </w:pPr>
    </w:p>
    <w:p>
      <w:pPr>
        <w:sectPr>
          <w:pgSz w:w="11900" w:h="16838" w:orient="portrait"/>
          <w:cols w:equalWidth="0" w:num="4">
            <w:col w:w="1220" w:space="620"/>
            <w:col w:w="6460" w:space="720"/>
            <w:col w:w="1580" w:space="680"/>
            <w:col w:w="140"/>
          </w:cols>
          <w:pgMar w:left="240" w:top="230" w:right="239" w:bottom="1440" w:gutter="0" w:footer="0" w:header="0"/>
          <w:type w:val="continuous"/>
        </w:sectPr>
      </w:pPr>
    </w:p>
    <w:p>
      <w:pPr>
        <w:spacing w:after="0" w:line="27" w:lineRule="exact"/>
        <w:rPr>
          <w:sz w:val="24"/>
          <w:szCs w:val="24"/>
          <w:color w:val="auto"/>
        </w:rPr>
      </w:pPr>
    </w:p>
    <w:p>
      <w:pPr>
        <w:ind w:left="360"/>
        <w:spacing w:after="0"/>
        <w:rPr>
          <w:sz w:val="20"/>
          <w:szCs w:val="20"/>
          <w:color w:val="auto"/>
        </w:rPr>
      </w:pPr>
      <w:r>
        <w:rPr>
          <w:rFonts w:ascii="Arial" w:cs="Arial" w:eastAsia="Arial" w:hAnsi="Arial"/>
          <w:sz w:val="13"/>
          <w:szCs w:val="13"/>
          <w:color w:val="auto"/>
        </w:rPr>
        <w:t>Indicate by check mark whether the registrant is a shell company (as defined in Rule 12b-2 of the Exchange Act).</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spacing w:after="0"/>
        <w:rPr>
          <w:sz w:val="20"/>
          <w:szCs w:val="20"/>
          <w:color w:val="auto"/>
        </w:rPr>
      </w:pPr>
      <w:r>
        <w:rPr>
          <w:rFonts w:ascii="Arial" w:cs="Arial" w:eastAsia="Arial" w:hAnsi="Arial"/>
          <w:sz w:val="11"/>
          <w:szCs w:val="11"/>
          <w:color w:val="auto"/>
        </w:rPr>
        <w:t>Yes</w:t>
      </w:r>
    </w:p>
    <w:p>
      <w:pPr>
        <w:spacing w:after="0" w:line="20" w:lineRule="exact"/>
        <w:rPr>
          <w:sz w:val="24"/>
          <w:szCs w:val="24"/>
          <w:color w:val="auto"/>
        </w:rPr>
      </w:pPr>
      <w:r>
        <w:rPr>
          <w:sz w:val="24"/>
          <w:szCs w:val="24"/>
          <w:color w:val="auto"/>
        </w:rPr>
        <w:br w:type="column"/>
      </w:r>
    </w:p>
    <w:p>
      <w:pPr>
        <w:spacing w:after="0" w:line="101" w:lineRule="exact"/>
        <w:rPr>
          <w:sz w:val="20"/>
          <w:szCs w:val="20"/>
          <w:color w:val="auto"/>
        </w:rPr>
      </w:pPr>
      <w:r>
        <w:rPr>
          <w:rFonts w:ascii="MS PGothic" w:cs="MS PGothic" w:eastAsia="MS PGothic" w:hAnsi="MS PGothic"/>
          <w:sz w:val="12"/>
          <w:szCs w:val="12"/>
          <w:color w:val="auto"/>
        </w:rPr>
        <w:t>☐</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spacing w:after="0"/>
        <w:rPr>
          <w:sz w:val="20"/>
          <w:szCs w:val="20"/>
          <w:color w:val="auto"/>
        </w:rPr>
      </w:pPr>
      <w:r>
        <w:rPr>
          <w:rFonts w:ascii="Arial" w:cs="Arial" w:eastAsia="Arial" w:hAnsi="Arial"/>
          <w:sz w:val="14"/>
          <w:szCs w:val="14"/>
          <w:color w:val="auto"/>
        </w:rPr>
        <w:t>No</w:t>
      </w:r>
    </w:p>
    <w:p>
      <w:pPr>
        <w:spacing w:after="0" w:line="20" w:lineRule="exact"/>
        <w:rPr>
          <w:sz w:val="24"/>
          <w:szCs w:val="24"/>
          <w:color w:val="auto"/>
        </w:rPr>
      </w:pPr>
      <w:r>
        <w:rPr>
          <w:sz w:val="24"/>
          <w:szCs w:val="24"/>
          <w:color w:val="auto"/>
        </w:rPr>
        <w:br w:type="column"/>
      </w:r>
    </w:p>
    <w:p>
      <w:pPr>
        <w:spacing w:after="0" w:line="121" w:lineRule="exact"/>
        <w:rPr>
          <w:sz w:val="20"/>
          <w:szCs w:val="20"/>
          <w:color w:val="auto"/>
        </w:rPr>
      </w:pPr>
      <w:r>
        <w:rPr>
          <w:rFonts w:ascii="MS PGothic" w:cs="MS PGothic" w:eastAsia="MS PGothic" w:hAnsi="MS PGothic"/>
          <w:sz w:val="14"/>
          <w:szCs w:val="14"/>
          <w:color w:val="auto"/>
        </w:rPr>
        <w:t>☒</w:t>
      </w:r>
    </w:p>
    <w:p>
      <w:pPr>
        <w:spacing w:after="0" w:line="130" w:lineRule="exact"/>
        <w:rPr>
          <w:sz w:val="24"/>
          <w:szCs w:val="24"/>
          <w:color w:val="auto"/>
        </w:rPr>
      </w:pPr>
    </w:p>
    <w:p>
      <w:pPr>
        <w:sectPr>
          <w:pgSz w:w="11900" w:h="16838" w:orient="portrait"/>
          <w:cols w:equalWidth="0" w:num="5">
            <w:col w:w="6880" w:space="140"/>
            <w:col w:w="200" w:space="80"/>
            <w:col w:w="120" w:space="160"/>
            <w:col w:w="180" w:space="60"/>
            <w:col w:w="3600"/>
          </w:cols>
          <w:pgMar w:left="240" w:top="230" w:right="239" w:bottom="1440" w:gutter="0" w:footer="0" w:header="0"/>
          <w:type w:val="continuous"/>
        </w:sectPr>
      </w:pPr>
    </w:p>
    <w:p>
      <w:pPr>
        <w:ind w:left="360"/>
        <w:spacing w:after="0"/>
        <w:rPr>
          <w:sz w:val="20"/>
          <w:szCs w:val="20"/>
          <w:color w:val="auto"/>
        </w:rPr>
      </w:pPr>
      <w:r>
        <w:rPr>
          <w:rFonts w:ascii="Arial" w:cs="Arial" w:eastAsia="Arial" w:hAnsi="Arial"/>
          <w:sz w:val="12"/>
          <w:szCs w:val="12"/>
          <w:color w:val="auto"/>
        </w:rPr>
        <w:t>As of March 31, 2017, 498,931,063 shares of Class A Common Stock, par value $0.001 per share, were outstanding.</w:t>
      </w:r>
    </w:p>
    <w:p>
      <w:pPr>
        <w:sectPr>
          <w:pgSz w:w="11900" w:h="16838" w:orient="portrait"/>
          <w:cols w:equalWidth="0" w:num="1">
            <w:col w:w="11420"/>
          </w:cols>
          <w:pgMar w:left="240" w:top="230" w:right="239" w:bottom="1440" w:gutter="0" w:footer="0" w:header="0"/>
          <w:type w:val="continuous"/>
        </w:sectPr>
      </w:pPr>
    </w:p>
    <w:p>
      <w:pPr>
        <w:spacing w:after="0" w:line="78" w:lineRule="exact"/>
        <w:rPr>
          <w:sz w:val="24"/>
          <w:szCs w:val="24"/>
          <w:color w:val="auto"/>
        </w:rPr>
      </w:pPr>
    </w:p>
    <w:p>
      <w:pPr>
        <w:ind w:right="120" w:firstLine="342"/>
        <w:spacing w:after="0" w:line="238" w:lineRule="auto"/>
        <w:rPr>
          <w:sz w:val="20"/>
          <w:szCs w:val="20"/>
          <w:color w:val="auto"/>
        </w:rPr>
      </w:pPr>
      <w:r>
        <w:rPr>
          <w:rFonts w:ascii="Arial" w:cs="Arial" w:eastAsia="Arial" w:hAnsi="Arial"/>
          <w:sz w:val="14"/>
          <w:szCs w:val="14"/>
          <w:color w:val="auto"/>
        </w:rPr>
        <w:t>The aggregate market value of the common equity (based on the closing price of the Class A Common Stock on the New York Stock Exchange) held by non-affiliates of the registrant on June 30, 2016, the last business day of the registrant’s most recently completed second fiscal quarter, was approximately $1.3 billion. All executive officers and directors of the registrant have been deemed, solely for the purpose of the foregoing calculation, to be “affiliates” of the registrant.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136525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179705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30" w:right="239" w:bottom="1440" w:gutter="0" w:footer="0" w:header="0"/>
          <w:type w:val="continuous"/>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EXPLANATORY NOTE</w:t>
      </w:r>
    </w:p>
    <w:p>
      <w:pPr>
        <w:spacing w:after="0" w:line="229"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This Amendment No. 1 (this “Amendment”) on Form 10-K/A is being filed with respect to Genworth Financial, Inc.’s Annual Report on Form 10-K for the fiscal year ended December 31, 2016 filed with the Securities and Exchange Commission (the “SEC”) on February 27, 2017 (the “Form 10-K”). This Amendment updates Part III to contain certain additional information required therein.</w:t>
      </w:r>
    </w:p>
    <w:p>
      <w:pPr>
        <w:spacing w:after="0" w:line="181" w:lineRule="exact"/>
        <w:rPr>
          <w:sz w:val="20"/>
          <w:szCs w:val="20"/>
          <w:color w:val="auto"/>
        </w:rPr>
      </w:pPr>
    </w:p>
    <w:p>
      <w:pPr>
        <w:ind w:right="140" w:firstLine="456"/>
        <w:spacing w:after="0" w:line="342" w:lineRule="auto"/>
        <w:rPr>
          <w:sz w:val="20"/>
          <w:szCs w:val="20"/>
          <w:color w:val="auto"/>
        </w:rPr>
      </w:pPr>
      <w:r>
        <w:rPr>
          <w:rFonts w:ascii="Arial" w:cs="Arial" w:eastAsia="Arial" w:hAnsi="Arial"/>
          <w:sz w:val="16"/>
          <w:szCs w:val="16"/>
          <w:color w:val="auto"/>
        </w:rPr>
        <w:t>Except for the changes to Part III and the filing of related certifications added to the list of Exhibits in Part IV, this Amendment makes no changes to the Form 10-K. This Amendment does not reflect events occurring after the filing of the Form 10-K or modify disclosures affected by subsequent events.</w:t>
      </w:r>
    </w:p>
    <w:p>
      <w:pPr>
        <w:spacing w:after="0" w:line="2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As used in this Amendment, the terms “Genworth,” the “company,” “we,” “our” and “us” refer to Genworth Financial, Inc.</w:t>
      </w:r>
    </w:p>
    <w:p>
      <w:pPr>
        <w:sectPr>
          <w:pgSz w:w="11900" w:h="16838" w:orient="portrait"/>
          <w:cols w:equalWidth="0" w:num="1">
            <w:col w:w="11300"/>
          </w:cols>
          <w:pgMar w:left="240" w:top="459" w:right="35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07"/>
        </w:trPr>
        <w:tc>
          <w:tcPr>
            <w:tcW w:w="9580" w:type="dxa"/>
            <w:vAlign w:val="bottom"/>
            <w:gridSpan w:val="8"/>
          </w:tcPr>
          <w:p>
            <w:pPr>
              <w:spacing w:after="0"/>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Table of Contents</w:t>
              </w:r>
            </w:hyperlink>
          </w:p>
        </w:tc>
        <w:tc>
          <w:tcPr>
            <w:tcW w:w="1780" w:type="dxa"/>
            <w:vAlign w:val="bottom"/>
          </w:tcPr>
          <w:p>
            <w:pPr>
              <w:spacing w:after="0"/>
              <w:rPr>
                <w:sz w:val="17"/>
                <w:szCs w:val="17"/>
                <w:color w:val="auto"/>
              </w:rPr>
            </w:pPr>
          </w:p>
        </w:tc>
      </w:tr>
      <w:tr>
        <w:trPr>
          <w:trHeight w:val="515"/>
        </w:trPr>
        <w:tc>
          <w:tcPr>
            <w:tcW w:w="660" w:type="dxa"/>
            <w:vAlign w:val="bottom"/>
            <w:tcBorders>
              <w:top w:val="single" w:sz="8" w:color="0000EE"/>
            </w:tcBorders>
          </w:tcPr>
          <w:p>
            <w:pPr>
              <w:spacing w:after="0"/>
              <w:rPr>
                <w:sz w:val="24"/>
                <w:szCs w:val="24"/>
                <w:color w:val="auto"/>
              </w:rPr>
            </w:pPr>
          </w:p>
        </w:tc>
        <w:tc>
          <w:tcPr>
            <w:tcW w:w="700" w:type="dxa"/>
            <w:vAlign w:val="bottom"/>
            <w:tcBorders>
              <w:top w:val="single" w:sz="8" w:color="0000EE"/>
            </w:tcBorders>
          </w:tcPr>
          <w:p>
            <w:pPr>
              <w:spacing w:after="0"/>
              <w:rPr>
                <w:sz w:val="24"/>
                <w:szCs w:val="24"/>
                <w:color w:val="auto"/>
              </w:rPr>
            </w:pPr>
          </w:p>
        </w:tc>
        <w:tc>
          <w:tcPr>
            <w:tcW w:w="1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4840" w:type="dxa"/>
            <w:vAlign w:val="bottom"/>
            <w:gridSpan w:val="3"/>
          </w:tcPr>
          <w:p>
            <w:pPr>
              <w:jc w:val="center"/>
              <w:ind w:right="2900"/>
              <w:spacing w:after="0"/>
              <w:rPr>
                <w:sz w:val="20"/>
                <w:szCs w:val="20"/>
                <w:color w:val="auto"/>
              </w:rPr>
            </w:pPr>
            <w:r>
              <w:rPr>
                <w:rFonts w:ascii="Arial" w:cs="Arial" w:eastAsia="Arial" w:hAnsi="Arial"/>
                <w:sz w:val="18"/>
                <w:szCs w:val="18"/>
                <w:b w:val="1"/>
                <w:bCs w:val="1"/>
                <w:color w:val="auto"/>
                <w:w w:val="93"/>
              </w:rPr>
              <w:t>Genworth Financial, Inc.</w:t>
            </w:r>
          </w:p>
        </w:tc>
        <w:tc>
          <w:tcPr>
            <w:tcW w:w="1780" w:type="dxa"/>
            <w:vAlign w:val="bottom"/>
          </w:tcPr>
          <w:p>
            <w:pPr>
              <w:spacing w:after="0"/>
              <w:rPr>
                <w:sz w:val="24"/>
                <w:szCs w:val="24"/>
                <w:color w:val="auto"/>
              </w:rPr>
            </w:pPr>
          </w:p>
        </w:tc>
      </w:tr>
      <w:tr>
        <w:trPr>
          <w:trHeight w:val="234"/>
        </w:trPr>
        <w:tc>
          <w:tcPr>
            <w:tcW w:w="6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4840" w:type="dxa"/>
            <w:vAlign w:val="bottom"/>
            <w:gridSpan w:val="3"/>
          </w:tcPr>
          <w:p>
            <w:pPr>
              <w:jc w:val="center"/>
              <w:ind w:right="2880"/>
              <w:spacing w:after="0"/>
              <w:rPr>
                <w:sz w:val="20"/>
                <w:szCs w:val="20"/>
                <w:color w:val="auto"/>
              </w:rPr>
            </w:pPr>
            <w:r>
              <w:rPr>
                <w:rFonts w:ascii="Arial" w:cs="Arial" w:eastAsia="Arial" w:hAnsi="Arial"/>
                <w:sz w:val="18"/>
                <w:szCs w:val="18"/>
                <w:b w:val="1"/>
                <w:bCs w:val="1"/>
                <w:color w:val="auto"/>
                <w:w w:val="89"/>
              </w:rPr>
              <w:t>Table of Contents</w:t>
            </w:r>
          </w:p>
        </w:tc>
        <w:tc>
          <w:tcPr>
            <w:tcW w:w="1780" w:type="dxa"/>
            <w:vAlign w:val="bottom"/>
          </w:tcPr>
          <w:p>
            <w:pPr>
              <w:spacing w:after="0"/>
              <w:rPr>
                <w:sz w:val="20"/>
                <w:szCs w:val="20"/>
                <w:color w:val="auto"/>
              </w:rPr>
            </w:pPr>
          </w:p>
        </w:tc>
      </w:tr>
      <w:tr>
        <w:trPr>
          <w:trHeight w:val="459"/>
        </w:trPr>
        <w:tc>
          <w:tcPr>
            <w:tcW w:w="9580" w:type="dxa"/>
            <w:vAlign w:val="bottom"/>
            <w:gridSpan w:val="8"/>
          </w:tcPr>
          <w:p>
            <w:pPr>
              <w:spacing w:after="0"/>
              <w:rPr>
                <w:sz w:val="20"/>
                <w:szCs w:val="20"/>
                <w:color w:val="auto"/>
              </w:rPr>
            </w:pPr>
            <w:r>
              <w:rPr>
                <w:rFonts w:ascii="Arial" w:cs="Arial" w:eastAsia="Arial" w:hAnsi="Arial"/>
                <w:sz w:val="18"/>
                <w:szCs w:val="18"/>
                <w:b w:val="1"/>
                <w:bCs w:val="1"/>
                <w:color w:val="auto"/>
              </w:rPr>
              <w:t>PART III</w:t>
            </w:r>
          </w:p>
        </w:tc>
        <w:tc>
          <w:tcPr>
            <w:tcW w:w="1780" w:type="dxa"/>
            <w:vAlign w:val="bottom"/>
          </w:tcPr>
          <w:p>
            <w:pPr>
              <w:spacing w:after="0"/>
              <w:rPr>
                <w:sz w:val="24"/>
                <w:szCs w:val="24"/>
                <w:color w:val="auto"/>
              </w:rPr>
            </w:pPr>
          </w:p>
        </w:tc>
      </w:tr>
      <w:tr>
        <w:trPr>
          <w:trHeight w:val="392"/>
        </w:trPr>
        <w:tc>
          <w:tcPr>
            <w:tcW w:w="660" w:type="dxa"/>
            <w:vAlign w:val="bottom"/>
          </w:tcPr>
          <w:p>
            <w:pPr>
              <w:spacing w:after="0"/>
              <w:rPr>
                <w:rFonts w:ascii="Arial" w:cs="Arial" w:eastAsia="Arial" w:hAnsi="Arial"/>
                <w:sz w:val="18"/>
                <w:szCs w:val="18"/>
                <w:color w:val="0000EE"/>
                <w:w w:val="98"/>
              </w:rPr>
            </w:pPr>
            <w:hyperlink w:anchor="page4">
              <w:r>
                <w:rPr>
                  <w:rFonts w:ascii="Arial" w:cs="Arial" w:eastAsia="Arial" w:hAnsi="Arial"/>
                  <w:sz w:val="18"/>
                  <w:szCs w:val="18"/>
                  <w:color w:val="0000EE"/>
                  <w:w w:val="98"/>
                </w:rPr>
                <w:t>Item 10.</w:t>
              </w:r>
            </w:hyperlink>
          </w:p>
        </w:tc>
        <w:tc>
          <w:tcPr>
            <w:tcW w:w="8920" w:type="dxa"/>
            <w:vAlign w:val="bottom"/>
            <w:gridSpan w:val="7"/>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Directors, Executive Officers and Corporate Governance</w:t>
              </w:r>
            </w:hyperlink>
          </w:p>
        </w:tc>
        <w:tc>
          <w:tcPr>
            <w:tcW w:w="178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196"/>
        </w:trPr>
        <w:tc>
          <w:tcPr>
            <w:tcW w:w="246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90"/>
              </w:rPr>
            </w:pPr>
            <w:hyperlink w:anchor="page15">
              <w:r>
                <w:rPr>
                  <w:rFonts w:ascii="Arial" w:cs="Arial" w:eastAsia="Arial" w:hAnsi="Arial"/>
                  <w:sz w:val="18"/>
                  <w:szCs w:val="18"/>
                  <w:color w:val="0000EE"/>
                  <w:w w:val="90"/>
                </w:rPr>
                <w:t>Item 11. Executive Compensation</w:t>
              </w:r>
            </w:hyperlink>
          </w:p>
        </w:tc>
        <w:tc>
          <w:tcPr>
            <w:tcW w:w="2280" w:type="dxa"/>
            <w:vAlign w:val="bottom"/>
            <w:tcBorders>
              <w:top w:val="single" w:sz="8" w:color="0000EE"/>
            </w:tcBorders>
            <w:gridSpan w:val="2"/>
          </w:tcPr>
          <w:p>
            <w:pPr>
              <w:spacing w:after="0"/>
              <w:rPr>
                <w:sz w:val="17"/>
                <w:szCs w:val="17"/>
                <w:color w:val="auto"/>
              </w:rPr>
            </w:pPr>
          </w:p>
        </w:tc>
        <w:tc>
          <w:tcPr>
            <w:tcW w:w="4840" w:type="dxa"/>
            <w:vAlign w:val="bottom"/>
            <w:gridSpan w:val="3"/>
          </w:tcPr>
          <w:p>
            <w:pPr>
              <w:spacing w:after="0"/>
              <w:rPr>
                <w:sz w:val="17"/>
                <w:szCs w:val="17"/>
                <w:color w:val="auto"/>
              </w:rPr>
            </w:pPr>
          </w:p>
        </w:tc>
        <w:tc>
          <w:tcPr>
            <w:tcW w:w="1780" w:type="dxa"/>
            <w:vAlign w:val="bottom"/>
          </w:tcPr>
          <w:p>
            <w:pPr>
              <w:jc w:val="right"/>
              <w:spacing w:after="0" w:line="196" w:lineRule="exact"/>
              <w:rPr>
                <w:sz w:val="20"/>
                <w:szCs w:val="20"/>
                <w:color w:val="auto"/>
              </w:rPr>
            </w:pPr>
            <w:r>
              <w:rPr>
                <w:rFonts w:ascii="Arial" w:cs="Arial" w:eastAsia="Arial" w:hAnsi="Arial"/>
                <w:sz w:val="18"/>
                <w:szCs w:val="18"/>
                <w:color w:val="auto"/>
              </w:rPr>
              <w:t>12</w:t>
            </w:r>
          </w:p>
        </w:tc>
      </w:tr>
      <w:tr>
        <w:trPr>
          <w:trHeight w:val="196"/>
        </w:trPr>
        <w:tc>
          <w:tcPr>
            <w:tcW w:w="660" w:type="dxa"/>
            <w:vAlign w:val="bottom"/>
            <w:tcBorders>
              <w:bottom w:val="single" w:sz="8" w:color="0000EE"/>
            </w:tcBorders>
          </w:tcPr>
          <w:p>
            <w:pPr>
              <w:spacing w:after="0" w:line="196" w:lineRule="exact"/>
              <w:rPr>
                <w:rFonts w:ascii="Arial" w:cs="Arial" w:eastAsia="Arial" w:hAnsi="Arial"/>
                <w:sz w:val="18"/>
                <w:szCs w:val="18"/>
                <w:color w:val="0000EE"/>
                <w:w w:val="98"/>
              </w:rPr>
            </w:pPr>
            <w:hyperlink w:anchor="page53">
              <w:r>
                <w:rPr>
                  <w:rFonts w:ascii="Arial" w:cs="Arial" w:eastAsia="Arial" w:hAnsi="Arial"/>
                  <w:sz w:val="18"/>
                  <w:szCs w:val="18"/>
                  <w:color w:val="0000EE"/>
                  <w:w w:val="98"/>
                </w:rPr>
                <w:t>Item 12.</w:t>
              </w:r>
            </w:hyperlink>
          </w:p>
        </w:tc>
        <w:tc>
          <w:tcPr>
            <w:tcW w:w="7340" w:type="dxa"/>
            <w:vAlign w:val="bottom"/>
            <w:tcBorders>
              <w:bottom w:val="single" w:sz="8" w:color="0000EE"/>
            </w:tcBorders>
            <w:gridSpan w:val="6"/>
          </w:tcPr>
          <w:p>
            <w:pPr>
              <w:ind w:left="40"/>
              <w:spacing w:after="0" w:line="196" w:lineRule="exact"/>
              <w:rPr>
                <w:rFonts w:ascii="Arial" w:cs="Arial" w:eastAsia="Arial" w:hAnsi="Arial"/>
                <w:sz w:val="18"/>
                <w:szCs w:val="18"/>
                <w:color w:val="0000EE"/>
                <w:w w:val="90"/>
              </w:rPr>
            </w:pPr>
            <w:hyperlink w:anchor="page53">
              <w:r>
                <w:rPr>
                  <w:rFonts w:ascii="Arial" w:cs="Arial" w:eastAsia="Arial" w:hAnsi="Arial"/>
                  <w:sz w:val="18"/>
                  <w:szCs w:val="18"/>
                  <w:color w:val="0000EE"/>
                  <w:w w:val="90"/>
                </w:rPr>
                <w:t>Security Ownership of Certain Beneficial Owners and Management and Related Stockholder Matters</w:t>
              </w:r>
            </w:hyperlink>
          </w:p>
        </w:tc>
        <w:tc>
          <w:tcPr>
            <w:tcW w:w="1580" w:type="dxa"/>
            <w:vAlign w:val="bottom"/>
          </w:tcPr>
          <w:p>
            <w:pPr>
              <w:spacing w:after="0"/>
              <w:rPr>
                <w:sz w:val="17"/>
                <w:szCs w:val="17"/>
                <w:color w:val="auto"/>
              </w:rPr>
            </w:pPr>
          </w:p>
        </w:tc>
        <w:tc>
          <w:tcPr>
            <w:tcW w:w="1780" w:type="dxa"/>
            <w:vAlign w:val="bottom"/>
          </w:tcPr>
          <w:p>
            <w:pPr>
              <w:jc w:val="right"/>
              <w:spacing w:after="0" w:line="196" w:lineRule="exact"/>
              <w:rPr>
                <w:sz w:val="20"/>
                <w:szCs w:val="20"/>
                <w:color w:val="auto"/>
              </w:rPr>
            </w:pPr>
            <w:r>
              <w:rPr>
                <w:rFonts w:ascii="Arial" w:cs="Arial" w:eastAsia="Arial" w:hAnsi="Arial"/>
                <w:sz w:val="18"/>
                <w:szCs w:val="18"/>
                <w:color w:val="auto"/>
              </w:rPr>
              <w:t>50</w:t>
            </w:r>
          </w:p>
        </w:tc>
      </w:tr>
      <w:tr>
        <w:trPr>
          <w:trHeight w:val="196"/>
        </w:trPr>
        <w:tc>
          <w:tcPr>
            <w:tcW w:w="660" w:type="dxa"/>
            <w:vAlign w:val="bottom"/>
          </w:tcPr>
          <w:p>
            <w:pPr>
              <w:spacing w:after="0" w:line="196" w:lineRule="exact"/>
              <w:rPr>
                <w:rFonts w:ascii="Arial" w:cs="Arial" w:eastAsia="Arial" w:hAnsi="Arial"/>
                <w:sz w:val="18"/>
                <w:szCs w:val="18"/>
                <w:color w:val="0000EE"/>
                <w:w w:val="98"/>
              </w:rPr>
            </w:pPr>
            <w:hyperlink w:anchor="page56">
              <w:r>
                <w:rPr>
                  <w:rFonts w:ascii="Arial" w:cs="Arial" w:eastAsia="Arial" w:hAnsi="Arial"/>
                  <w:sz w:val="18"/>
                  <w:szCs w:val="18"/>
                  <w:color w:val="0000EE"/>
                  <w:w w:val="98"/>
                </w:rPr>
                <w:t>Item 13.</w:t>
              </w:r>
            </w:hyperlink>
          </w:p>
        </w:tc>
        <w:tc>
          <w:tcPr>
            <w:tcW w:w="8920" w:type="dxa"/>
            <w:vAlign w:val="bottom"/>
            <w:gridSpan w:val="7"/>
          </w:tcPr>
          <w:p>
            <w:pPr>
              <w:ind w:left="40"/>
              <w:spacing w:after="0" w:line="196" w:lineRule="exact"/>
              <w:rPr>
                <w:rFonts w:ascii="Arial" w:cs="Arial" w:eastAsia="Arial" w:hAnsi="Arial"/>
                <w:sz w:val="18"/>
                <w:szCs w:val="18"/>
                <w:color w:val="0000EE"/>
              </w:rPr>
            </w:pPr>
            <w:hyperlink w:anchor="page56">
              <w:r>
                <w:rPr>
                  <w:rFonts w:ascii="Arial" w:cs="Arial" w:eastAsia="Arial" w:hAnsi="Arial"/>
                  <w:sz w:val="18"/>
                  <w:szCs w:val="18"/>
                  <w:color w:val="0000EE"/>
                </w:rPr>
                <w:t>Certain Relationships and Related Transactions, and Director Independence</w:t>
              </w:r>
            </w:hyperlink>
          </w:p>
        </w:tc>
        <w:tc>
          <w:tcPr>
            <w:tcW w:w="1780" w:type="dxa"/>
            <w:vAlign w:val="bottom"/>
          </w:tcPr>
          <w:p>
            <w:pPr>
              <w:jc w:val="right"/>
              <w:spacing w:after="0" w:line="196" w:lineRule="exact"/>
              <w:rPr>
                <w:sz w:val="20"/>
                <w:szCs w:val="20"/>
                <w:color w:val="auto"/>
              </w:rPr>
            </w:pPr>
            <w:r>
              <w:rPr>
                <w:rFonts w:ascii="Arial" w:cs="Arial" w:eastAsia="Arial" w:hAnsi="Arial"/>
                <w:sz w:val="18"/>
                <w:szCs w:val="18"/>
                <w:color w:val="auto"/>
              </w:rPr>
              <w:t>53</w:t>
            </w:r>
          </w:p>
        </w:tc>
      </w:tr>
      <w:tr>
        <w:trPr>
          <w:trHeight w:val="196"/>
        </w:trPr>
        <w:tc>
          <w:tcPr>
            <w:tcW w:w="660" w:type="dxa"/>
            <w:vAlign w:val="bottom"/>
            <w:tcBorders>
              <w:top w:val="single" w:sz="8" w:color="0000EE"/>
            </w:tcBorders>
          </w:tcPr>
          <w:p>
            <w:pPr>
              <w:spacing w:after="0" w:line="196" w:lineRule="exact"/>
              <w:rPr>
                <w:rFonts w:ascii="Arial" w:cs="Arial" w:eastAsia="Arial" w:hAnsi="Arial"/>
                <w:sz w:val="18"/>
                <w:szCs w:val="18"/>
                <w:color w:val="0000EE"/>
                <w:w w:val="98"/>
              </w:rPr>
            </w:pPr>
            <w:hyperlink w:anchor="page58">
              <w:r>
                <w:rPr>
                  <w:rFonts w:ascii="Arial" w:cs="Arial" w:eastAsia="Arial" w:hAnsi="Arial"/>
                  <w:sz w:val="18"/>
                  <w:szCs w:val="18"/>
                  <w:color w:val="0000EE"/>
                  <w:w w:val="98"/>
                </w:rPr>
                <w:t>Item 14.</w:t>
              </w:r>
            </w:hyperlink>
          </w:p>
        </w:tc>
        <w:tc>
          <w:tcPr>
            <w:tcW w:w="5480" w:type="dxa"/>
            <w:vAlign w:val="bottom"/>
            <w:tcBorders>
              <w:top w:val="single" w:sz="8" w:color="0000EE"/>
            </w:tcBorders>
            <w:gridSpan w:val="5"/>
          </w:tcPr>
          <w:p>
            <w:pPr>
              <w:spacing w:after="0" w:line="196" w:lineRule="exact"/>
              <w:rPr>
                <w:rFonts w:ascii="Arial" w:cs="Arial" w:eastAsia="Arial" w:hAnsi="Arial"/>
                <w:sz w:val="18"/>
                <w:szCs w:val="18"/>
                <w:color w:val="0000EE"/>
              </w:rPr>
            </w:pPr>
            <w:hyperlink w:anchor="page58">
              <w:r>
                <w:rPr>
                  <w:rFonts w:ascii="Arial" w:cs="Arial" w:eastAsia="Arial" w:hAnsi="Arial"/>
                  <w:sz w:val="18"/>
                  <w:szCs w:val="18"/>
                  <w:color w:val="0000EE"/>
                </w:rPr>
                <w:t>Principal Accounting Fees and Services</w:t>
              </w:r>
            </w:hyperlink>
          </w:p>
        </w:tc>
        <w:tc>
          <w:tcPr>
            <w:tcW w:w="3440" w:type="dxa"/>
            <w:vAlign w:val="bottom"/>
            <w:gridSpan w:val="2"/>
          </w:tcPr>
          <w:p>
            <w:pPr>
              <w:spacing w:after="0"/>
              <w:rPr>
                <w:sz w:val="17"/>
                <w:szCs w:val="17"/>
                <w:color w:val="auto"/>
              </w:rPr>
            </w:pPr>
          </w:p>
        </w:tc>
        <w:tc>
          <w:tcPr>
            <w:tcW w:w="1780" w:type="dxa"/>
            <w:vAlign w:val="bottom"/>
          </w:tcPr>
          <w:p>
            <w:pPr>
              <w:jc w:val="right"/>
              <w:spacing w:after="0" w:line="196" w:lineRule="exact"/>
              <w:rPr>
                <w:sz w:val="20"/>
                <w:szCs w:val="20"/>
                <w:color w:val="auto"/>
              </w:rPr>
            </w:pPr>
            <w:r>
              <w:rPr>
                <w:rFonts w:ascii="Arial" w:cs="Arial" w:eastAsia="Arial" w:hAnsi="Arial"/>
                <w:sz w:val="18"/>
                <w:szCs w:val="18"/>
                <w:color w:val="auto"/>
              </w:rPr>
              <w:t>55</w:t>
            </w:r>
          </w:p>
        </w:tc>
      </w:tr>
      <w:tr>
        <w:trPr>
          <w:trHeight w:val="20"/>
        </w:trPr>
        <w:tc>
          <w:tcPr>
            <w:tcW w:w="660" w:type="dxa"/>
            <w:vAlign w:val="bottom"/>
            <w:shd w:val="clear" w:color="auto" w:fill="0000EE"/>
          </w:tcPr>
          <w:p>
            <w:pPr>
              <w:spacing w:after="0" w:line="20" w:lineRule="exact"/>
              <w:rPr>
                <w:sz w:val="1"/>
                <w:szCs w:val="1"/>
                <w:color w:val="auto"/>
              </w:rPr>
            </w:pPr>
          </w:p>
        </w:tc>
        <w:tc>
          <w:tcPr>
            <w:tcW w:w="700" w:type="dxa"/>
            <w:vAlign w:val="bottom"/>
            <w:shd w:val="clear" w:color="auto" w:fill="0000EE"/>
          </w:tcPr>
          <w:p>
            <w:pPr>
              <w:spacing w:after="0" w:line="20" w:lineRule="exact"/>
              <w:rPr>
                <w:sz w:val="1"/>
                <w:szCs w:val="1"/>
                <w:color w:val="auto"/>
              </w:rPr>
            </w:pPr>
          </w:p>
        </w:tc>
        <w:tc>
          <w:tcPr>
            <w:tcW w:w="110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r>
    </w:tbl>
    <w:p>
      <w:pPr>
        <w:spacing w:after="0" w:line="22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b w:val="1"/>
          <w:bCs w:val="1"/>
          <w:color w:val="auto"/>
        </w:rPr>
        <w:t>PART IV</w:t>
      </w:r>
    </w:p>
    <w:p>
      <w:pPr>
        <w:spacing w:after="0" w:line="229" w:lineRule="exact"/>
        <w:rPr>
          <w:sz w:val="20"/>
          <w:szCs w:val="20"/>
          <w:color w:val="auto"/>
        </w:rPr>
      </w:pPr>
    </w:p>
    <w:p>
      <w:pPr>
        <w:spacing w:after="0"/>
        <w:rPr>
          <w:rFonts w:ascii="Arial" w:cs="Arial" w:eastAsia="Arial" w:hAnsi="Arial"/>
          <w:sz w:val="18"/>
          <w:szCs w:val="18"/>
          <w:u w:val="single" w:color="auto"/>
          <w:color w:val="0000EE"/>
        </w:rPr>
      </w:pPr>
      <w:hyperlink w:anchor="page60">
        <w:r>
          <w:rPr>
            <w:rFonts w:ascii="Arial" w:cs="Arial" w:eastAsia="Arial" w:hAnsi="Arial"/>
            <w:sz w:val="18"/>
            <w:szCs w:val="18"/>
            <w:u w:val="single" w:color="auto"/>
            <w:color w:val="0000EE"/>
          </w:rPr>
          <w:t>Item 15. Exhibits</w:t>
        </w:r>
      </w:hyperlink>
    </w:p>
    <w:p>
      <w:pPr>
        <w:sectPr>
          <w:pgSz w:w="11900" w:h="16838" w:orient="portrait"/>
          <w:cols w:equalWidth="0" w:num="1">
            <w:col w:w="11360"/>
          </w:cols>
          <w:pgMar w:left="240" w:top="446" w:right="29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Part III</w:t>
      </w:r>
    </w:p>
    <w:p>
      <w:pPr>
        <w:spacing w:after="0" w:line="25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6"/>
          <w:szCs w:val="16"/>
          <w:b w:val="1"/>
          <w:bCs w:val="1"/>
          <w:color w:val="auto"/>
        </w:rPr>
        <w:t>Directors, Executive Officers and Corporate Governance</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Information required by this Item regarding our executive officers was included in Part III of our Form 10-K filed with the SEC on February 27, 2017.</w:t>
      </w:r>
    </w:p>
    <w:p>
      <w:pPr>
        <w:spacing w:after="0" w:line="3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BOARD OF DIRECTORS</w:t>
      </w:r>
    </w:p>
    <w:p>
      <w:pPr>
        <w:spacing w:after="0" w:line="121" w:lineRule="exact"/>
        <w:rPr>
          <w:sz w:val="20"/>
          <w:szCs w:val="20"/>
          <w:color w:val="auto"/>
        </w:rPr>
      </w:pPr>
    </w:p>
    <w:p>
      <w:pPr>
        <w:ind w:right="120" w:firstLine="456"/>
        <w:spacing w:after="0" w:line="264" w:lineRule="auto"/>
        <w:rPr>
          <w:sz w:val="20"/>
          <w:szCs w:val="20"/>
          <w:color w:val="auto"/>
        </w:rPr>
      </w:pPr>
      <w:r>
        <w:rPr>
          <w:rFonts w:ascii="Arial" w:cs="Arial" w:eastAsia="Arial" w:hAnsi="Arial"/>
          <w:sz w:val="18"/>
          <w:szCs w:val="18"/>
          <w:color w:val="auto"/>
        </w:rPr>
        <w:t>The table below sets forth information about the members of the Genworth Financial, Inc. Board of Directors (the “Board” or the “Board of Directors”), including their ages and length of service on our Board. The Board has determined that nine of the ten directors are independent directors under the New York Stock Exchange (“NYSE”) listing requirements and our Governance Principles.</w:t>
      </w:r>
    </w:p>
    <w:p>
      <w:pPr>
        <w:spacing w:after="0" w:line="187"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44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Director</w:t>
            </w:r>
          </w:p>
        </w:tc>
        <w:tc>
          <w:tcPr>
            <w:tcW w:w="308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Age</w:t>
            </w:r>
          </w:p>
        </w:tc>
        <w:tc>
          <w:tcPr>
            <w:tcW w:w="1140" w:type="dxa"/>
            <w:vAlign w:val="bottom"/>
            <w:gridSpan w:val="3"/>
          </w:tcPr>
          <w:p>
            <w:pPr>
              <w:jc w:val="right"/>
              <w:ind w:right="60"/>
              <w:spacing w:after="0"/>
              <w:rPr>
                <w:sz w:val="20"/>
                <w:szCs w:val="20"/>
                <w:color w:val="auto"/>
              </w:rPr>
            </w:pPr>
            <w:r>
              <w:rPr>
                <w:rFonts w:ascii="Arial" w:cs="Arial" w:eastAsia="Arial" w:hAnsi="Arial"/>
                <w:sz w:val="14"/>
                <w:szCs w:val="14"/>
                <w:b w:val="1"/>
                <w:bCs w:val="1"/>
                <w:color w:val="auto"/>
              </w:rPr>
              <w:t>Director</w:t>
            </w:r>
          </w:p>
        </w:tc>
        <w:tc>
          <w:tcPr>
            <w:tcW w:w="0" w:type="dxa"/>
            <w:vAlign w:val="bottom"/>
          </w:tcPr>
          <w:p>
            <w:pPr>
              <w:spacing w:after="0"/>
              <w:rPr>
                <w:sz w:val="1"/>
                <w:szCs w:val="1"/>
                <w:color w:val="auto"/>
              </w:rPr>
            </w:pPr>
          </w:p>
        </w:tc>
      </w:tr>
      <w:tr>
        <w:trPr>
          <w:trHeight w:val="171"/>
        </w:trPr>
        <w:tc>
          <w:tcPr>
            <w:tcW w:w="4460" w:type="dxa"/>
            <w:vAlign w:val="bottom"/>
            <w:gridSpan w:val="2"/>
            <w:vMerge w:val="continue"/>
          </w:tcPr>
          <w:p>
            <w:pPr>
              <w:spacing w:after="0"/>
              <w:rPr>
                <w:sz w:val="14"/>
                <w:szCs w:val="14"/>
                <w:color w:val="auto"/>
              </w:rPr>
            </w:pPr>
          </w:p>
        </w:tc>
        <w:tc>
          <w:tcPr>
            <w:tcW w:w="3080" w:type="dxa"/>
            <w:vAlign w:val="bottom"/>
            <w:gridSpan w:val="2"/>
            <w:vMerge w:val="continue"/>
          </w:tcPr>
          <w:p>
            <w:pPr>
              <w:spacing w:after="0"/>
              <w:rPr>
                <w:sz w:val="14"/>
                <w:szCs w:val="14"/>
                <w:color w:val="auto"/>
              </w:rPr>
            </w:pPr>
          </w:p>
        </w:tc>
        <w:tc>
          <w:tcPr>
            <w:tcW w:w="560" w:type="dxa"/>
            <w:vAlign w:val="bottom"/>
          </w:tcPr>
          <w:p>
            <w:pPr>
              <w:spacing w:after="0"/>
              <w:rPr>
                <w:sz w:val="14"/>
                <w:szCs w:val="14"/>
                <w:color w:val="auto"/>
              </w:rPr>
            </w:pPr>
          </w:p>
        </w:tc>
        <w:tc>
          <w:tcPr>
            <w:tcW w:w="580" w:type="dxa"/>
            <w:vAlign w:val="bottom"/>
            <w:gridSpan w:val="2"/>
          </w:tcPr>
          <w:p>
            <w:pPr>
              <w:ind w:left="80"/>
              <w:spacing w:after="0"/>
              <w:rPr>
                <w:sz w:val="20"/>
                <w:szCs w:val="20"/>
                <w:color w:val="auto"/>
              </w:rPr>
            </w:pPr>
            <w:r>
              <w:rPr>
                <w:rFonts w:ascii="Arial" w:cs="Arial" w:eastAsia="Arial" w:hAnsi="Arial"/>
                <w:sz w:val="14"/>
                <w:szCs w:val="14"/>
                <w:b w:val="1"/>
                <w:bCs w:val="1"/>
                <w:color w:val="auto"/>
              </w:rPr>
              <w:t>Since</w:t>
            </w:r>
          </w:p>
        </w:tc>
        <w:tc>
          <w:tcPr>
            <w:tcW w:w="0" w:type="dxa"/>
            <w:vAlign w:val="bottom"/>
          </w:tcPr>
          <w:p>
            <w:pPr>
              <w:spacing w:after="0"/>
              <w:rPr>
                <w:sz w:val="1"/>
                <w:szCs w:val="1"/>
                <w:color w:val="auto"/>
              </w:rPr>
            </w:pPr>
          </w:p>
        </w:tc>
      </w:tr>
      <w:tr>
        <w:trPr>
          <w:trHeight w:val="210"/>
        </w:trPr>
        <w:tc>
          <w:tcPr>
            <w:tcW w:w="5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86"/>
              </w:rPr>
              <w:t>William</w:t>
            </w:r>
          </w:p>
        </w:tc>
        <w:tc>
          <w:tcPr>
            <w:tcW w:w="3940" w:type="dxa"/>
            <w:vAlign w:val="bottom"/>
            <w:tcBorders>
              <w:top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H. Bolinder</w:t>
            </w:r>
          </w:p>
        </w:tc>
        <w:tc>
          <w:tcPr>
            <w:tcW w:w="284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73</w:t>
            </w:r>
          </w:p>
        </w:tc>
        <w:tc>
          <w:tcPr>
            <w:tcW w:w="560" w:type="dxa"/>
            <w:vAlign w:val="bottom"/>
            <w:tcBorders>
              <w:top w:val="single" w:sz="8" w:color="CCEEFF"/>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2010</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gridSpan w:val="2"/>
          </w:tcPr>
          <w:p>
            <w:pPr>
              <w:spacing w:after="0"/>
              <w:rPr>
                <w:sz w:val="20"/>
                <w:szCs w:val="20"/>
                <w:color w:val="auto"/>
              </w:rPr>
            </w:pPr>
            <w:r>
              <w:rPr>
                <w:rFonts w:ascii="Arial" w:cs="Arial" w:eastAsia="Arial" w:hAnsi="Arial"/>
                <w:sz w:val="18"/>
                <w:szCs w:val="18"/>
                <w:color w:val="auto"/>
              </w:rPr>
              <w:t>G. Kent Conrad</w:t>
            </w:r>
          </w:p>
        </w:tc>
        <w:tc>
          <w:tcPr>
            <w:tcW w:w="3080" w:type="dxa"/>
            <w:vAlign w:val="bottom"/>
            <w:gridSpan w:val="2"/>
          </w:tcPr>
          <w:p>
            <w:pPr>
              <w:jc w:val="right"/>
              <w:spacing w:after="0"/>
              <w:rPr>
                <w:sz w:val="20"/>
                <w:szCs w:val="20"/>
                <w:color w:val="auto"/>
              </w:rPr>
            </w:pPr>
            <w:r>
              <w:rPr>
                <w:rFonts w:ascii="Arial" w:cs="Arial" w:eastAsia="Arial" w:hAnsi="Arial"/>
                <w:sz w:val="18"/>
                <w:szCs w:val="18"/>
                <w:color w:val="auto"/>
              </w:rPr>
              <w:t>69</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2013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Melina E. Higgins</w:t>
            </w:r>
          </w:p>
        </w:tc>
        <w:tc>
          <w:tcPr>
            <w:tcW w:w="3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49</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2013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gridSpan w:val="2"/>
          </w:tcPr>
          <w:p>
            <w:pPr>
              <w:spacing w:after="0"/>
              <w:rPr>
                <w:sz w:val="20"/>
                <w:szCs w:val="20"/>
                <w:color w:val="auto"/>
              </w:rPr>
            </w:pPr>
            <w:r>
              <w:rPr>
                <w:rFonts w:ascii="Arial" w:cs="Arial" w:eastAsia="Arial" w:hAnsi="Arial"/>
                <w:sz w:val="18"/>
                <w:szCs w:val="18"/>
                <w:color w:val="auto"/>
              </w:rPr>
              <w:t>Thomas J. McInerney</w:t>
            </w:r>
          </w:p>
        </w:tc>
        <w:tc>
          <w:tcPr>
            <w:tcW w:w="3080" w:type="dxa"/>
            <w:vAlign w:val="bottom"/>
            <w:gridSpan w:val="2"/>
          </w:tcPr>
          <w:p>
            <w:pPr>
              <w:jc w:val="right"/>
              <w:spacing w:after="0"/>
              <w:rPr>
                <w:sz w:val="20"/>
                <w:szCs w:val="20"/>
                <w:color w:val="auto"/>
              </w:rPr>
            </w:pPr>
            <w:r>
              <w:rPr>
                <w:rFonts w:ascii="Arial" w:cs="Arial" w:eastAsia="Arial" w:hAnsi="Arial"/>
                <w:sz w:val="18"/>
                <w:szCs w:val="18"/>
                <w:color w:val="auto"/>
              </w:rPr>
              <w:t>60</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2013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David M. Moffett</w:t>
            </w:r>
          </w:p>
        </w:tc>
        <w:tc>
          <w:tcPr>
            <w:tcW w:w="3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65</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2012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gridSpan w:val="2"/>
          </w:tcPr>
          <w:p>
            <w:pPr>
              <w:spacing w:after="0"/>
              <w:rPr>
                <w:sz w:val="20"/>
                <w:szCs w:val="20"/>
                <w:color w:val="auto"/>
              </w:rPr>
            </w:pPr>
            <w:r>
              <w:rPr>
                <w:rFonts w:ascii="Arial" w:cs="Arial" w:eastAsia="Arial" w:hAnsi="Arial"/>
                <w:sz w:val="18"/>
                <w:szCs w:val="18"/>
                <w:color w:val="auto"/>
              </w:rPr>
              <w:t>Thomas E. Moloney</w:t>
            </w:r>
          </w:p>
        </w:tc>
        <w:tc>
          <w:tcPr>
            <w:tcW w:w="3080" w:type="dxa"/>
            <w:vAlign w:val="bottom"/>
            <w:gridSpan w:val="2"/>
          </w:tcPr>
          <w:p>
            <w:pPr>
              <w:jc w:val="right"/>
              <w:spacing w:after="0"/>
              <w:rPr>
                <w:sz w:val="20"/>
                <w:szCs w:val="20"/>
                <w:color w:val="auto"/>
              </w:rPr>
            </w:pPr>
            <w:r>
              <w:rPr>
                <w:rFonts w:ascii="Arial" w:cs="Arial" w:eastAsia="Arial" w:hAnsi="Arial"/>
                <w:sz w:val="18"/>
                <w:szCs w:val="18"/>
                <w:color w:val="auto"/>
              </w:rPr>
              <w:t>73</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2009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James A. Parke</w:t>
            </w:r>
          </w:p>
        </w:tc>
        <w:tc>
          <w:tcPr>
            <w:tcW w:w="3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71</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2004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gridSpan w:val="2"/>
          </w:tcPr>
          <w:p>
            <w:pPr>
              <w:spacing w:after="0"/>
              <w:rPr>
                <w:sz w:val="20"/>
                <w:szCs w:val="20"/>
                <w:color w:val="auto"/>
              </w:rPr>
            </w:pPr>
            <w:r>
              <w:rPr>
                <w:rFonts w:ascii="Arial" w:cs="Arial" w:eastAsia="Arial" w:hAnsi="Arial"/>
                <w:sz w:val="18"/>
                <w:szCs w:val="18"/>
                <w:color w:val="auto"/>
              </w:rPr>
              <w:t>Debra J. Perry*</w:t>
            </w:r>
          </w:p>
        </w:tc>
        <w:tc>
          <w:tcPr>
            <w:tcW w:w="3080" w:type="dxa"/>
            <w:vAlign w:val="bottom"/>
            <w:gridSpan w:val="2"/>
          </w:tcPr>
          <w:p>
            <w:pPr>
              <w:jc w:val="right"/>
              <w:spacing w:after="0"/>
              <w:rPr>
                <w:sz w:val="20"/>
                <w:szCs w:val="20"/>
                <w:color w:val="auto"/>
              </w:rPr>
            </w:pPr>
            <w:r>
              <w:rPr>
                <w:rFonts w:ascii="Arial" w:cs="Arial" w:eastAsia="Arial" w:hAnsi="Arial"/>
                <w:sz w:val="18"/>
                <w:szCs w:val="18"/>
                <w:color w:val="auto"/>
              </w:rPr>
              <w:t>65</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2016</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Robert P. Restrepo Jr.*</w:t>
            </w:r>
          </w:p>
        </w:tc>
        <w:tc>
          <w:tcPr>
            <w:tcW w:w="3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2016</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460" w:type="dxa"/>
            <w:vAlign w:val="bottom"/>
            <w:gridSpan w:val="2"/>
          </w:tcPr>
          <w:p>
            <w:pPr>
              <w:spacing w:after="0"/>
              <w:rPr>
                <w:sz w:val="20"/>
                <w:szCs w:val="20"/>
                <w:color w:val="auto"/>
              </w:rPr>
            </w:pPr>
            <w:r>
              <w:rPr>
                <w:rFonts w:ascii="Arial" w:cs="Arial" w:eastAsia="Arial" w:hAnsi="Arial"/>
                <w:sz w:val="18"/>
                <w:szCs w:val="18"/>
                <w:color w:val="auto"/>
              </w:rPr>
              <w:t>James S. Riepe+</w:t>
            </w:r>
          </w:p>
        </w:tc>
        <w:tc>
          <w:tcPr>
            <w:tcW w:w="3080" w:type="dxa"/>
            <w:vAlign w:val="bottom"/>
            <w:gridSpan w:val="2"/>
          </w:tcPr>
          <w:p>
            <w:pPr>
              <w:jc w:val="right"/>
              <w:spacing w:after="0"/>
              <w:rPr>
                <w:sz w:val="20"/>
                <w:szCs w:val="20"/>
                <w:color w:val="auto"/>
              </w:rPr>
            </w:pPr>
            <w:r>
              <w:rPr>
                <w:rFonts w:ascii="Arial" w:cs="Arial" w:eastAsia="Arial" w:hAnsi="Arial"/>
                <w:sz w:val="18"/>
                <w:szCs w:val="18"/>
                <w:color w:val="auto"/>
              </w:rPr>
              <w:t>73</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2006</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76835</wp:posOffset>
            </wp:positionV>
            <wp:extent cx="72898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40" w:lineRule="exact"/>
        <w:rPr>
          <w:sz w:val="20"/>
          <w:szCs w:val="20"/>
          <w:color w:val="auto"/>
        </w:rPr>
      </w:pPr>
    </w:p>
    <w:p>
      <w:pPr>
        <w:ind w:right="6860" w:firstLine="8"/>
        <w:spacing w:after="0" w:line="277" w:lineRule="auto"/>
        <w:tabs>
          <w:tab w:leader="none" w:pos="446" w:val="left"/>
        </w:tabs>
        <w:numPr>
          <w:ilvl w:val="0"/>
          <w:numId w:val="3"/>
        </w:numPr>
        <w:rPr>
          <w:rFonts w:ascii="Arial" w:cs="Arial" w:eastAsia="Arial" w:hAnsi="Arial"/>
          <w:sz w:val="18"/>
          <w:szCs w:val="18"/>
          <w:color w:val="auto"/>
        </w:rPr>
      </w:pPr>
      <w:r>
        <w:rPr>
          <w:rFonts w:ascii="Arial" w:cs="Arial" w:eastAsia="Arial" w:hAnsi="Arial"/>
          <w:sz w:val="18"/>
          <w:szCs w:val="18"/>
          <w:color w:val="auto"/>
        </w:rPr>
        <w:t>Elected to the Board of Directors on December 14, 2016 + Non-Executive Chairman of the Board</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William H. Bolinder, former President, Chief Executive Officer and a director of Acadia Trust N.A.</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Mr. Bolinder retired in June 2006 from serving as President, Chief Executive Officer and a director of Acadia Trust N.A., positions he had held since</w:t>
      </w:r>
    </w:p>
    <w:p>
      <w:pPr>
        <w:spacing w:after="0" w:line="46" w:lineRule="exact"/>
        <w:rPr>
          <w:sz w:val="20"/>
          <w:szCs w:val="20"/>
          <w:color w:val="auto"/>
        </w:rPr>
      </w:pPr>
    </w:p>
    <w:p>
      <w:pPr>
        <w:ind w:right="60"/>
        <w:spacing w:after="0" w:line="288" w:lineRule="auto"/>
        <w:rPr>
          <w:sz w:val="20"/>
          <w:szCs w:val="20"/>
          <w:color w:val="auto"/>
        </w:rPr>
      </w:pPr>
      <w:r>
        <w:rPr>
          <w:rFonts w:ascii="Arial" w:cs="Arial" w:eastAsia="Arial" w:hAnsi="Arial"/>
          <w:sz w:val="16"/>
          <w:szCs w:val="16"/>
          <w:color w:val="auto"/>
        </w:rPr>
        <w:t>2003. He had previously been a member of the Group Management Board for Zurich Financial Services Group from 1994 to 2002. Mr. Bolinder joined Zurich American Insurance Company, USA in 1986 as Chief Operating Officer and became Chief Executive Officer in 1987. He has been a director of Endurance Specialty Holdings Ltd. since December 2001 and became the Lead Director of the Board in May 2013 (having served as the non-executive Chairman of the Board from March 2011 until May 2013). Mr. Bolinder also previously served as a director of Quanta Capital Holding Ltd. from January 2007 to October 2008. Mr. Bolinder has also served on the board of the American Insurance Association, American Institute for Chartered Property Casualty Underwriting, Insurance Institute for Applied Ethics, Insurance Institute of America, Insurance Services Office, Inc. and the National Association of Independent Insurers. Mr. Bolinder received a B.S. in Business Administration from the University of Massachusetts, Dartmouth.</w:t>
      </w:r>
    </w:p>
    <w:p>
      <w:pPr>
        <w:spacing w:after="0" w:line="169"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i w:val="1"/>
          <w:iCs w:val="1"/>
          <w:color w:val="auto"/>
        </w:rPr>
        <w:t xml:space="preserve">Qualifications: </w:t>
      </w:r>
      <w:r>
        <w:rPr>
          <w:rFonts w:ascii="Arial" w:cs="Arial" w:eastAsia="Arial" w:hAnsi="Arial"/>
          <w:sz w:val="18"/>
          <w:szCs w:val="18"/>
          <w:color w:val="auto"/>
        </w:rPr>
        <w:t>Mr. Bolinder offers extensive experience in the insurance and financial services industry, including a combined 16 years serving in</w:t>
      </w:r>
      <w:r>
        <w:rPr>
          <w:rFonts w:ascii="Arial" w:cs="Arial" w:eastAsia="Arial" w:hAnsi="Arial"/>
          <w:sz w:val="18"/>
          <w:szCs w:val="18"/>
          <w:i w:val="1"/>
          <w:iCs w:val="1"/>
          <w:color w:val="auto"/>
        </w:rPr>
        <w:t xml:space="preserve"> </w:t>
      </w:r>
      <w:r>
        <w:rPr>
          <w:rFonts w:ascii="Arial" w:cs="Arial" w:eastAsia="Arial" w:hAnsi="Arial"/>
          <w:sz w:val="18"/>
          <w:szCs w:val="18"/>
          <w:color w:val="auto"/>
        </w:rPr>
        <w:t>various positions with one of the world’s largest insurance companies and its U.S. subsidiary, and three years as president, chief executive officer and director of an investment advisory and trustee company. Mr. Bolinder’s current and former directorships with underwriters of specialty lines of insurance and reinsurance provide valuable knowledge regarding the international financial services sector.</w:t>
      </w:r>
    </w:p>
    <w:p>
      <w:pPr>
        <w:spacing w:after="0" w:line="187" w:lineRule="exact"/>
        <w:rPr>
          <w:sz w:val="20"/>
          <w:szCs w:val="20"/>
          <w:color w:val="auto"/>
        </w:rPr>
      </w:pPr>
    </w:p>
    <w:p>
      <w:pPr>
        <w:jc w:val="center"/>
        <w:spacing w:after="0" w:line="449" w:lineRule="auto"/>
        <w:rPr>
          <w:sz w:val="20"/>
          <w:szCs w:val="20"/>
          <w:color w:val="auto"/>
        </w:rPr>
      </w:pPr>
      <w:r>
        <w:rPr>
          <w:rFonts w:ascii="Arial" w:cs="Arial" w:eastAsia="Arial" w:hAnsi="Arial"/>
          <w:sz w:val="18"/>
          <w:szCs w:val="18"/>
          <w:i w:val="1"/>
          <w:iCs w:val="1"/>
          <w:color w:val="auto"/>
        </w:rPr>
        <w:t>Committees</w:t>
      </w:r>
      <w:r>
        <w:rPr>
          <w:rFonts w:ascii="Arial" w:cs="Arial" w:eastAsia="Arial" w:hAnsi="Arial"/>
          <w:sz w:val="18"/>
          <w:szCs w:val="18"/>
          <w:color w:val="auto"/>
        </w:rPr>
        <w:t>: Mr. Bolinder serves as the Chair of the Nominating and Corporate Governance Committee and as a member of the Risk Committee.</w:t>
      </w:r>
      <w:r>
        <w:rPr>
          <w:rFonts w:ascii="Arial" w:cs="Arial" w:eastAsia="Arial" w:hAnsi="Arial"/>
          <w:sz w:val="18"/>
          <w:szCs w:val="18"/>
          <w:i w:val="1"/>
          <w:iCs w:val="1"/>
          <w:color w:val="auto"/>
        </w:rPr>
        <w:t xml:space="preserve"> </w:t>
      </w:r>
      <w:r>
        <w:rPr>
          <w:rFonts w:ascii="Arial" w:cs="Arial" w:eastAsia="Arial" w:hAnsi="Arial"/>
          <w:sz w:val="18"/>
          <w:szCs w:val="18"/>
          <w:color w:val="auto"/>
        </w:rPr>
        <w:t>1</w:t>
      </w:r>
    </w:p>
    <w:p>
      <w:pPr>
        <w:sectPr>
          <w:pgSz w:w="11900" w:h="16838" w:orient="portrait"/>
          <w:cols w:equalWidth="0" w:num="1">
            <w:col w:w="11380"/>
          </w:cols>
          <w:pgMar w:left="240" w:top="459" w:right="27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 Kent Conrad, former U.S. Senator.</w:t>
      </w:r>
    </w:p>
    <w:p>
      <w:pPr>
        <w:spacing w:after="0" w:line="121"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Sen. Conrad served as a U.S. Senator representing the State of North Dakota from January 1987 to January 2013. He served as the Chair of the Senate Budget Committee from 2006 until his retirement. Prior to serving in the U.S. Senate, Sen. Conrad served as the Tax Commissioner for the State of North Dakota from 1981 to 1986 and as Assistant Tax Commissioner from 1974 to 1980. Sen. Conrad holds an A.B. degree in Political Science from Stanford University and an M.B.A. degree from George Washington University.</w:t>
      </w:r>
    </w:p>
    <w:p>
      <w:pPr>
        <w:spacing w:after="0" w:line="187" w:lineRule="exact"/>
        <w:rPr>
          <w:sz w:val="20"/>
          <w:szCs w:val="20"/>
          <w:color w:val="auto"/>
        </w:rPr>
      </w:pPr>
    </w:p>
    <w:p>
      <w:pPr>
        <w:ind w:right="100" w:firstLine="456"/>
        <w:spacing w:after="0" w:line="264" w:lineRule="auto"/>
        <w:rPr>
          <w:sz w:val="20"/>
          <w:szCs w:val="20"/>
          <w:color w:val="auto"/>
        </w:rPr>
      </w:pPr>
      <w:r>
        <w:rPr>
          <w:rFonts w:ascii="Arial" w:cs="Arial" w:eastAsia="Arial" w:hAnsi="Arial"/>
          <w:sz w:val="18"/>
          <w:szCs w:val="18"/>
          <w:i w:val="1"/>
          <w:iCs w:val="1"/>
          <w:color w:val="auto"/>
        </w:rPr>
        <w:t xml:space="preserve">Qualifications: </w:t>
      </w:r>
      <w:r>
        <w:rPr>
          <w:rFonts w:ascii="Arial" w:cs="Arial" w:eastAsia="Arial" w:hAnsi="Arial"/>
          <w:sz w:val="18"/>
          <w:szCs w:val="18"/>
          <w:color w:val="auto"/>
        </w:rPr>
        <w:t>Sen. Conrad’s 26 years of experience as a U.S. Senator, including serving as Chair of the Senate Budget Committee for approximately</w:t>
      </w:r>
      <w:r>
        <w:rPr>
          <w:rFonts w:ascii="Arial" w:cs="Arial" w:eastAsia="Arial" w:hAnsi="Arial"/>
          <w:sz w:val="18"/>
          <w:szCs w:val="18"/>
          <w:i w:val="1"/>
          <w:iCs w:val="1"/>
          <w:color w:val="auto"/>
        </w:rPr>
        <w:t xml:space="preserve"> </w:t>
      </w:r>
      <w:r>
        <w:rPr>
          <w:rFonts w:ascii="Arial" w:cs="Arial" w:eastAsia="Arial" w:hAnsi="Arial"/>
          <w:sz w:val="18"/>
          <w:szCs w:val="18"/>
          <w:color w:val="auto"/>
        </w:rPr>
        <w:t>six years, provides the Board with extensive information and insight into public policy, fiscal affairs, governmental relations and legislative and regulatory issues.</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Committees</w:t>
      </w:r>
      <w:r>
        <w:rPr>
          <w:rFonts w:ascii="Arial" w:cs="Arial" w:eastAsia="Arial" w:hAnsi="Arial"/>
          <w:sz w:val="18"/>
          <w:szCs w:val="18"/>
          <w:color w:val="auto"/>
        </w:rPr>
        <w:t>: Sen. Conrad serves as a member of the Nominating and Corporate Governance Committee and the Risk Committee.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Melina E. Higgins, former Partner at The Goldman Sachs Group.</w:t>
      </w:r>
    </w:p>
    <w:p>
      <w:pPr>
        <w:spacing w:after="0" w:line="121"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Ms. Higgins retired in 2010 from a nearly 20-year career at The Goldman Sachs Group Inc., where she served as a Managing Director from 2001 and a Partner from 2002. During her tenure at Goldman Sachs, Ms. Higgins served as Head of the Americas and Co-Chairperson of the Investment Advisory Committee for the GS Mezzanine Partners funds, which managed over $30 billion of assets. She also served as a member of the Investment Committee for the Principal Investment Area, which oversaw and approved global private equity and private debt investments. Goldman’s Principal Investment Area was one of the largest alternative asset managers in the world. Ms. Higgins has served as a director of Mylan N.V. since February 2013. Ms. Higgins has also served as non-executive chairman of the board of Antares Midco, Inc. since January 2016 and is a member of the Women’s Leadership Board of Harvard University’s John F. Kennedy School of Government. Ms. Higgins received a B.A. in Economics and Spanish from Colgate University and an M.B.A. from Harvard Business School.</w:t>
      </w:r>
    </w:p>
    <w:p>
      <w:pPr>
        <w:spacing w:after="0" w:line="192" w:lineRule="exact"/>
        <w:rPr>
          <w:sz w:val="20"/>
          <w:szCs w:val="20"/>
          <w:color w:val="auto"/>
        </w:rPr>
      </w:pPr>
    </w:p>
    <w:p>
      <w:pPr>
        <w:jc w:val="both"/>
        <w:ind w:right="20" w:firstLine="456"/>
        <w:spacing w:after="0" w:line="264" w:lineRule="auto"/>
        <w:rPr>
          <w:sz w:val="20"/>
          <w:szCs w:val="20"/>
          <w:color w:val="auto"/>
        </w:rPr>
      </w:pPr>
      <w:r>
        <w:rPr>
          <w:rFonts w:ascii="Arial" w:cs="Arial" w:eastAsia="Arial" w:hAnsi="Arial"/>
          <w:sz w:val="18"/>
          <w:szCs w:val="18"/>
          <w:i w:val="1"/>
          <w:iCs w:val="1"/>
          <w:color w:val="auto"/>
        </w:rPr>
        <w:t xml:space="preserve">Qualifications: </w:t>
      </w:r>
      <w:r>
        <w:rPr>
          <w:rFonts w:ascii="Arial" w:cs="Arial" w:eastAsia="Arial" w:hAnsi="Arial"/>
          <w:sz w:val="18"/>
          <w:szCs w:val="18"/>
          <w:color w:val="auto"/>
        </w:rPr>
        <w:t>Ms. Higgins’ extensive finance and investment experience, having spent nearly 20 years with The Goldman Sachs Group, Inc., as well</w:t>
      </w:r>
      <w:r>
        <w:rPr>
          <w:rFonts w:ascii="Arial" w:cs="Arial" w:eastAsia="Arial" w:hAnsi="Arial"/>
          <w:sz w:val="18"/>
          <w:szCs w:val="18"/>
          <w:i w:val="1"/>
          <w:iCs w:val="1"/>
          <w:color w:val="auto"/>
        </w:rPr>
        <w:t xml:space="preserve"> </w:t>
      </w:r>
      <w:r>
        <w:rPr>
          <w:rFonts w:ascii="Arial" w:cs="Arial" w:eastAsia="Arial" w:hAnsi="Arial"/>
          <w:sz w:val="18"/>
          <w:szCs w:val="18"/>
          <w:color w:val="auto"/>
        </w:rPr>
        <w:t>as serving as a director for both public and private companies, provides the board with significant insight in connection with our restructuring and turnaround initiatives.</w:t>
      </w:r>
    </w:p>
    <w:p>
      <w:pPr>
        <w:spacing w:after="0" w:line="181" w:lineRule="exact"/>
        <w:rPr>
          <w:sz w:val="20"/>
          <w:szCs w:val="20"/>
          <w:color w:val="auto"/>
        </w:rPr>
      </w:pPr>
    </w:p>
    <w:p>
      <w:pPr>
        <w:ind w:right="380" w:firstLine="456"/>
        <w:spacing w:after="0" w:line="277" w:lineRule="auto"/>
        <w:rPr>
          <w:sz w:val="20"/>
          <w:szCs w:val="20"/>
          <w:color w:val="auto"/>
        </w:rPr>
      </w:pPr>
      <w:r>
        <w:rPr>
          <w:rFonts w:ascii="Arial" w:cs="Arial" w:eastAsia="Arial" w:hAnsi="Arial"/>
          <w:sz w:val="18"/>
          <w:szCs w:val="18"/>
          <w:i w:val="1"/>
          <w:iCs w:val="1"/>
          <w:color w:val="auto"/>
        </w:rPr>
        <w:t>Committees</w:t>
      </w:r>
      <w:r>
        <w:rPr>
          <w:rFonts w:ascii="Arial" w:cs="Arial" w:eastAsia="Arial" w:hAnsi="Arial"/>
          <w:sz w:val="18"/>
          <w:szCs w:val="18"/>
          <w:color w:val="auto"/>
        </w:rPr>
        <w:t>: Ms. Higgins serves as a member of the Management Development and Compensation Committee and the Nominating and Corporate</w:t>
      </w:r>
      <w:r>
        <w:rPr>
          <w:rFonts w:ascii="Arial" w:cs="Arial" w:eastAsia="Arial" w:hAnsi="Arial"/>
          <w:sz w:val="18"/>
          <w:szCs w:val="18"/>
          <w:i w:val="1"/>
          <w:iCs w:val="1"/>
          <w:color w:val="auto"/>
        </w:rPr>
        <w:t xml:space="preserve"> </w:t>
      </w:r>
      <w:r>
        <w:rPr>
          <w:rFonts w:ascii="Arial" w:cs="Arial" w:eastAsia="Arial" w:hAnsi="Arial"/>
          <w:sz w:val="18"/>
          <w:szCs w:val="18"/>
          <w:color w:val="auto"/>
        </w:rPr>
        <w:t>Governance Committee.</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Thomas J. McInerney, President and Chief Executive Officer of Genworth Financial, Inc.</w:t>
      </w:r>
    </w:p>
    <w:p>
      <w:pPr>
        <w:spacing w:after="0" w:line="121"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Mr. McInerney has been our President and Chief Executive Officer and a director since January 2013. Before joining our company, Mr. McInerney had served as a Senior Advisor to the Boston Consulting Group from June 2011 to December 2012, providing consulting and advisory services to leading insurance and financial services companies in the United States and Canada. From October 2009 to December 2010, Mr. McInerney was a member of ING Groep’s Management Board for Insurance, where he was the Chief Operating Officer of ING’s insurance and investment management business worldwide. Prior to that, he served in a variety of senior roles with ING Groep NV after serving in many leadership positions with Aetna, where he began his career as an insurance underwriter in June 1978. Mr. McInerney is a member of the Board of the American Council of Life Insurers, and the Financial Services Roundtable. Mr. McInerney received a B.A. in Economics from Colgate University and an M.B.A. from the Tuck School of Business at Dartmouth College.</w:t>
      </w:r>
    </w:p>
    <w:p>
      <w:pPr>
        <w:spacing w:after="0" w:line="167" w:lineRule="exact"/>
        <w:rPr>
          <w:sz w:val="20"/>
          <w:szCs w:val="20"/>
          <w:color w:val="auto"/>
        </w:rPr>
      </w:pPr>
    </w:p>
    <w:p>
      <w:pPr>
        <w:ind w:right="80" w:firstLine="456"/>
        <w:spacing w:after="0" w:line="264" w:lineRule="auto"/>
        <w:rPr>
          <w:sz w:val="20"/>
          <w:szCs w:val="20"/>
          <w:color w:val="auto"/>
        </w:rPr>
      </w:pPr>
      <w:r>
        <w:rPr>
          <w:rFonts w:ascii="Arial" w:cs="Arial" w:eastAsia="Arial" w:hAnsi="Arial"/>
          <w:sz w:val="18"/>
          <w:szCs w:val="18"/>
          <w:i w:val="1"/>
          <w:iCs w:val="1"/>
          <w:color w:val="auto"/>
        </w:rPr>
        <w:t xml:space="preserve">Qualifications: </w:t>
      </w:r>
      <w:r>
        <w:rPr>
          <w:rFonts w:ascii="Arial" w:cs="Arial" w:eastAsia="Arial" w:hAnsi="Arial"/>
          <w:sz w:val="18"/>
          <w:szCs w:val="18"/>
          <w:color w:val="auto"/>
        </w:rPr>
        <w:t>Mr. McInerney offers insight into our company from his current role as the President and Chief Executive Officer. He also brings</w:t>
      </w:r>
      <w:r>
        <w:rPr>
          <w:rFonts w:ascii="Arial" w:cs="Arial" w:eastAsia="Arial" w:hAnsi="Arial"/>
          <w:sz w:val="18"/>
          <w:szCs w:val="18"/>
          <w:i w:val="1"/>
          <w:iCs w:val="1"/>
          <w:color w:val="auto"/>
        </w:rPr>
        <w:t xml:space="preserve"> </w:t>
      </w:r>
      <w:r>
        <w:rPr>
          <w:rFonts w:ascii="Arial" w:cs="Arial" w:eastAsia="Arial" w:hAnsi="Arial"/>
          <w:sz w:val="18"/>
          <w:szCs w:val="18"/>
          <w:color w:val="auto"/>
        </w:rPr>
        <w:t>extensive knowledge of the insurance and financial services industries gained through 30 years of experience serving in significant leadership positions with ING Groep NV and Aetna.</w:t>
      </w:r>
    </w:p>
    <w:p>
      <w:pPr>
        <w:spacing w:after="0" w:line="1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60"/>
          </w:cols>
          <w:pgMar w:left="240" w:top="459" w:right="29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David M. Moffett, former Chief Executive Officer and director of Federal Home Loan Mortgage Corporation.</w:t>
      </w:r>
    </w:p>
    <w:p>
      <w:pPr>
        <w:spacing w:after="0" w:line="121" w:lineRule="exact"/>
        <w:rPr>
          <w:sz w:val="20"/>
          <w:szCs w:val="20"/>
          <w:color w:val="auto"/>
        </w:rPr>
      </w:pPr>
    </w:p>
    <w:p>
      <w:pPr>
        <w:ind w:right="20" w:firstLine="456"/>
        <w:spacing w:after="0" w:line="269" w:lineRule="auto"/>
        <w:rPr>
          <w:sz w:val="20"/>
          <w:szCs w:val="20"/>
          <w:color w:val="auto"/>
        </w:rPr>
      </w:pPr>
      <w:r>
        <w:rPr>
          <w:rFonts w:ascii="Arial" w:cs="Arial" w:eastAsia="Arial" w:hAnsi="Arial"/>
          <w:sz w:val="17"/>
          <w:szCs w:val="17"/>
          <w:color w:val="auto"/>
        </w:rPr>
        <w:t>Mr. Moffett was the Chief Executive Officer and a director of the Federal Home Loan Mortgage Corporation from September 2008 until his retirement in March 2009. Prior to this position, Mr. Moffett served as a Senior Advisor with the Carlyle Group LLC from May 2007 to September 2008. Mr. Moffett also served as the Vice Chairman and Chief Financial Officer of U.S. Bancorp from 2001 to 2007, after its merger with Firstar Corporation, having previously served as Vice Chairman and Chief Financial Officer of Firstar Corporation from 1998 to 2001 and as Chief Financial Officer of StarBanc Corporation, a predecessor to Firstar Corporation, from 1993 to 1998. Mr. Moffett has served as a director of CSX Corporation since May 2015, and PayPal Holdings, Inc. since July 2015 (currently serving as its Lead Director). He also previously served on the boards of directors of CIT Group Inc. from July 2010 to May 2016, eBay Inc. from July 2007 to July 2015, MBIA Inc. from May 2007 to September 2008, The E.W. Scripps Company from May 2007 to September 2008 and Building Materials Holding Corporation from May 2006 to November 2008. Mr. Moffett also serves as a trustee on the boards of Columbia Fund Series Trust I and Columbia Funds Variable Insurance Trust, overseeing approximately 52 funds within the Columbia Funds mutual fund complex. He also serves as a trustee for the University of Oklahoma Foundation. Mr. Moffett holds a B.A. degree in Economics from the University of Oklahoma and an M.B.A. degree from Southern Methodist University.</w:t>
      </w:r>
    </w:p>
    <w:p>
      <w:pPr>
        <w:spacing w:after="0" w:line="183"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i w:val="1"/>
          <w:iCs w:val="1"/>
          <w:color w:val="auto"/>
        </w:rPr>
        <w:t>Qualifications</w:t>
      </w:r>
      <w:r>
        <w:rPr>
          <w:rFonts w:ascii="Arial" w:cs="Arial" w:eastAsia="Arial" w:hAnsi="Arial"/>
          <w:sz w:val="18"/>
          <w:szCs w:val="18"/>
          <w:color w:val="auto"/>
        </w:rPr>
        <w:t>: Mr. Moffett has many years of experience as the chief financial officer of public financial services companies. He also has experience as</w:t>
      </w:r>
      <w:r>
        <w:rPr>
          <w:rFonts w:ascii="Arial" w:cs="Arial" w:eastAsia="Arial" w:hAnsi="Arial"/>
          <w:sz w:val="18"/>
          <w:szCs w:val="18"/>
          <w:i w:val="1"/>
          <w:iCs w:val="1"/>
          <w:color w:val="auto"/>
        </w:rPr>
        <w:t xml:space="preserve"> </w:t>
      </w:r>
      <w:r>
        <w:rPr>
          <w:rFonts w:ascii="Arial" w:cs="Arial" w:eastAsia="Arial" w:hAnsi="Arial"/>
          <w:sz w:val="18"/>
          <w:szCs w:val="18"/>
          <w:color w:val="auto"/>
        </w:rPr>
        <w:t>the chief executive officer of an entity in the housing finance industry, including related public policy experience.</w:t>
      </w:r>
    </w:p>
    <w:p>
      <w:pPr>
        <w:spacing w:after="0" w:line="170"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i w:val="1"/>
          <w:iCs w:val="1"/>
          <w:color w:val="auto"/>
        </w:rPr>
        <w:t>Committees</w:t>
      </w:r>
      <w:r>
        <w:rPr>
          <w:rFonts w:ascii="Arial" w:cs="Arial" w:eastAsia="Arial" w:hAnsi="Arial"/>
          <w:sz w:val="18"/>
          <w:szCs w:val="18"/>
          <w:color w:val="auto"/>
        </w:rPr>
        <w:t>: Mr. Moffett serves as the Chair of the Management Development and Compensation Committee and as a member of the Nominating and</w:t>
      </w:r>
      <w:r>
        <w:rPr>
          <w:rFonts w:ascii="Arial" w:cs="Arial" w:eastAsia="Arial" w:hAnsi="Arial"/>
          <w:sz w:val="18"/>
          <w:szCs w:val="18"/>
          <w:i w:val="1"/>
          <w:iCs w:val="1"/>
          <w:color w:val="auto"/>
        </w:rPr>
        <w:t xml:space="preserve"> </w:t>
      </w:r>
      <w:r>
        <w:rPr>
          <w:rFonts w:ascii="Arial" w:cs="Arial" w:eastAsia="Arial" w:hAnsi="Arial"/>
          <w:sz w:val="18"/>
          <w:szCs w:val="18"/>
          <w:color w:val="auto"/>
        </w:rPr>
        <w:t>Corporate Governance Committee.</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Thomas E. Moloney, former Senior Executive Vice President and Chief Financial Officer of John Hancock Financial Services, Inc.</w:t>
      </w:r>
    </w:p>
    <w:p>
      <w:pPr>
        <w:spacing w:after="0" w:line="121" w:lineRule="exact"/>
        <w:rPr>
          <w:sz w:val="20"/>
          <w:szCs w:val="20"/>
          <w:color w:val="auto"/>
        </w:rPr>
      </w:pPr>
    </w:p>
    <w:p>
      <w:pPr>
        <w:ind w:right="100" w:firstLine="456"/>
        <w:spacing w:after="0" w:line="291" w:lineRule="auto"/>
        <w:rPr>
          <w:sz w:val="20"/>
          <w:szCs w:val="20"/>
          <w:color w:val="auto"/>
        </w:rPr>
      </w:pPr>
      <w:r>
        <w:rPr>
          <w:rFonts w:ascii="Arial" w:cs="Arial" w:eastAsia="Arial" w:hAnsi="Arial"/>
          <w:sz w:val="16"/>
          <w:szCs w:val="16"/>
          <w:color w:val="auto"/>
        </w:rPr>
        <w:t>Mr. Moloney served as the interim Chief Financial Officer of MSC—Medical Services Company (“MSC”) from December 2007 to March 2008. He retired as the Senior Executive Vice President and Chief Financial Officer of John Hancock Financial Services, Inc. in December 2004. He had served in this position since 1992. Mr. Moloney served in various roles at John Hancock Financial Services, Inc. during his tenure from 1965 to 1992, including Vice President, Controller, and Senior Accountant. Mr. Moloney has served as a director of SeaWorld Entertainment, Inc. since January 2015. He also previously served as a director of MSC from 2005 to 2012 (MSC was acquired in 2012 and ceased to be a public company in 2008). Mr. Moloney is on the boards of Nashoba Learning Group and the Boston Children’s Museum (past Chairperson), both non-profit organizations. Mr. Moloney received a B.A. in Accounting from Bentley University and holds an Executive Masters Professional Director Certification from the Corporate Directors Group.</w:t>
      </w:r>
    </w:p>
    <w:p>
      <w:pPr>
        <w:spacing w:after="0" w:line="167" w:lineRule="exact"/>
        <w:rPr>
          <w:sz w:val="20"/>
          <w:szCs w:val="20"/>
          <w:color w:val="auto"/>
        </w:rPr>
      </w:pPr>
    </w:p>
    <w:p>
      <w:pPr>
        <w:jc w:val="both"/>
        <w:ind w:right="80" w:firstLine="456"/>
        <w:spacing w:after="0" w:line="264" w:lineRule="auto"/>
        <w:rPr>
          <w:sz w:val="20"/>
          <w:szCs w:val="20"/>
          <w:color w:val="auto"/>
        </w:rPr>
      </w:pPr>
      <w:r>
        <w:rPr>
          <w:rFonts w:ascii="Arial" w:cs="Arial" w:eastAsia="Arial" w:hAnsi="Arial"/>
          <w:sz w:val="18"/>
          <w:szCs w:val="18"/>
          <w:i w:val="1"/>
          <w:iCs w:val="1"/>
          <w:color w:val="auto"/>
        </w:rPr>
        <w:t xml:space="preserve">Qualifications: </w:t>
      </w:r>
      <w:r>
        <w:rPr>
          <w:rFonts w:ascii="Arial" w:cs="Arial" w:eastAsia="Arial" w:hAnsi="Arial"/>
          <w:sz w:val="18"/>
          <w:szCs w:val="18"/>
          <w:color w:val="auto"/>
        </w:rPr>
        <w:t>Mr. Moloney provides almost 40 years of insurance industry and accounting experience, including having served as the chief financial</w:t>
      </w:r>
      <w:r>
        <w:rPr>
          <w:rFonts w:ascii="Arial" w:cs="Arial" w:eastAsia="Arial" w:hAnsi="Arial"/>
          <w:sz w:val="18"/>
          <w:szCs w:val="18"/>
          <w:i w:val="1"/>
          <w:iCs w:val="1"/>
          <w:color w:val="auto"/>
        </w:rPr>
        <w:t xml:space="preserve"> </w:t>
      </w:r>
      <w:r>
        <w:rPr>
          <w:rFonts w:ascii="Arial" w:cs="Arial" w:eastAsia="Arial" w:hAnsi="Arial"/>
          <w:sz w:val="18"/>
          <w:szCs w:val="18"/>
          <w:color w:val="auto"/>
        </w:rPr>
        <w:t>officer of a public insurance company. He provides extensive knowledge of accounting and finance in regard to insurance products as well as risk assessment and risk oversight.</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Committees</w:t>
      </w:r>
      <w:r>
        <w:rPr>
          <w:rFonts w:ascii="Arial" w:cs="Arial" w:eastAsia="Arial" w:hAnsi="Arial"/>
          <w:sz w:val="18"/>
          <w:szCs w:val="18"/>
          <w:color w:val="auto"/>
        </w:rPr>
        <w:t>: Mr. Moloney serves as the Chair of the Risk Committee and as a member of the Audit Committee.</w:t>
      </w:r>
    </w:p>
    <w:p>
      <w:pPr>
        <w:spacing w:after="0" w:line="329" w:lineRule="exact"/>
        <w:rPr>
          <w:sz w:val="20"/>
          <w:szCs w:val="20"/>
          <w:color w:val="auto"/>
        </w:rPr>
      </w:pPr>
    </w:p>
    <w:p>
      <w:pPr>
        <w:ind w:right="300"/>
        <w:spacing w:after="0" w:line="282" w:lineRule="auto"/>
        <w:rPr>
          <w:sz w:val="20"/>
          <w:szCs w:val="20"/>
          <w:color w:val="auto"/>
        </w:rPr>
      </w:pPr>
      <w:r>
        <w:rPr>
          <w:rFonts w:ascii="Arial" w:cs="Arial" w:eastAsia="Arial" w:hAnsi="Arial"/>
          <w:sz w:val="18"/>
          <w:szCs w:val="18"/>
          <w:b w:val="1"/>
          <w:bCs w:val="1"/>
          <w:color w:val="auto"/>
        </w:rPr>
        <w:t>James A. Parke, former Vice Chairman and Chief Financial Officer of GE Capital Services and former Senior Vice President of General Electric Company.</w:t>
      </w:r>
    </w:p>
    <w:p>
      <w:pPr>
        <w:spacing w:after="0" w:line="58" w:lineRule="exact"/>
        <w:rPr>
          <w:sz w:val="20"/>
          <w:szCs w:val="20"/>
          <w:color w:val="auto"/>
        </w:rPr>
      </w:pPr>
    </w:p>
    <w:p>
      <w:pPr>
        <w:ind w:right="500" w:firstLine="456"/>
        <w:spacing w:after="0" w:line="277" w:lineRule="auto"/>
        <w:rPr>
          <w:sz w:val="20"/>
          <w:szCs w:val="20"/>
          <w:color w:val="auto"/>
        </w:rPr>
      </w:pPr>
      <w:r>
        <w:rPr>
          <w:rFonts w:ascii="Arial" w:cs="Arial" w:eastAsia="Arial" w:hAnsi="Arial"/>
          <w:sz w:val="18"/>
          <w:szCs w:val="18"/>
          <w:color w:val="auto"/>
        </w:rPr>
        <w:t>Mr. Parke retired as Vice Chairman and Chief Financial Officer of GE Capital Services and a Senior Vice President at General Electric Company (“GE”) in December 2005. He had served in those positions since 2002.</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459" w:right="2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40"/>
        <w:spacing w:after="0" w:line="257" w:lineRule="auto"/>
        <w:rPr>
          <w:sz w:val="20"/>
          <w:szCs w:val="20"/>
          <w:color w:val="auto"/>
        </w:rPr>
      </w:pPr>
      <w:r>
        <w:rPr>
          <w:rFonts w:ascii="Arial" w:cs="Arial" w:eastAsia="Arial" w:hAnsi="Arial"/>
          <w:sz w:val="18"/>
          <w:szCs w:val="18"/>
          <w:color w:val="auto"/>
        </w:rPr>
        <w:t>From 1989 to 2002 he was Senior Vice President and Chief Financial Officer at GE Capital Services and a Vice President of GE. Prior thereto, from 1981 to 1989 he held various management positions in several GE businesses. He serves as a director of First Community Bancorp in Glasgow, Montana. He also serves on the board of buildOn, a not-for-profit corporation, and is active at Concordia College, serving as a member of its Investment Committee and as chairman of the Offutt School of Business Global Advisory Council. Mr. Parke received a B.A. in History, Political Science and Economics from Concordia College in Minnesota.</w:t>
      </w:r>
    </w:p>
    <w:p>
      <w:pPr>
        <w:spacing w:after="0" w:line="188" w:lineRule="exact"/>
        <w:rPr>
          <w:sz w:val="20"/>
          <w:szCs w:val="20"/>
          <w:color w:val="auto"/>
        </w:rPr>
      </w:pPr>
    </w:p>
    <w:p>
      <w:pPr>
        <w:ind w:right="60" w:firstLine="456"/>
        <w:spacing w:after="0" w:line="264" w:lineRule="auto"/>
        <w:rPr>
          <w:sz w:val="20"/>
          <w:szCs w:val="20"/>
          <w:color w:val="auto"/>
        </w:rPr>
      </w:pPr>
      <w:r>
        <w:rPr>
          <w:rFonts w:ascii="Arial" w:cs="Arial" w:eastAsia="Arial" w:hAnsi="Arial"/>
          <w:sz w:val="18"/>
          <w:szCs w:val="18"/>
          <w:i w:val="1"/>
          <w:iCs w:val="1"/>
          <w:color w:val="auto"/>
        </w:rPr>
        <w:t xml:space="preserve">Qualifications: </w:t>
      </w:r>
      <w:r>
        <w:rPr>
          <w:rFonts w:ascii="Arial" w:cs="Arial" w:eastAsia="Arial" w:hAnsi="Arial"/>
          <w:sz w:val="18"/>
          <w:szCs w:val="18"/>
          <w:color w:val="auto"/>
        </w:rPr>
        <w:t>Mr. Parke offers extensive experience in the areas of finance, financial services and capital markets, gained in part through his 37 years</w:t>
      </w:r>
      <w:r>
        <w:rPr>
          <w:rFonts w:ascii="Arial" w:cs="Arial" w:eastAsia="Arial" w:hAnsi="Arial"/>
          <w:sz w:val="18"/>
          <w:szCs w:val="18"/>
          <w:i w:val="1"/>
          <w:iCs w:val="1"/>
          <w:color w:val="auto"/>
        </w:rPr>
        <w:t xml:space="preserve"> </w:t>
      </w:r>
      <w:r>
        <w:rPr>
          <w:rFonts w:ascii="Arial" w:cs="Arial" w:eastAsia="Arial" w:hAnsi="Arial"/>
          <w:sz w:val="18"/>
          <w:szCs w:val="18"/>
          <w:color w:val="auto"/>
        </w:rPr>
        <w:t>of experience with GE and GE Capital Services, including having served as a former Vice Chairman and Chief Financial Officer of GE Capital Services, where he helped build GE’s financial and insurance businesses.</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6"/>
          <w:szCs w:val="16"/>
          <w:i w:val="1"/>
          <w:iCs w:val="1"/>
          <w:color w:val="auto"/>
        </w:rPr>
        <w:t>Committees</w:t>
      </w:r>
      <w:r>
        <w:rPr>
          <w:rFonts w:ascii="Arial" w:cs="Arial" w:eastAsia="Arial" w:hAnsi="Arial"/>
          <w:sz w:val="16"/>
          <w:szCs w:val="16"/>
          <w:color w:val="auto"/>
        </w:rPr>
        <w:t>: Mr. Parke serves as the Chair of the Audit Committee and as a member of the Management Development and Compensation Committee.</w:t>
      </w:r>
    </w:p>
    <w:p>
      <w:pPr>
        <w:spacing w:after="0" w:line="3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Debra J. Perry, former Executive at Moody’s Investor Service, Inc.</w:t>
      </w:r>
    </w:p>
    <w:p>
      <w:pPr>
        <w:spacing w:after="0" w:line="121" w:lineRule="exact"/>
        <w:rPr>
          <w:sz w:val="20"/>
          <w:szCs w:val="20"/>
          <w:color w:val="auto"/>
        </w:rPr>
      </w:pPr>
    </w:p>
    <w:p>
      <w:pPr>
        <w:ind w:right="20" w:firstLine="456"/>
        <w:spacing w:after="0" w:line="268" w:lineRule="auto"/>
        <w:rPr>
          <w:sz w:val="20"/>
          <w:szCs w:val="20"/>
          <w:color w:val="auto"/>
        </w:rPr>
      </w:pPr>
      <w:r>
        <w:rPr>
          <w:rFonts w:ascii="Arial" w:cs="Arial" w:eastAsia="Arial" w:hAnsi="Arial"/>
          <w:sz w:val="17"/>
          <w:szCs w:val="17"/>
          <w:color w:val="auto"/>
        </w:rPr>
        <w:t>Ms. Perry worked at Moody’s Corporation from 1992 to 2004. From 2001 to 2004, Ms. Perry was a senior managing director in the Global Ratings and Research Unit of Moody’s Investors Service, Inc. where she oversaw the Americas Corporate Finance and U.S. Public Finance Groups. From 1999 to 2001, Ms. Perry served as Chief Administrative Officer and Chief Credit Officer, and from 1996 to 1999, she was a group managing director for the Finance, Securities and Insurance Rating Groups of Moody’s Corporation. Ms. Perry has also been a managing member of Perry Consulting LLC, an advisory firm specializing in credit risk management and governance within the financial industry, since 2008. Ms. Perry has served as a director of the Sanford C. Bernstein Fund, Inc., a mutual fund, since July 2011, and Korn/Ferry International, a talent management and executive search firm, since 2008. She was a member of the board of PartnerRe, a Bermuda-based reinsurance company, from June 2013 to March 2016. She was also a trustee of the Bank of America Funds from June 2011 until April 2016. Ms. Perry served on the board of directors of CNO Financial Group, Inc. from 2004 to 2011. In 2014, Ms. Perry was named to the National Association of Corporate Directors’ Directorship 100, which recognizes the most influential people in the boardroom and corporate governance community. From September 2012 to December 2014, Ms. Perry served as a member of the Executive Committee of the Committee for Economic Development (“CED”) in Washington, D.C. a non-partisan, business-led public policy organization, until its merger with the Conference Board, and she continues as a member of CED. Ms. Perry received her B.A. in History from the University of Wisconsin and her M.A. in European History from Yale University.</w:t>
      </w:r>
    </w:p>
    <w:p>
      <w:pPr>
        <w:spacing w:after="0" w:line="188" w:lineRule="exact"/>
        <w:rPr>
          <w:sz w:val="20"/>
          <w:szCs w:val="20"/>
          <w:color w:val="auto"/>
        </w:rPr>
      </w:pPr>
    </w:p>
    <w:p>
      <w:pPr>
        <w:ind w:firstLine="456"/>
        <w:spacing w:after="0" w:line="279" w:lineRule="auto"/>
        <w:rPr>
          <w:sz w:val="20"/>
          <w:szCs w:val="20"/>
          <w:color w:val="auto"/>
        </w:rPr>
      </w:pPr>
      <w:r>
        <w:rPr>
          <w:rFonts w:ascii="Arial" w:cs="Arial" w:eastAsia="Arial" w:hAnsi="Arial"/>
          <w:sz w:val="17"/>
          <w:szCs w:val="17"/>
          <w:i w:val="1"/>
          <w:iCs w:val="1"/>
          <w:color w:val="auto"/>
        </w:rPr>
        <w:t xml:space="preserve">Qualifications: </w:t>
      </w:r>
      <w:r>
        <w:rPr>
          <w:rFonts w:ascii="Arial" w:cs="Arial" w:eastAsia="Arial" w:hAnsi="Arial"/>
          <w:sz w:val="17"/>
          <w:szCs w:val="17"/>
          <w:color w:val="auto"/>
        </w:rPr>
        <w:t>Ms. Perry brings extensive knowledge of corporate governance as a result of her many years of board and board committee experience,</w:t>
      </w:r>
      <w:r>
        <w:rPr>
          <w:rFonts w:ascii="Arial" w:cs="Arial" w:eastAsia="Arial" w:hAnsi="Arial"/>
          <w:sz w:val="17"/>
          <w:szCs w:val="17"/>
          <w:i w:val="1"/>
          <w:iCs w:val="1"/>
          <w:color w:val="auto"/>
        </w:rPr>
        <w:t xml:space="preserve"> </w:t>
      </w:r>
      <w:r>
        <w:rPr>
          <w:rFonts w:ascii="Arial" w:cs="Arial" w:eastAsia="Arial" w:hAnsi="Arial"/>
          <w:sz w:val="17"/>
          <w:szCs w:val="17"/>
          <w:color w:val="auto"/>
        </w:rPr>
        <w:t>including service on multiple audit committees, two of which she has chaired. Ms. Perry also has significant experience in executive management at a Nationally Recognized Statistical Rating Organization, or “NRSRO,” where she oversaw the financial analysis and assignment of credit and financial strength ratings to financial and industrial companies and public sector entities, including the global insurance industry.</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Committees</w:t>
      </w:r>
      <w:r>
        <w:rPr>
          <w:rFonts w:ascii="Arial" w:cs="Arial" w:eastAsia="Arial" w:hAnsi="Arial"/>
          <w:sz w:val="18"/>
          <w:szCs w:val="18"/>
          <w:color w:val="auto"/>
        </w:rPr>
        <w:t>: Ms. Perry serves as a member of the Audit Committee and the Risk Committee.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Robert P. Restrepo Jr., former Chairman and President and Chief Executive Officer of State Auto Financial Corporation.</w:t>
      </w:r>
    </w:p>
    <w:p>
      <w:pPr>
        <w:spacing w:after="0" w:line="121" w:lineRule="exact"/>
        <w:rPr>
          <w:sz w:val="20"/>
          <w:szCs w:val="20"/>
          <w:color w:val="auto"/>
        </w:rPr>
      </w:pPr>
    </w:p>
    <w:p>
      <w:pPr>
        <w:ind w:right="200" w:firstLine="456"/>
        <w:spacing w:after="0" w:line="259" w:lineRule="auto"/>
        <w:rPr>
          <w:sz w:val="20"/>
          <w:szCs w:val="20"/>
          <w:color w:val="auto"/>
        </w:rPr>
      </w:pPr>
      <w:r>
        <w:rPr>
          <w:rFonts w:ascii="Arial" w:cs="Arial" w:eastAsia="Arial" w:hAnsi="Arial"/>
          <w:sz w:val="18"/>
          <w:szCs w:val="18"/>
          <w:color w:val="auto"/>
        </w:rPr>
        <w:t>Mr. Restrepo retired from State Auto Financial Corporation in 2015, having served as its Chairman from 2006 to December 2015 and as its President and Chief Executive Officer from 2006 to May 2015. Mr. Restrepo has over 40 years of insurance industry experience, having held executive roles at Main Street America Group, Hanover Insurance Group Inc. (formerly Allmerica Financial Corp), Travelers and Aetna. Mr. Restrepo has served as a director of Majesco, a provider of insurance software and consulting services, since August 2015, and</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40" w:top="459" w:right="25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RLI Corp., a property and casualty insurance company, since July 2016. Mr. Restrepo also currently serves on the boards of directors of The Larry H. Miller Group of Companies and Nuclear Electric Insurance Limited. Mr. Restrepo received a B.A. in English from Yale University.</w:t>
      </w:r>
    </w:p>
    <w:p>
      <w:pPr>
        <w:spacing w:after="0" w:line="170" w:lineRule="exact"/>
        <w:rPr>
          <w:sz w:val="20"/>
          <w:szCs w:val="20"/>
          <w:color w:val="auto"/>
        </w:rPr>
      </w:pPr>
    </w:p>
    <w:p>
      <w:pPr>
        <w:ind w:right="820" w:firstLine="456"/>
        <w:spacing w:after="0" w:line="277" w:lineRule="auto"/>
        <w:rPr>
          <w:sz w:val="20"/>
          <w:szCs w:val="20"/>
          <w:color w:val="auto"/>
        </w:rPr>
      </w:pPr>
      <w:r>
        <w:rPr>
          <w:rFonts w:ascii="Arial" w:cs="Arial" w:eastAsia="Arial" w:hAnsi="Arial"/>
          <w:sz w:val="18"/>
          <w:szCs w:val="18"/>
          <w:i w:val="1"/>
          <w:iCs w:val="1"/>
          <w:color w:val="auto"/>
        </w:rPr>
        <w:t xml:space="preserve">Qualifications: </w:t>
      </w:r>
      <w:r>
        <w:rPr>
          <w:rFonts w:ascii="Arial" w:cs="Arial" w:eastAsia="Arial" w:hAnsi="Arial"/>
          <w:sz w:val="18"/>
          <w:szCs w:val="18"/>
          <w:color w:val="auto"/>
        </w:rPr>
        <w:t>Mr. Restrepo offers over 40 years of experience managing and operating insurance companies and has expertise in corporate</w:t>
      </w:r>
      <w:r>
        <w:rPr>
          <w:rFonts w:ascii="Arial" w:cs="Arial" w:eastAsia="Arial" w:hAnsi="Arial"/>
          <w:sz w:val="18"/>
          <w:szCs w:val="18"/>
          <w:i w:val="1"/>
          <w:iCs w:val="1"/>
          <w:color w:val="auto"/>
        </w:rPr>
        <w:t xml:space="preserve"> </w:t>
      </w:r>
      <w:r>
        <w:rPr>
          <w:rFonts w:ascii="Arial" w:cs="Arial" w:eastAsia="Arial" w:hAnsi="Arial"/>
          <w:sz w:val="18"/>
          <w:szCs w:val="18"/>
          <w:color w:val="auto"/>
        </w:rPr>
        <w:t>governance, acquisitions, risk, strategic planning and leadership development.</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7"/>
          <w:szCs w:val="17"/>
          <w:i w:val="1"/>
          <w:iCs w:val="1"/>
          <w:color w:val="auto"/>
        </w:rPr>
        <w:t>Committees</w:t>
      </w:r>
      <w:r>
        <w:rPr>
          <w:rFonts w:ascii="Arial" w:cs="Arial" w:eastAsia="Arial" w:hAnsi="Arial"/>
          <w:sz w:val="17"/>
          <w:szCs w:val="17"/>
          <w:color w:val="auto"/>
        </w:rPr>
        <w:t>: Mr. Restrepo serves as a member of the Audit Committee and the Management Development and Compensation Committee.</w:t>
      </w:r>
    </w:p>
    <w:p>
      <w:pPr>
        <w:spacing w:after="0" w:line="341" w:lineRule="exact"/>
        <w:rPr>
          <w:sz w:val="20"/>
          <w:szCs w:val="20"/>
          <w:color w:val="auto"/>
        </w:rPr>
      </w:pPr>
    </w:p>
    <w:p>
      <w:pPr>
        <w:ind w:right="100"/>
        <w:spacing w:after="0" w:line="282" w:lineRule="auto"/>
        <w:rPr>
          <w:sz w:val="20"/>
          <w:szCs w:val="20"/>
          <w:color w:val="auto"/>
        </w:rPr>
      </w:pPr>
      <w:r>
        <w:rPr>
          <w:rFonts w:ascii="Arial" w:cs="Arial" w:eastAsia="Arial" w:hAnsi="Arial"/>
          <w:sz w:val="18"/>
          <w:szCs w:val="18"/>
          <w:b w:val="1"/>
          <w:bCs w:val="1"/>
          <w:color w:val="auto"/>
        </w:rPr>
        <w:t>James S. Riepe, Senior Advisor and former Vice Chairman of T. Rowe Price Group, Inc. Lead Director from February 2009 to May 2012 and Non-Executive Chairman of the Board since May 2012.</w:t>
      </w:r>
    </w:p>
    <w:p>
      <w:pPr>
        <w:spacing w:after="0" w:line="58" w:lineRule="exact"/>
        <w:rPr>
          <w:sz w:val="20"/>
          <w:szCs w:val="20"/>
          <w:color w:val="auto"/>
        </w:rPr>
      </w:pPr>
    </w:p>
    <w:p>
      <w:pPr>
        <w:ind w:right="40" w:firstLine="456"/>
        <w:spacing w:after="0" w:line="273" w:lineRule="auto"/>
        <w:rPr>
          <w:sz w:val="20"/>
          <w:szCs w:val="20"/>
          <w:color w:val="auto"/>
        </w:rPr>
      </w:pPr>
      <w:r>
        <w:rPr>
          <w:rFonts w:ascii="Arial" w:cs="Arial" w:eastAsia="Arial" w:hAnsi="Arial"/>
          <w:sz w:val="17"/>
          <w:szCs w:val="17"/>
          <w:color w:val="auto"/>
        </w:rPr>
        <w:t>Mr. Riepe is a retired Vice Chairman and a Senior Advisor at T. Rowe Price Group, Inc. Mr. Riepe served as the Vice Chairman of T. Rowe Price Group, Inc. from 1997 until his retirement in December 2005. Prior to joining T. Rowe Price Group, Inc. in 1981, Mr. Riepe was an Executive Vice President of The Vanguard Group. He has served as a director of LPL Financial Holdings Inc. since February 2008. Mr. Riepe also previously served on the boards of directors of The NASDAQ OMX Group, Inc. from May 2003 to May 2014, T. Rowe Price Group, Inc. from 1981 to 2006 and 57 T. Rowe Price registered investment companies (mutual funds) until his retirement in 2006. He is a member of the University of Pennsylvania’s Board of Trustees. Mr. Riepe received a B.S. in Industrial Management, an M.B.A. and an Honorary Doctor of Laws degree from the University of Pennsylvania.</w:t>
      </w:r>
    </w:p>
    <w:p>
      <w:pPr>
        <w:spacing w:after="0" w:line="178" w:lineRule="exact"/>
        <w:rPr>
          <w:sz w:val="20"/>
          <w:szCs w:val="20"/>
          <w:color w:val="auto"/>
        </w:rPr>
      </w:pPr>
    </w:p>
    <w:p>
      <w:pPr>
        <w:ind w:right="660" w:firstLine="456"/>
        <w:spacing w:after="0" w:line="342" w:lineRule="auto"/>
        <w:rPr>
          <w:sz w:val="20"/>
          <w:szCs w:val="20"/>
          <w:color w:val="auto"/>
        </w:rPr>
      </w:pPr>
      <w:r>
        <w:rPr>
          <w:rFonts w:ascii="Arial" w:cs="Arial" w:eastAsia="Arial" w:hAnsi="Arial"/>
          <w:sz w:val="16"/>
          <w:szCs w:val="16"/>
          <w:i w:val="1"/>
          <w:iCs w:val="1"/>
          <w:color w:val="auto"/>
        </w:rPr>
        <w:t xml:space="preserve">Qualifications: </w:t>
      </w:r>
      <w:r>
        <w:rPr>
          <w:rFonts w:ascii="Arial" w:cs="Arial" w:eastAsia="Arial" w:hAnsi="Arial"/>
          <w:sz w:val="16"/>
          <w:szCs w:val="16"/>
          <w:color w:val="auto"/>
        </w:rPr>
        <w:t>Mr. Riepe brings to the Board significant expertise in finance and investments, as well as extensive management and operating</w:t>
      </w:r>
      <w:r>
        <w:rPr>
          <w:rFonts w:ascii="Arial" w:cs="Arial" w:eastAsia="Arial" w:hAnsi="Arial"/>
          <w:sz w:val="16"/>
          <w:szCs w:val="16"/>
          <w:i w:val="1"/>
          <w:iCs w:val="1"/>
          <w:color w:val="auto"/>
        </w:rPr>
        <w:t xml:space="preserve"> </w:t>
      </w:r>
      <w:r>
        <w:rPr>
          <w:rFonts w:ascii="Arial" w:cs="Arial" w:eastAsia="Arial" w:hAnsi="Arial"/>
          <w:sz w:val="16"/>
          <w:szCs w:val="16"/>
          <w:color w:val="auto"/>
        </w:rPr>
        <w:t>experience, gained through his role as a senior executive in the investment management industry, including 23 years with T. Rowe Price.</w:t>
      </w:r>
    </w:p>
    <w:p>
      <w:pPr>
        <w:spacing w:after="0" w:line="124"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Committees</w:t>
      </w:r>
      <w:r>
        <w:rPr>
          <w:rFonts w:ascii="Arial" w:cs="Arial" w:eastAsia="Arial" w:hAnsi="Arial"/>
          <w:sz w:val="18"/>
          <w:szCs w:val="18"/>
          <w:color w:val="auto"/>
        </w:rPr>
        <w:t>: Mr. Riepe is a member of the Audit Committee and Management Development and Compensation Committee.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GOVERNANCE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Governance Principles</w:t>
      </w:r>
    </w:p>
    <w:p>
      <w:pPr>
        <w:spacing w:after="0" w:line="121" w:lineRule="exact"/>
        <w:rPr>
          <w:sz w:val="20"/>
          <w:szCs w:val="20"/>
          <w:color w:val="auto"/>
        </w:rPr>
      </w:pPr>
    </w:p>
    <w:p>
      <w:pPr>
        <w:ind w:firstLine="456"/>
        <w:spacing w:after="0" w:line="279" w:lineRule="auto"/>
        <w:rPr>
          <w:sz w:val="20"/>
          <w:szCs w:val="20"/>
          <w:color w:val="auto"/>
        </w:rPr>
      </w:pPr>
      <w:r>
        <w:rPr>
          <w:rFonts w:ascii="Arial" w:cs="Arial" w:eastAsia="Arial" w:hAnsi="Arial"/>
          <w:sz w:val="17"/>
          <w:szCs w:val="17"/>
          <w:color w:val="auto"/>
        </w:rPr>
        <w:t xml:space="preserve">Our Governance Principles are published on our website, as are our other corporate governance materials, including the charters adopted by the Board for each of our standing committees and any key practices adopted by the committees. To view these materials, go to </w:t>
      </w:r>
      <w:r>
        <w:rPr>
          <w:rFonts w:ascii="Arial" w:cs="Arial" w:eastAsia="Arial" w:hAnsi="Arial"/>
          <w:sz w:val="17"/>
          <w:szCs w:val="17"/>
          <w:i w:val="1"/>
          <w:iCs w:val="1"/>
          <w:color w:val="auto"/>
        </w:rPr>
        <w:t>www.genworth.com</w:t>
      </w:r>
      <w:r>
        <w:rPr>
          <w:rFonts w:ascii="Arial" w:cs="Arial" w:eastAsia="Arial" w:hAnsi="Arial"/>
          <w:sz w:val="17"/>
          <w:szCs w:val="17"/>
          <w:color w:val="auto"/>
        </w:rPr>
        <w:t>, select “Investors” and then select “Corporate Governance.” The Board regularly reviews corporate governance developments and may modify these principles, charters and key practices as warranted. Any modifications will be reflected in the documents on our website.</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Code of Business Conduct and Ethics</w:t>
      </w:r>
    </w:p>
    <w:p>
      <w:pPr>
        <w:spacing w:after="0" w:line="121"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 xml:space="preserve">All of our directors, officers and employees, including our principal executive officer, principal financial officer, principal accounting officer and controller, must act ethically at all times and in accordance with the policies comprising our code of business conduct and ethics set forth in Genworth’s Code of Ethics (“Code of Ethics”). If an actual or potential conflict of interest arises for a director, the director shall promptly inform the chief executive officer. To view our Code of Ethics, go to </w:t>
      </w:r>
      <w:r>
        <w:rPr>
          <w:rFonts w:ascii="Arial" w:cs="Arial" w:eastAsia="Arial" w:hAnsi="Arial"/>
          <w:sz w:val="17"/>
          <w:szCs w:val="17"/>
          <w:i w:val="1"/>
          <w:iCs w:val="1"/>
          <w:color w:val="auto"/>
        </w:rPr>
        <w:t>www.genworth.com</w:t>
      </w:r>
      <w:r>
        <w:rPr>
          <w:rFonts w:ascii="Arial" w:cs="Arial" w:eastAsia="Arial" w:hAnsi="Arial"/>
          <w:sz w:val="17"/>
          <w:szCs w:val="17"/>
          <w:color w:val="auto"/>
        </w:rPr>
        <w:t>, select “Investors,” then select “Corporate Governance,” then select “Code of Business Conduct &amp; Ethics” and finally select “Genworth Code of Ethics.” Section 11 of our Governance Principles, which are available on our website, more fully addresses our Code of Ethics. Under our Governance Principles, the Board will not permit any waiver of any ethics policy for any director or executive officer. Within the time period required by the SEC and the NYSE, we will post on our website any amendment to our Code of Ethics.</w:t>
      </w:r>
    </w:p>
    <w:p>
      <w:pPr>
        <w:spacing w:after="0" w:line="11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380"/>
          </w:cols>
          <w:pgMar w:left="240" w:top="459" w:right="27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Communication with Genworth’s Board of Directors</w:t>
      </w:r>
    </w:p>
    <w:p>
      <w:pPr>
        <w:spacing w:after="0" w:line="121"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 xml:space="preserve">The Board of Directors has established a process for stockholders and other interested persons to communicate directly with Genworth and its non-management directors. Information regarding this process, including how to email or write our non-management directors, may be found on our website. To view this process, go to </w:t>
      </w:r>
      <w:r>
        <w:rPr>
          <w:rFonts w:ascii="Arial" w:cs="Arial" w:eastAsia="Arial" w:hAnsi="Arial"/>
          <w:sz w:val="17"/>
          <w:szCs w:val="17"/>
          <w:i w:val="1"/>
          <w:iCs w:val="1"/>
          <w:color w:val="auto"/>
        </w:rPr>
        <w:t>www.genworth.com,</w:t>
      </w:r>
      <w:r>
        <w:rPr>
          <w:rFonts w:ascii="Arial" w:cs="Arial" w:eastAsia="Arial" w:hAnsi="Arial"/>
          <w:sz w:val="17"/>
          <w:szCs w:val="17"/>
          <w:color w:val="auto"/>
        </w:rPr>
        <w:t xml:space="preserve"> select “Investors,” then select “Corporate Governance” and finally select “Contact the Board.” Concerns relating to accounting, internal accounting controls and auditing matters may also be submitted confidentially and anonymously through the methods specified on our website. You may direct your communications to our non-management directors as a group or individually, or to any committee of the Board of Directors. The Corporate Secretary or Genworth’s ombudsman monitors, reviews and sorts all written communications to the non-management directors. Communications related to matters that are within the scope of the responsibilities of the Board of Directors are forwarded to the Board of Directors, the relevant committee of the Board or an individual director, as appropriate.</w:t>
      </w:r>
    </w:p>
    <w:p>
      <w:pPr>
        <w:spacing w:after="0" w:line="179"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The Corporate Secretary or Genworth’s ombudsman forwards correspondence related to routine business and customer service matters to the appropriate management personnel. The Corporate Secretary or Genworth’s ombudsman will immediately consult with the Audit Committee Chairman, who will determine whether to communicate further with the Audit Committee and/or the full Board of Directors with respect to the correspondence received relating to accounting, internal accounting controls, auditing matters or officer conduct.</w:t>
      </w:r>
    </w:p>
    <w:p>
      <w:pPr>
        <w:spacing w:after="0" w:line="187" w:lineRule="exact"/>
        <w:rPr>
          <w:sz w:val="20"/>
          <w:szCs w:val="20"/>
          <w:color w:val="auto"/>
        </w:rPr>
      </w:pPr>
    </w:p>
    <w:p>
      <w:pPr>
        <w:ind w:right="420" w:firstLine="456"/>
        <w:spacing w:after="0" w:line="277" w:lineRule="auto"/>
        <w:rPr>
          <w:sz w:val="20"/>
          <w:szCs w:val="20"/>
          <w:color w:val="auto"/>
        </w:rPr>
      </w:pPr>
      <w:r>
        <w:rPr>
          <w:rFonts w:ascii="Arial" w:cs="Arial" w:eastAsia="Arial" w:hAnsi="Arial"/>
          <w:sz w:val="18"/>
          <w:szCs w:val="18"/>
          <w:color w:val="auto"/>
        </w:rPr>
        <w:t>Letters may be sent to the non-management directors as a group or individually, c/o the Corporate Secretary, Genworth Financial, Inc., 6620 West Broad Street, Building #1, Richmond, Virginia 23230.</w:t>
      </w:r>
    </w:p>
    <w:p>
      <w:pPr>
        <w:spacing w:after="0" w:line="170" w:lineRule="exact"/>
        <w:rPr>
          <w:sz w:val="20"/>
          <w:szCs w:val="20"/>
          <w:color w:val="auto"/>
        </w:rPr>
      </w:pPr>
    </w:p>
    <w:p>
      <w:pPr>
        <w:ind w:right="300" w:firstLine="456"/>
        <w:spacing w:after="0" w:line="277" w:lineRule="auto"/>
        <w:rPr>
          <w:sz w:val="20"/>
          <w:szCs w:val="20"/>
          <w:color w:val="auto"/>
        </w:rPr>
      </w:pPr>
      <w:r>
        <w:rPr>
          <w:rFonts w:ascii="Arial" w:cs="Arial" w:eastAsia="Arial" w:hAnsi="Arial"/>
          <w:sz w:val="18"/>
          <w:szCs w:val="18"/>
          <w:color w:val="auto"/>
        </w:rPr>
        <w:t>In addition, letters may be sent directly to Genworth, c/o the Corporate Secretary or Investor Relations, Genworth Financial, Inc., 6620 West Broad Street, Building #1, Richmond, Virginia 23230.</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OF DIRECTORS AND COMMITTEES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Composition</w:t>
      </w:r>
    </w:p>
    <w:p>
      <w:pPr>
        <w:spacing w:after="0" w:line="121" w:lineRule="exact"/>
        <w:rPr>
          <w:sz w:val="20"/>
          <w:szCs w:val="20"/>
          <w:color w:val="auto"/>
        </w:rPr>
      </w:pPr>
    </w:p>
    <w:p>
      <w:pPr>
        <w:ind w:right="120" w:firstLine="456"/>
        <w:spacing w:after="0" w:line="279" w:lineRule="auto"/>
        <w:rPr>
          <w:sz w:val="20"/>
          <w:szCs w:val="20"/>
          <w:color w:val="auto"/>
        </w:rPr>
      </w:pPr>
      <w:r>
        <w:rPr>
          <w:rFonts w:ascii="Arial" w:cs="Arial" w:eastAsia="Arial" w:hAnsi="Arial"/>
          <w:sz w:val="17"/>
          <w:szCs w:val="17"/>
          <w:color w:val="auto"/>
        </w:rPr>
        <w:t>Our Board of Directors is composed of individuals with diverse experience at policy-making levels in business and government in areas that are relevant to the company. Each director was nominated on the basis of the unique set of qualifications and skills he or she brings to the Board, as well as how those qualifications and skills blend with those of the others on the Board as a whole. The blend of our directors’ diverse backgrounds ensures that issues facing the company are examined and addressed with the benefit of a broad array of perspectives and expertise.</w:t>
      </w:r>
    </w:p>
    <w:p>
      <w:pPr>
        <w:spacing w:after="0" w:line="171" w:lineRule="exact"/>
        <w:rPr>
          <w:sz w:val="20"/>
          <w:szCs w:val="20"/>
          <w:color w:val="auto"/>
        </w:rPr>
      </w:pPr>
    </w:p>
    <w:p>
      <w:pPr>
        <w:ind w:right="500" w:firstLine="456"/>
        <w:spacing w:after="0" w:line="277" w:lineRule="auto"/>
        <w:rPr>
          <w:sz w:val="20"/>
          <w:szCs w:val="20"/>
          <w:color w:val="auto"/>
        </w:rPr>
      </w:pPr>
      <w:r>
        <w:rPr>
          <w:rFonts w:ascii="Arial" w:cs="Arial" w:eastAsia="Arial" w:hAnsi="Arial"/>
          <w:sz w:val="18"/>
          <w:szCs w:val="18"/>
          <w:color w:val="auto"/>
        </w:rPr>
        <w:t>We believe that our directors have demonstrated leadership in a variety of positions across various professions and industries. Their experiences, qualifications, attributes and skills include:</w:t>
      </w:r>
    </w:p>
    <w:p>
      <w:pPr>
        <w:spacing w:after="0" w:line="197" w:lineRule="exact"/>
        <w:rPr>
          <w:sz w:val="20"/>
          <w:szCs w:val="20"/>
          <w:color w:val="auto"/>
        </w:rPr>
      </w:pPr>
    </w:p>
    <w:p>
      <w:pPr>
        <w:jc w:val="center"/>
        <w:ind w:right="-59"/>
        <w:spacing w:after="0"/>
        <w:rPr>
          <w:sz w:val="20"/>
          <w:szCs w:val="20"/>
          <w:color w:val="auto"/>
        </w:rPr>
      </w:pPr>
      <w:r>
        <w:rPr>
          <w:rFonts w:ascii="Arial" w:cs="Arial" w:eastAsia="Arial" w:hAnsi="Arial"/>
          <w:sz w:val="19"/>
          <w:szCs w:val="19"/>
          <w:b w:val="1"/>
          <w:bCs w:val="1"/>
          <w:color w:val="auto"/>
        </w:rPr>
        <w:t>DIRECTOR EXPERIENCES, QUALIFICATIONS, ATTRIBUTES AND SKILLS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374015</wp:posOffset>
            </wp:positionH>
            <wp:positionV relativeFrom="paragraph">
              <wp:posOffset>-128905</wp:posOffset>
            </wp:positionV>
            <wp:extent cx="651764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517640" cy="8890"/>
                    </a:xfrm>
                    <a:prstGeom prst="rect">
                      <a:avLst/>
                    </a:prstGeom>
                    <a:noFill/>
                  </pic:spPr>
                </pic:pic>
              </a:graphicData>
            </a:graphic>
          </wp:anchor>
        </w:drawing>
      </w:r>
    </w:p>
    <w:p>
      <w:pPr>
        <w:spacing w:after="0" w:line="6" w:lineRule="exact"/>
        <w:rPr>
          <w:sz w:val="20"/>
          <w:szCs w:val="20"/>
          <w:color w:val="auto"/>
        </w:rPr>
      </w:pPr>
    </w:p>
    <w:tbl>
      <w:tblPr>
        <w:tblLayout w:type="fixed"/>
        <w:tblInd w:w="580" w:type="dxa"/>
        <w:tblCellMar>
          <w:top w:w="0" w:type="dxa"/>
          <w:left w:w="0" w:type="dxa"/>
          <w:bottom w:w="0" w:type="dxa"/>
          <w:right w:w="0" w:type="dxa"/>
        </w:tblCellMar>
      </w:tblPr>
      <w:tr>
        <w:trPr>
          <w:trHeight w:val="210"/>
        </w:trPr>
        <w:tc>
          <w:tcPr>
            <w:tcW w:w="4240" w:type="dxa"/>
            <w:vAlign w:val="bottom"/>
            <w:tcBorders>
              <w:top w:val="single" w:sz="8" w:color="auto"/>
            </w:tcBorders>
            <w:shd w:val="clear" w:color="auto" w:fill="CCEEFF"/>
          </w:tcPr>
          <w:p>
            <w:pPr>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Chief Executive Officer (Former or Current)</w:t>
            </w:r>
          </w:p>
        </w:tc>
        <w:tc>
          <w:tcPr>
            <w:tcW w:w="6040" w:type="dxa"/>
            <w:vAlign w:val="bottom"/>
            <w:tcBorders>
              <w:top w:val="single" w:sz="8" w:color="auto"/>
            </w:tcBorders>
            <w:shd w:val="clear" w:color="auto" w:fill="CCEEFF"/>
          </w:tcPr>
          <w:p>
            <w:pPr>
              <w:ind w:left="120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Healthcare/Medical</w:t>
            </w:r>
          </w:p>
        </w:tc>
      </w:tr>
      <w:tr>
        <w:trPr>
          <w:trHeight w:val="216"/>
        </w:trPr>
        <w:tc>
          <w:tcPr>
            <w:tcW w:w="4240" w:type="dxa"/>
            <w:vAlign w:val="bottom"/>
          </w:tcPr>
          <w:p>
            <w:pPr>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Chief Financial Officer (Former or Current)</w:t>
            </w:r>
          </w:p>
        </w:tc>
        <w:tc>
          <w:tcPr>
            <w:tcW w:w="6040" w:type="dxa"/>
            <w:vAlign w:val="bottom"/>
          </w:tcPr>
          <w:p>
            <w:pPr>
              <w:ind w:left="120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Consumer Marketing</w:t>
            </w:r>
          </w:p>
        </w:tc>
      </w:tr>
      <w:tr>
        <w:trPr>
          <w:trHeight w:val="216"/>
        </w:trPr>
        <w:tc>
          <w:tcPr>
            <w:tcW w:w="4240" w:type="dxa"/>
            <w:vAlign w:val="bottom"/>
            <w:shd w:val="clear" w:color="auto" w:fill="CCEEFF"/>
          </w:tcPr>
          <w:p>
            <w:pPr>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Insurance</w:t>
            </w:r>
          </w:p>
        </w:tc>
        <w:tc>
          <w:tcPr>
            <w:tcW w:w="6040" w:type="dxa"/>
            <w:vAlign w:val="bottom"/>
            <w:shd w:val="clear" w:color="auto" w:fill="CCEEFF"/>
          </w:tcPr>
          <w:p>
            <w:pPr>
              <w:ind w:left="120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Public Policy/Political</w:t>
            </w:r>
          </w:p>
        </w:tc>
      </w:tr>
      <w:tr>
        <w:trPr>
          <w:trHeight w:val="216"/>
        </w:trPr>
        <w:tc>
          <w:tcPr>
            <w:tcW w:w="4240" w:type="dxa"/>
            <w:vAlign w:val="bottom"/>
          </w:tcPr>
          <w:p>
            <w:pPr>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Mortgage</w:t>
            </w:r>
          </w:p>
        </w:tc>
        <w:tc>
          <w:tcPr>
            <w:tcW w:w="6040" w:type="dxa"/>
            <w:vAlign w:val="bottom"/>
          </w:tcPr>
          <w:p>
            <w:pPr>
              <w:ind w:left="120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Technology/IT</w:t>
            </w:r>
          </w:p>
        </w:tc>
      </w:tr>
      <w:tr>
        <w:trPr>
          <w:trHeight w:val="216"/>
        </w:trPr>
        <w:tc>
          <w:tcPr>
            <w:tcW w:w="4240" w:type="dxa"/>
            <w:vAlign w:val="bottom"/>
            <w:shd w:val="clear" w:color="auto" w:fill="CCEEFF"/>
          </w:tcPr>
          <w:p>
            <w:pPr>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Risk</w:t>
            </w:r>
          </w:p>
        </w:tc>
        <w:tc>
          <w:tcPr>
            <w:tcW w:w="6040" w:type="dxa"/>
            <w:vAlign w:val="bottom"/>
            <w:shd w:val="clear" w:color="auto" w:fill="CCEEFF"/>
          </w:tcPr>
          <w:p>
            <w:pPr>
              <w:ind w:left="120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Restructuring and Turnaround</w:t>
            </w:r>
          </w:p>
        </w:tc>
      </w:tr>
      <w:tr>
        <w:trPr>
          <w:trHeight w:val="216"/>
        </w:trPr>
        <w:tc>
          <w:tcPr>
            <w:tcW w:w="4240" w:type="dxa"/>
            <w:vAlign w:val="bottom"/>
          </w:tcPr>
          <w:p>
            <w:pPr>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Mergers and Acquisitions</w:t>
            </w:r>
          </w:p>
        </w:tc>
        <w:tc>
          <w:tcPr>
            <w:tcW w:w="6040" w:type="dxa"/>
            <w:vAlign w:val="bottom"/>
          </w:tcPr>
          <w:p>
            <w:pPr>
              <w:ind w:left="120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Asset Management</w:t>
            </w:r>
          </w:p>
        </w:tc>
      </w:tr>
      <w:tr>
        <w:trPr>
          <w:trHeight w:val="216"/>
        </w:trPr>
        <w:tc>
          <w:tcPr>
            <w:tcW w:w="4240" w:type="dxa"/>
            <w:vAlign w:val="bottom"/>
            <w:shd w:val="clear" w:color="auto" w:fill="CCEEFF"/>
          </w:tcPr>
          <w:p>
            <w:pPr>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Finance and Investment Management</w:t>
            </w:r>
          </w:p>
        </w:tc>
        <w:tc>
          <w:tcPr>
            <w:tcW w:w="6040" w:type="dxa"/>
            <w:vAlign w:val="bottom"/>
            <w:shd w:val="clear" w:color="auto" w:fill="CCEEFF"/>
          </w:tcPr>
          <w:p>
            <w:pPr>
              <w:ind w:left="120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International</w:t>
            </w:r>
          </w:p>
        </w:tc>
      </w:tr>
      <w:tr>
        <w:trPr>
          <w:trHeight w:val="365"/>
        </w:trPr>
        <w:tc>
          <w:tcPr>
            <w:tcW w:w="4240" w:type="dxa"/>
            <w:vAlign w:val="bottom"/>
          </w:tcPr>
          <w:p>
            <w:pPr>
              <w:spacing w:after="0"/>
              <w:rPr>
                <w:sz w:val="24"/>
                <w:szCs w:val="24"/>
                <w:color w:val="auto"/>
              </w:rPr>
            </w:pPr>
          </w:p>
        </w:tc>
        <w:tc>
          <w:tcPr>
            <w:tcW w:w="6040" w:type="dxa"/>
            <w:vAlign w:val="bottom"/>
          </w:tcPr>
          <w:p>
            <w:pPr>
              <w:ind w:left="840"/>
              <w:spacing w:after="0"/>
              <w:rPr>
                <w:sz w:val="20"/>
                <w:szCs w:val="20"/>
                <w:color w:val="auto"/>
              </w:rPr>
            </w:pPr>
            <w:r>
              <w:rPr>
                <w:rFonts w:ascii="Arial" w:cs="Arial" w:eastAsia="Arial" w:hAnsi="Arial"/>
                <w:sz w:val="18"/>
                <w:szCs w:val="18"/>
                <w:color w:val="auto"/>
              </w:rPr>
              <w:t>6</w:t>
            </w:r>
          </w:p>
        </w:tc>
      </w:tr>
    </w:tbl>
    <w:p>
      <w:pPr>
        <w:sectPr>
          <w:pgSz w:w="11900" w:h="16838" w:orient="portrait"/>
          <w:cols w:equalWidth="0" w:num="1">
            <w:col w:w="11380"/>
          </w:cols>
          <w:pgMar w:left="240" w:top="459" w:right="27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80" w:firstLine="456"/>
        <w:spacing w:after="0" w:line="271" w:lineRule="auto"/>
        <w:rPr>
          <w:sz w:val="20"/>
          <w:szCs w:val="20"/>
          <w:color w:val="auto"/>
        </w:rPr>
      </w:pPr>
      <w:r>
        <w:rPr>
          <w:rFonts w:ascii="Arial" w:cs="Arial" w:eastAsia="Arial" w:hAnsi="Arial"/>
          <w:sz w:val="17"/>
          <w:szCs w:val="17"/>
          <w:color w:val="auto"/>
        </w:rPr>
        <w:t>As a group, apart from Mr. McInerney, our directors include three former chief executive officers (Mr. Bolinder, Mr. Moffett and Mr. Restrepo), three former chief financial officers (Mr. Moffett, Mr. Moloney and Mr. Parke), six directors with a background in insurance (Mr. Bolinder, Mr. Moffett, Mr. Moloney, Mr. Parke, Ms. Perry and Mr. Restrepo), one director with mortgage experience (Mr. Moffett), seven directors with risk experience</w:t>
      </w:r>
    </w:p>
    <w:p>
      <w:pPr>
        <w:ind w:right="20"/>
        <w:spacing w:after="0" w:line="251" w:lineRule="auto"/>
        <w:rPr>
          <w:sz w:val="20"/>
          <w:szCs w:val="20"/>
          <w:color w:val="auto"/>
        </w:rPr>
      </w:pPr>
      <w:r>
        <w:rPr>
          <w:rFonts w:ascii="Arial" w:cs="Arial" w:eastAsia="Arial" w:hAnsi="Arial"/>
          <w:sz w:val="18"/>
          <w:szCs w:val="18"/>
          <w:color w:val="auto"/>
        </w:rPr>
        <w:t xml:space="preserve">(Mr. Bolinder, Mr. Moffett, Mr. Moloney, Mr. Parke, Ms. Perry, Mr. Restrepo and Mr. Riepe), eight directors with experience in mergers and acquisitions (Mr. Bolinder, Ms. Higgins, Mr. Moffett, Mr. Moloney, Mr. Parke, Ms. Perry, Mr. Restrepo and Mr. Riepe), seven directors with a background in finance and investment management (Mr. Bolinder, Ms. Higgins, Mr. Moffett, Mr. Moloney, Mr. Parke, Ms. Perry and Mr. Riepe), two directors with healthcare and medical experience (Sen. Conrad and Ms. Higgins), one director with consumer marketing experience (Mr. Riepe), three directors with public policy experience (Sen. Conrad, Mr. Moffett and Mr. Restrepo), three directors with technology experience (Mr. Moloney, Mr. Parke and Mr. Riepe), three directors with restructuring and turnaround experience (Ms. Higgins, Ms. Perry and Mr. Restrepo), five directors with a background in asset management (Mr. Bolinder, Ms. Higgins, Mr. Moffett, Ms. Perry and Mr. Riepe), and seven directors with international experience (Mr. Bolinder, Ms. Higgins, Mr. Moffett, Mr. Moloney, Mr. Parke, Ms. Perry and Mr. Riepe). See the </w:t>
      </w:r>
      <w:r>
        <w:rPr>
          <w:rFonts w:ascii="Arial" w:cs="Arial" w:eastAsia="Arial" w:hAnsi="Arial"/>
          <w:sz w:val="18"/>
          <w:szCs w:val="18"/>
          <w:i w:val="1"/>
          <w:iCs w:val="1"/>
          <w:color w:val="auto"/>
        </w:rPr>
        <w:t>Our Board of Directors</w:t>
      </w:r>
      <w:r>
        <w:rPr>
          <w:rFonts w:ascii="Arial" w:cs="Arial" w:eastAsia="Arial" w:hAnsi="Arial"/>
          <w:sz w:val="18"/>
          <w:szCs w:val="18"/>
          <w:color w:val="auto"/>
        </w:rPr>
        <w:t xml:space="preserve"> section above for a description of each director’s complete biographical information, qualifications and skills.</w:t>
      </w:r>
    </w:p>
    <w:p>
      <w:pPr>
        <w:spacing w:after="0" w:line="198" w:lineRule="exact"/>
        <w:rPr>
          <w:sz w:val="20"/>
          <w:szCs w:val="20"/>
          <w:color w:val="auto"/>
        </w:rPr>
      </w:pPr>
    </w:p>
    <w:p>
      <w:pPr>
        <w:ind w:right="40" w:firstLine="456"/>
        <w:spacing w:after="0" w:line="257" w:lineRule="auto"/>
        <w:rPr>
          <w:sz w:val="20"/>
          <w:szCs w:val="20"/>
          <w:color w:val="auto"/>
        </w:rPr>
      </w:pPr>
      <w:r>
        <w:rPr>
          <w:rFonts w:ascii="Arial" w:cs="Arial" w:eastAsia="Arial" w:hAnsi="Arial"/>
          <w:sz w:val="18"/>
          <w:szCs w:val="18"/>
          <w:color w:val="auto"/>
        </w:rPr>
        <w:t>Subject to the rights of the holders of any outstanding series of our preferred stock, our certificate of incorporation provides that the number of authorized directors of our company will be fixed from time to time by a resolution adopted by our Board of Directors, but will not be less than one nor more than fifteen. Our Governance Principles further state that the size of the Board should be in the range of seven to 15 directors. Our Board of Directors has set the size of the Board of Directors at ten members, effective December 14, 2016, but continues to evaluate the optimal size for the Board and may consider the addition of one or more independent directors to the Board in the future.</w:t>
      </w:r>
    </w:p>
    <w:p>
      <w:pPr>
        <w:spacing w:after="0" w:line="188" w:lineRule="exact"/>
        <w:rPr>
          <w:sz w:val="20"/>
          <w:szCs w:val="20"/>
          <w:color w:val="auto"/>
        </w:rPr>
      </w:pPr>
    </w:p>
    <w:p>
      <w:pPr>
        <w:ind w:right="60" w:firstLine="456"/>
        <w:spacing w:after="0" w:line="264" w:lineRule="auto"/>
        <w:rPr>
          <w:sz w:val="20"/>
          <w:szCs w:val="20"/>
          <w:color w:val="auto"/>
        </w:rPr>
      </w:pPr>
      <w:r>
        <w:rPr>
          <w:rFonts w:ascii="Arial" w:cs="Arial" w:eastAsia="Arial" w:hAnsi="Arial"/>
          <w:sz w:val="18"/>
          <w:szCs w:val="18"/>
          <w:color w:val="auto"/>
        </w:rPr>
        <w:t>Our Governance Principles provide that directors who serve as chief executive officers or in equivalent positions for other public companies should not serve on more than two other boards of public companies in addition to the Genworth Board and other directors should not serve on more than four other boards of public companies in addition to the Genworth Board.</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Committees</w:t>
      </w:r>
    </w:p>
    <w:p>
      <w:pPr>
        <w:spacing w:after="0" w:line="121" w:lineRule="exact"/>
        <w:rPr>
          <w:sz w:val="20"/>
          <w:szCs w:val="20"/>
          <w:color w:val="auto"/>
        </w:rPr>
      </w:pPr>
    </w:p>
    <w:p>
      <w:pPr>
        <w:ind w:firstLine="456"/>
        <w:spacing w:after="0" w:line="286" w:lineRule="auto"/>
        <w:rPr>
          <w:sz w:val="20"/>
          <w:szCs w:val="20"/>
          <w:color w:val="auto"/>
        </w:rPr>
      </w:pPr>
      <w:r>
        <w:rPr>
          <w:rFonts w:ascii="Arial" w:cs="Arial" w:eastAsia="Arial" w:hAnsi="Arial"/>
          <w:sz w:val="17"/>
          <w:szCs w:val="17"/>
          <w:color w:val="auto"/>
        </w:rPr>
        <w:t>The four standing committees of the Board are the Audit Committee, Management Development and Compensation Committee, Nominating and Corporate Governance Committee and Risk Committee. These committees are described below. The Board has established written charters for each of its four standing committees. Our Board of Directors may also establish various other committees to assist it in carrying out its responsibilities.</w:t>
      </w:r>
    </w:p>
    <w:p>
      <w:pPr>
        <w:spacing w:after="0" w:line="274"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Audit Committee</w:t>
      </w:r>
    </w:p>
    <w:p>
      <w:pPr>
        <w:spacing w:after="0" w:line="117"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The Board has established the Audit Committee in accordance with Section 3(a)(58)(A) of the Securities Exchange Act of 1934, as amended (the “Exchange Act”). The Audit Committee consists solely of “independent” directors as defined by the applicable rules of the NYSE and the SEC and by our Governance Principles. In addition, the Board has determined that all five of the Audit Committee’s current members, Messrs. Moloney, Parke, Restrepo and Riepe and Ms. Perry, are “audit committee financial experts,” as defined by SEC rules.</w:t>
      </w:r>
    </w:p>
    <w:p>
      <w:pPr>
        <w:spacing w:after="0" w:line="187"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 xml:space="preserve">As more fully set forth in its charter, which can be found in the corporate governance section of our website (to view, go to </w:t>
      </w:r>
      <w:r>
        <w:rPr>
          <w:rFonts w:ascii="Arial" w:cs="Arial" w:eastAsia="Arial" w:hAnsi="Arial"/>
          <w:sz w:val="18"/>
          <w:szCs w:val="18"/>
          <w:i w:val="1"/>
          <w:iCs w:val="1"/>
          <w:color w:val="auto"/>
        </w:rPr>
        <w:t>www.genworth.com</w:t>
      </w:r>
      <w:r>
        <w:rPr>
          <w:rFonts w:ascii="Arial" w:cs="Arial" w:eastAsia="Arial" w:hAnsi="Arial"/>
          <w:sz w:val="18"/>
          <w:szCs w:val="18"/>
          <w:color w:val="auto"/>
        </w:rPr>
        <w:t>, select “Investors,” then select “Corporate Governance,” then select “Audit Committee” and finally select “Charter”), the purpose of the Audit Committee is to assist the Board in its oversight of the integrity of the company’s financial statements, the company’s compliance with legal and regulatory requirements, the independence and qualifications of the company’s independent registered public</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459" w:right="2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accounting firm and the performance of the company’s internal audit function and independent auditors. The Audit Committee’s duties include:</w:t>
      </w:r>
    </w:p>
    <w:p>
      <w:pPr>
        <w:spacing w:after="0" w:line="131" w:lineRule="exact"/>
        <w:rPr>
          <w:sz w:val="20"/>
          <w:szCs w:val="20"/>
          <w:color w:val="auto"/>
        </w:rPr>
      </w:pPr>
    </w:p>
    <w:p>
      <w:pPr>
        <w:ind w:left="900" w:right="460" w:hanging="325"/>
        <w:spacing w:after="0" w:line="277" w:lineRule="auto"/>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color w:val="auto"/>
        </w:rPr>
        <w:t>discussing with management and our independent registered public accounting firm our annual and quarterly financial statements, earnings releases and financial information and earnings guidance provided to analysts and rating agencies;</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color w:val="auto"/>
        </w:rPr>
        <w:t>selecting our independent registered public accounting firm and approving the terms of its engagement;</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4"/>
        </w:numPr>
        <w:rPr>
          <w:rFonts w:ascii="Arial" w:cs="Arial" w:eastAsia="Arial" w:hAnsi="Arial"/>
          <w:sz w:val="16"/>
          <w:szCs w:val="16"/>
          <w:color w:val="auto"/>
        </w:rPr>
      </w:pPr>
      <w:r>
        <w:rPr>
          <w:rFonts w:ascii="Arial" w:cs="Arial" w:eastAsia="Arial" w:hAnsi="Arial"/>
          <w:sz w:val="16"/>
          <w:szCs w:val="16"/>
          <w:color w:val="auto"/>
        </w:rPr>
        <w:t>discussing with management and our independent registered accounting firm any audit problems or difficulties and management’s response;</w:t>
      </w:r>
    </w:p>
    <w:p>
      <w:pPr>
        <w:spacing w:after="0" w:line="153" w:lineRule="exact"/>
        <w:rPr>
          <w:rFonts w:ascii="Arial" w:cs="Arial" w:eastAsia="Arial" w:hAnsi="Arial"/>
          <w:sz w:val="16"/>
          <w:szCs w:val="16"/>
          <w:color w:val="auto"/>
        </w:rPr>
      </w:pPr>
    </w:p>
    <w:p>
      <w:pPr>
        <w:ind w:left="900" w:hanging="325"/>
        <w:spacing w:after="0" w:line="259" w:lineRule="auto"/>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color w:val="auto"/>
        </w:rPr>
        <w:t>independently and/or in coordination with the Risk Committee, overseeing risks associated with financial accounting and reporting, including the system of internal control, which includes reviewing and discussing with management and our independent registered public accounting firm the company’s risk assessment process and management policies with respect to the company’s major financial risk exposure and the procedures utilized by management to identify and mitigate the exposure to such risks;</w:t>
      </w:r>
    </w:p>
    <w:p>
      <w:pPr>
        <w:spacing w:after="0" w:line="92" w:lineRule="exact"/>
        <w:rPr>
          <w:rFonts w:ascii="Arial" w:cs="Arial" w:eastAsia="Arial" w:hAnsi="Arial"/>
          <w:sz w:val="18"/>
          <w:szCs w:val="18"/>
          <w:color w:val="auto"/>
        </w:rPr>
      </w:pPr>
    </w:p>
    <w:p>
      <w:pPr>
        <w:ind w:left="900" w:hanging="325"/>
        <w:spacing w:after="0"/>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color w:val="auto"/>
        </w:rPr>
        <w:t>reviewing our financial reporting and accounting standards and principles;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color w:val="auto"/>
        </w:rPr>
        <w:t>reviewing our internal system of financial controls and the results of internal audits;</w:t>
      </w:r>
    </w:p>
    <w:p>
      <w:pPr>
        <w:spacing w:after="0" w:line="130" w:lineRule="exact"/>
        <w:rPr>
          <w:rFonts w:ascii="Arial" w:cs="Arial" w:eastAsia="Arial" w:hAnsi="Arial"/>
          <w:sz w:val="18"/>
          <w:szCs w:val="18"/>
          <w:color w:val="auto"/>
        </w:rPr>
      </w:pPr>
    </w:p>
    <w:p>
      <w:pPr>
        <w:ind w:left="900" w:right="420" w:hanging="325"/>
        <w:spacing w:after="0" w:line="277" w:lineRule="auto"/>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obtaining and reviewing formal written reports from the independent registered public accounting firm regarding its internal quality-control procedures;</w:t>
      </w:r>
    </w:p>
    <w:p>
      <w:pPr>
        <w:spacing w:after="0" w:line="75" w:lineRule="exact"/>
        <w:rPr>
          <w:rFonts w:ascii="Arial" w:cs="Arial" w:eastAsia="Arial" w:hAnsi="Arial"/>
          <w:sz w:val="18"/>
          <w:szCs w:val="18"/>
          <w:color w:val="auto"/>
        </w:rPr>
      </w:pPr>
    </w:p>
    <w:p>
      <w:pPr>
        <w:ind w:left="900" w:right="240" w:hanging="325"/>
        <w:spacing w:after="0" w:line="277" w:lineRule="auto"/>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color w:val="auto"/>
        </w:rPr>
        <w:t>reviewing and investigating any matters pertaining to the integrity of management, including conflicts of interest, or adherence to standards of business conduct;</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color w:val="auto"/>
        </w:rPr>
        <w:t>preparing and publishing a committee report;</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color w:val="auto"/>
        </w:rPr>
        <w:t>establishing procedures for the hiring of employees or former employees of our independent registered public accounting firm;</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4"/>
        </w:numPr>
        <w:rPr>
          <w:rFonts w:ascii="Arial" w:cs="Arial" w:eastAsia="Arial" w:hAnsi="Arial"/>
          <w:sz w:val="16"/>
          <w:szCs w:val="16"/>
          <w:color w:val="auto"/>
        </w:rPr>
      </w:pPr>
      <w:r>
        <w:rPr>
          <w:rFonts w:ascii="Arial" w:cs="Arial" w:eastAsia="Arial" w:hAnsi="Arial"/>
          <w:sz w:val="16"/>
          <w:szCs w:val="16"/>
          <w:color w:val="auto"/>
        </w:rPr>
        <w:t>establishing procedures for the receipt, retention and treatment of complaints on accounting, internal accounting controls or auditing matters; and</w:t>
      </w:r>
    </w:p>
    <w:p>
      <w:pPr>
        <w:spacing w:after="0" w:line="153" w:lineRule="exact"/>
        <w:rPr>
          <w:rFonts w:ascii="Arial" w:cs="Arial" w:eastAsia="Arial" w:hAnsi="Arial"/>
          <w:sz w:val="16"/>
          <w:szCs w:val="16"/>
          <w:color w:val="auto"/>
        </w:rPr>
      </w:pPr>
    </w:p>
    <w:p>
      <w:pPr>
        <w:ind w:left="900" w:right="220" w:hanging="325"/>
        <w:spacing w:after="0" w:line="277" w:lineRule="auto"/>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color w:val="auto"/>
        </w:rPr>
        <w:t>establishing policies and procedures for the review and approval of all proposed transactions with “Related Persons,” as that term is defined in Section 11(b) of our Governance Principles.</w:t>
      </w:r>
    </w:p>
    <w:p>
      <w:pPr>
        <w:spacing w:after="0" w:line="170" w:lineRule="exact"/>
        <w:rPr>
          <w:sz w:val="20"/>
          <w:szCs w:val="20"/>
          <w:color w:val="auto"/>
        </w:rPr>
      </w:pPr>
    </w:p>
    <w:p>
      <w:pPr>
        <w:ind w:right="240" w:firstLine="456"/>
        <w:spacing w:after="0" w:line="277" w:lineRule="auto"/>
        <w:rPr>
          <w:sz w:val="20"/>
          <w:szCs w:val="20"/>
          <w:color w:val="auto"/>
        </w:rPr>
      </w:pPr>
      <w:r>
        <w:rPr>
          <w:rFonts w:ascii="Arial" w:cs="Arial" w:eastAsia="Arial" w:hAnsi="Arial"/>
          <w:sz w:val="18"/>
          <w:szCs w:val="18"/>
          <w:color w:val="auto"/>
        </w:rPr>
        <w:t>The Audit Committee has determined that in view of the increased demands and responsibilities of the committee, its members generally should not serve on more than two additional audit committees of other public companies.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 Development and Compensation Committee</w:t>
      </w:r>
    </w:p>
    <w:p>
      <w:pPr>
        <w:spacing w:after="0" w:line="117" w:lineRule="exact"/>
        <w:rPr>
          <w:sz w:val="20"/>
          <w:szCs w:val="20"/>
          <w:color w:val="auto"/>
        </w:rPr>
      </w:pPr>
    </w:p>
    <w:p>
      <w:pPr>
        <w:ind w:right="60" w:firstLine="456"/>
        <w:spacing w:after="0" w:line="279" w:lineRule="auto"/>
        <w:rPr>
          <w:sz w:val="20"/>
          <w:szCs w:val="20"/>
          <w:color w:val="auto"/>
        </w:rPr>
      </w:pPr>
      <w:r>
        <w:rPr>
          <w:rFonts w:ascii="Arial" w:cs="Arial" w:eastAsia="Arial" w:hAnsi="Arial"/>
          <w:sz w:val="17"/>
          <w:szCs w:val="17"/>
          <w:color w:val="auto"/>
        </w:rPr>
        <w:t xml:space="preserve">The Management Development and Compensation Committee (the “Compensation Committee”) consists solely of “independent” directors as defined by the applicable rules of the NYSE and by our Governance Principles. As more fully set forth in its charter, which can be found in the corporate governance section of our website (to view, go to </w:t>
      </w:r>
      <w:r>
        <w:rPr>
          <w:rFonts w:ascii="Arial" w:cs="Arial" w:eastAsia="Arial" w:hAnsi="Arial"/>
          <w:sz w:val="17"/>
          <w:szCs w:val="17"/>
          <w:i w:val="1"/>
          <w:iCs w:val="1"/>
          <w:color w:val="auto"/>
        </w:rPr>
        <w:t>www.genworth.com</w:t>
      </w:r>
      <w:r>
        <w:rPr>
          <w:rFonts w:ascii="Arial" w:cs="Arial" w:eastAsia="Arial" w:hAnsi="Arial"/>
          <w:sz w:val="17"/>
          <w:szCs w:val="17"/>
          <w:color w:val="auto"/>
        </w:rPr>
        <w:t>, select “Investors,” then select “Corporate Governance,” then select “Management Development and Compensation Committee” and finally select “Charter”), the Compensation Committee’s responsibilities include:</w:t>
      </w:r>
    </w:p>
    <w:p>
      <w:pPr>
        <w:spacing w:after="0" w:line="77" w:lineRule="exact"/>
        <w:rPr>
          <w:sz w:val="20"/>
          <w:szCs w:val="20"/>
          <w:color w:val="auto"/>
        </w:rPr>
      </w:pPr>
    </w:p>
    <w:p>
      <w:pPr>
        <w:ind w:left="900" w:right="400" w:hanging="325"/>
        <w:spacing w:after="0" w:line="342" w:lineRule="auto"/>
        <w:tabs>
          <w:tab w:leader="none" w:pos="900" w:val="left"/>
        </w:tabs>
        <w:numPr>
          <w:ilvl w:val="0"/>
          <w:numId w:val="5"/>
        </w:numPr>
        <w:rPr>
          <w:rFonts w:ascii="Arial" w:cs="Arial" w:eastAsia="Arial" w:hAnsi="Arial"/>
          <w:sz w:val="16"/>
          <w:szCs w:val="16"/>
          <w:color w:val="auto"/>
        </w:rPr>
      </w:pPr>
      <w:r>
        <w:rPr>
          <w:rFonts w:ascii="Arial" w:cs="Arial" w:eastAsia="Arial" w:hAnsi="Arial"/>
          <w:sz w:val="16"/>
          <w:szCs w:val="16"/>
          <w:color w:val="auto"/>
        </w:rPr>
        <w:t>reviewing and approving on an annual basis the corporate goals and objectives with respect to the compensation of our CEO, evaluating our CEO’s performance in light of these goals and objectives and setting our CEO’s compensation based on such evaluation;</w:t>
      </w:r>
    </w:p>
    <w:p>
      <w:pPr>
        <w:spacing w:after="0" w:line="29" w:lineRule="exact"/>
        <w:rPr>
          <w:rFonts w:ascii="Arial" w:cs="Arial" w:eastAsia="Arial" w:hAnsi="Arial"/>
          <w:sz w:val="16"/>
          <w:szCs w:val="16"/>
          <w:color w:val="auto"/>
        </w:rPr>
      </w:pPr>
    </w:p>
    <w:p>
      <w:pPr>
        <w:ind w:left="900" w:right="220" w:hanging="325"/>
        <w:spacing w:after="0" w:line="277" w:lineRule="auto"/>
        <w:tabs>
          <w:tab w:leader="none" w:pos="90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reviewing and approving on an annual basis the evaluation process and compensation structure for our other officers, including evaluating and setting the compensation for our senior executive officers;</w:t>
      </w:r>
    </w:p>
    <w:p>
      <w:pPr>
        <w:spacing w:after="0" w:line="1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380"/>
          </w:cols>
          <w:pgMar w:left="240" w:top="459" w:right="27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hanging="325"/>
        <w:spacing w:after="0"/>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reviewing and approving our variable incentive compensation and other stock-based compensation plans;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6"/>
        </w:numPr>
        <w:rPr>
          <w:rFonts w:ascii="Arial" w:cs="Arial" w:eastAsia="Arial" w:hAnsi="Arial"/>
          <w:sz w:val="16"/>
          <w:szCs w:val="16"/>
          <w:color w:val="auto"/>
        </w:rPr>
      </w:pPr>
      <w:r>
        <w:rPr>
          <w:rFonts w:ascii="Arial" w:cs="Arial" w:eastAsia="Arial" w:hAnsi="Arial"/>
          <w:sz w:val="16"/>
          <w:szCs w:val="16"/>
          <w:color w:val="auto"/>
        </w:rPr>
        <w:t>assisting the Board in developing and evaluating potential candidates for executive positions and overseeing the development of succession plans;</w:t>
      </w:r>
    </w:p>
    <w:p>
      <w:pPr>
        <w:spacing w:after="0" w:line="153" w:lineRule="exact"/>
        <w:rPr>
          <w:rFonts w:ascii="Arial" w:cs="Arial" w:eastAsia="Arial" w:hAnsi="Arial"/>
          <w:sz w:val="16"/>
          <w:szCs w:val="16"/>
          <w:color w:val="auto"/>
        </w:rPr>
      </w:pPr>
    </w:p>
    <w:p>
      <w:pPr>
        <w:ind w:left="900" w:hanging="325"/>
        <w:spacing w:after="0"/>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assessing the structure and composition of the leadership of the company;</w:t>
      </w:r>
    </w:p>
    <w:p>
      <w:pPr>
        <w:spacing w:after="0" w:line="130" w:lineRule="exact"/>
        <w:rPr>
          <w:rFonts w:ascii="Arial" w:cs="Arial" w:eastAsia="Arial" w:hAnsi="Arial"/>
          <w:sz w:val="18"/>
          <w:szCs w:val="18"/>
          <w:color w:val="auto"/>
        </w:rPr>
      </w:pPr>
    </w:p>
    <w:p>
      <w:pPr>
        <w:ind w:left="900" w:right="180" w:hanging="325"/>
        <w:spacing w:after="0" w:line="277" w:lineRule="auto"/>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reviewing and discussing our Compensation Discussion and Analysis, recommending its inclusion to the Board in our annual reports and proxy statements and publishing a committee report;</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overseeing risks relating to our compensation programs; and</w:t>
      </w:r>
    </w:p>
    <w:p>
      <w:pPr>
        <w:spacing w:after="0" w:line="130" w:lineRule="exact"/>
        <w:rPr>
          <w:rFonts w:ascii="Arial" w:cs="Arial" w:eastAsia="Arial" w:hAnsi="Arial"/>
          <w:sz w:val="18"/>
          <w:szCs w:val="18"/>
          <w:color w:val="auto"/>
        </w:rPr>
      </w:pPr>
    </w:p>
    <w:p>
      <w:pPr>
        <w:ind w:left="900" w:right="120" w:hanging="325"/>
        <w:spacing w:after="0" w:line="277" w:lineRule="auto"/>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determining whether the work of any compensation consultant who had a role in determining or recommending the amount or form of executive or director compensation raised any conflict of interest.</w:t>
      </w:r>
    </w:p>
    <w:p>
      <w:pPr>
        <w:spacing w:after="0" w:line="170"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Under its charter, the Compensation Committee has authority to delegate any of its responsibilities to subcommittees as the Compensation Committee may deem appropriate in its sole discretion. The Compensation Committee’s report appears in Item 11 of this Amendment. Additional information regarding the Compensation Committee’s processes and procedures for consideration of executive compensation is also provided in Item 11—</w:t>
      </w:r>
      <w:r>
        <w:rPr>
          <w:rFonts w:ascii="Arial" w:cs="Arial" w:eastAsia="Arial" w:hAnsi="Arial"/>
          <w:sz w:val="18"/>
          <w:szCs w:val="18"/>
          <w:i w:val="1"/>
          <w:iCs w:val="1"/>
          <w:color w:val="auto"/>
        </w:rPr>
        <w:t>Compensation Discussion</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and Analysis </w:t>
      </w:r>
      <w:r>
        <w:rPr>
          <w:rFonts w:ascii="Arial" w:cs="Arial" w:eastAsia="Arial" w:hAnsi="Arial"/>
          <w:sz w:val="18"/>
          <w:szCs w:val="18"/>
          <w:color w:val="auto"/>
        </w:rPr>
        <w:t>section below.</w:t>
      </w:r>
    </w:p>
    <w:p>
      <w:pPr>
        <w:spacing w:after="0" w:line="295"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Nominating and Corporate Governance Committee</w:t>
      </w:r>
    </w:p>
    <w:p>
      <w:pPr>
        <w:spacing w:after="0" w:line="117"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 xml:space="preserve">The Nominating and Corporate Governance Committee (the “Nominating Committee”) consists solely of “independent” directors as defined by the applicable rules of the NYSE and by our Governance Principles. As more fully set forth in its charter, which can be found in the corporate governance section of our website (to view, go to </w:t>
      </w:r>
      <w:r>
        <w:rPr>
          <w:rFonts w:ascii="Arial" w:cs="Arial" w:eastAsia="Arial" w:hAnsi="Arial"/>
          <w:sz w:val="18"/>
          <w:szCs w:val="18"/>
          <w:i w:val="1"/>
          <w:iCs w:val="1"/>
          <w:color w:val="auto"/>
        </w:rPr>
        <w:t>www.genworth.com</w:t>
      </w:r>
      <w:r>
        <w:rPr>
          <w:rFonts w:ascii="Arial" w:cs="Arial" w:eastAsia="Arial" w:hAnsi="Arial"/>
          <w:sz w:val="18"/>
          <w:szCs w:val="18"/>
          <w:color w:val="auto"/>
        </w:rPr>
        <w:t>, select “Investors,” then select “Corporate Governance,” then select “Nominating and Corporate Governance Committee” and finally select “Charter”), the Nominating Committee’s responsibilities include:</w:t>
      </w:r>
    </w:p>
    <w:p>
      <w:pPr>
        <w:spacing w:after="0" w:line="92" w:lineRule="exact"/>
        <w:rPr>
          <w:sz w:val="20"/>
          <w:szCs w:val="20"/>
          <w:color w:val="auto"/>
        </w:rPr>
      </w:pPr>
    </w:p>
    <w:p>
      <w:pPr>
        <w:ind w:left="900" w:hanging="325"/>
        <w:spacing w:after="0"/>
        <w:tabs>
          <w:tab w:leader="none" w:pos="900" w:val="left"/>
        </w:tabs>
        <w:numPr>
          <w:ilvl w:val="0"/>
          <w:numId w:val="7"/>
        </w:numPr>
        <w:rPr>
          <w:rFonts w:ascii="Arial" w:cs="Arial" w:eastAsia="Arial" w:hAnsi="Arial"/>
          <w:sz w:val="18"/>
          <w:szCs w:val="18"/>
          <w:color w:val="auto"/>
        </w:rPr>
      </w:pPr>
      <w:r>
        <w:rPr>
          <w:rFonts w:ascii="Arial" w:cs="Arial" w:eastAsia="Arial" w:hAnsi="Arial"/>
          <w:sz w:val="18"/>
          <w:szCs w:val="18"/>
          <w:color w:val="auto"/>
        </w:rPr>
        <w:t>leading the search for individuals qualified to become members of our Board;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reviewing the Board’s committee structure and recommending committee members;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7"/>
        </w:numPr>
        <w:rPr>
          <w:rFonts w:ascii="Arial" w:cs="Arial" w:eastAsia="Arial" w:hAnsi="Arial"/>
          <w:sz w:val="18"/>
          <w:szCs w:val="18"/>
          <w:color w:val="auto"/>
        </w:rPr>
      </w:pPr>
      <w:r>
        <w:rPr>
          <w:rFonts w:ascii="Arial" w:cs="Arial" w:eastAsia="Arial" w:hAnsi="Arial"/>
          <w:sz w:val="18"/>
          <w:szCs w:val="18"/>
          <w:color w:val="auto"/>
        </w:rPr>
        <w:t>developing and annually reviewing the governance principles;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7"/>
        </w:numPr>
        <w:rPr>
          <w:rFonts w:ascii="Arial" w:cs="Arial" w:eastAsia="Arial" w:hAnsi="Arial"/>
          <w:sz w:val="18"/>
          <w:szCs w:val="18"/>
          <w:color w:val="auto"/>
        </w:rPr>
      </w:pPr>
      <w:r>
        <w:rPr>
          <w:rFonts w:ascii="Arial" w:cs="Arial" w:eastAsia="Arial" w:hAnsi="Arial"/>
          <w:sz w:val="18"/>
          <w:szCs w:val="18"/>
          <w:color w:val="auto"/>
        </w:rPr>
        <w:t>overseeing the annual self-evaluations of the Board and its committees;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7"/>
        </w:numPr>
        <w:rPr>
          <w:rFonts w:ascii="Arial" w:cs="Arial" w:eastAsia="Arial" w:hAnsi="Arial"/>
          <w:sz w:val="18"/>
          <w:szCs w:val="18"/>
          <w:color w:val="auto"/>
        </w:rPr>
      </w:pPr>
      <w:r>
        <w:rPr>
          <w:rFonts w:ascii="Arial" w:cs="Arial" w:eastAsia="Arial" w:hAnsi="Arial"/>
          <w:sz w:val="18"/>
          <w:szCs w:val="18"/>
          <w:color w:val="auto"/>
        </w:rPr>
        <w:t>overseeing risks related to corporate governance;</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reviewing annually director compensation and benefits;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7"/>
        </w:numPr>
        <w:rPr>
          <w:rFonts w:ascii="Arial" w:cs="Arial" w:eastAsia="Arial" w:hAnsi="Arial"/>
          <w:sz w:val="18"/>
          <w:szCs w:val="18"/>
          <w:color w:val="auto"/>
        </w:rPr>
      </w:pPr>
      <w:r>
        <w:rPr>
          <w:rFonts w:ascii="Arial" w:cs="Arial" w:eastAsia="Arial" w:hAnsi="Arial"/>
          <w:sz w:val="18"/>
          <w:szCs w:val="18"/>
          <w:color w:val="auto"/>
        </w:rPr>
        <w:t>periodically reviewing the environmental, social and governance practices of the company.</w:t>
      </w:r>
    </w:p>
    <w:p>
      <w:pPr>
        <w:spacing w:after="0" w:line="225"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The Nominating Committee makes recommendations to the Board of Directors of candidates for election to our Board, and our Board of Directors nominates director candidates and makes recommendations to our stockholders. This committee will consider all stockholder recommendations for candidates for the Board, which should be sent to the Nominating and Corporate Governance Committee, c/o Corporate Secretary, Genworth Financial, Inc., 6620 West Broad Street, Building #1, Richmond, Virginia 23230.</w:t>
      </w:r>
    </w:p>
    <w:p>
      <w:pPr>
        <w:spacing w:after="0" w:line="187" w:lineRule="exact"/>
        <w:rPr>
          <w:sz w:val="20"/>
          <w:szCs w:val="20"/>
          <w:color w:val="auto"/>
        </w:rPr>
      </w:pPr>
    </w:p>
    <w:p>
      <w:pPr>
        <w:ind w:right="340" w:firstLine="456"/>
        <w:spacing w:after="0" w:line="264" w:lineRule="auto"/>
        <w:rPr>
          <w:sz w:val="20"/>
          <w:szCs w:val="20"/>
          <w:color w:val="auto"/>
        </w:rPr>
      </w:pPr>
      <w:r>
        <w:rPr>
          <w:rFonts w:ascii="Arial" w:cs="Arial" w:eastAsia="Arial" w:hAnsi="Arial"/>
          <w:sz w:val="18"/>
          <w:szCs w:val="18"/>
          <w:color w:val="auto"/>
        </w:rPr>
        <w:t>The Nominating Committee believes all director nominees should meet certain qualifications and possess certain qualities or skills that, when considered in light of the qualities and skills of the other director nominees, assist the Board in overseeing our operations and developing and pursuing its strategic objectives. The Nominating Committee believes each director nominee should at a minimum:</w:t>
      </w:r>
    </w:p>
    <w:p>
      <w:pPr>
        <w:spacing w:after="0" w:line="87" w:lineRule="exact"/>
        <w:rPr>
          <w:sz w:val="20"/>
          <w:szCs w:val="20"/>
          <w:color w:val="auto"/>
        </w:rPr>
      </w:pPr>
    </w:p>
    <w:p>
      <w:pPr>
        <w:ind w:left="5660" w:right="5240" w:hanging="5206"/>
        <w:spacing w:after="0" w:line="536" w:lineRule="auto"/>
        <w:tabs>
          <w:tab w:leader="none" w:pos="890" w:val="left"/>
        </w:tabs>
        <w:numPr>
          <w:ilvl w:val="0"/>
          <w:numId w:val="8"/>
        </w:numPr>
        <w:rPr>
          <w:rFonts w:ascii="Arial" w:cs="Arial" w:eastAsia="Arial" w:hAnsi="Arial"/>
          <w:sz w:val="16"/>
          <w:szCs w:val="16"/>
          <w:color w:val="auto"/>
        </w:rPr>
      </w:pPr>
      <w:r>
        <w:rPr>
          <w:rFonts w:ascii="Arial" w:cs="Arial" w:eastAsia="Arial" w:hAnsi="Arial"/>
          <w:sz w:val="16"/>
          <w:szCs w:val="16"/>
          <w:color w:val="auto"/>
        </w:rPr>
        <w:t>possess the highest personal and professional ethics, integrity and values; 9</w:t>
      </w:r>
    </w:p>
    <w:p>
      <w:pPr>
        <w:sectPr>
          <w:pgSz w:w="11900" w:h="16838" w:orient="portrait"/>
          <w:cols w:equalWidth="0" w:num="1">
            <w:col w:w="11420"/>
          </w:cols>
          <w:pgMar w:left="240" w:top="459" w:right="23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hanging="446"/>
        <w:spacing w:after="0"/>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be committed to representing the long-term interests of our stockholders;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have an inquisitive and objective perspective, practical wisdom and mature judgment;</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bring a distinct skill set of value to the Board and the company when viewed alone and in combination with other directors;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be willing and able to devote sufficient time to carrying out his or her duties and responsibilities effectively; and</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be committed to serve on the Board for an extended period of time.</w:t>
      </w:r>
    </w:p>
    <w:p>
      <w:pPr>
        <w:spacing w:after="0" w:line="225" w:lineRule="exact"/>
        <w:rPr>
          <w:sz w:val="20"/>
          <w:szCs w:val="20"/>
          <w:color w:val="auto"/>
        </w:rPr>
      </w:pPr>
    </w:p>
    <w:p>
      <w:pPr>
        <w:ind w:right="80" w:firstLine="456"/>
        <w:spacing w:after="0" w:line="264" w:lineRule="auto"/>
        <w:rPr>
          <w:sz w:val="20"/>
          <w:szCs w:val="20"/>
          <w:color w:val="auto"/>
        </w:rPr>
      </w:pPr>
      <w:r>
        <w:rPr>
          <w:rFonts w:ascii="Arial" w:cs="Arial" w:eastAsia="Arial" w:hAnsi="Arial"/>
          <w:sz w:val="18"/>
          <w:szCs w:val="18"/>
          <w:color w:val="auto"/>
        </w:rPr>
        <w:t>The Nominating Committee, as a matter of practice, takes diversity factors into account when considering potential director nominees. The company does not have a formal policy on Board diversity. The qualifications, qualities and skills required for directors are further set forth in Section 3 of Genworth’s Governance Principles, which are available on our website.</w:t>
      </w:r>
    </w:p>
    <w:p>
      <w:pPr>
        <w:spacing w:after="0" w:line="181"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In addition to considering candidates suggested by stockholders, the Nominating Committee considers potential candidates recommended by current directors, company officers, employees and others. We have also engaged an outside search firm to assist us in identifying and evaluating potential director candidates. Ms. Perry and Mr. Restrepo were each evaluated as a candidate for the Board by our Nominating Committee at the suggestion of our outside search firm. The Nominating Committee considers all potential candidates regardless of the source of the recommendation and determines whether potential candidates meet our qualifications, qualities and skills for directors. Where there is an interest in a particular candidate, the Nominating Committee’s review is multi-faceted and typically includes a review of written materials regarding the candidate, due diligence performed internally and externally, a review of a completed candidate questionnaire and one or more interviews with members of the Nominating Committee.</w:t>
      </w:r>
    </w:p>
    <w:p>
      <w:pPr>
        <w:spacing w:after="0" w:line="167" w:lineRule="exact"/>
        <w:rPr>
          <w:sz w:val="20"/>
          <w:szCs w:val="20"/>
          <w:color w:val="auto"/>
        </w:rPr>
      </w:pPr>
    </w:p>
    <w:p>
      <w:pPr>
        <w:ind w:right="120" w:firstLine="456"/>
        <w:spacing w:after="0" w:line="259" w:lineRule="auto"/>
        <w:rPr>
          <w:sz w:val="20"/>
          <w:szCs w:val="20"/>
          <w:color w:val="auto"/>
        </w:rPr>
      </w:pPr>
      <w:r>
        <w:rPr>
          <w:rFonts w:ascii="Arial" w:cs="Arial" w:eastAsia="Arial" w:hAnsi="Arial"/>
          <w:sz w:val="18"/>
          <w:szCs w:val="18"/>
          <w:color w:val="auto"/>
        </w:rPr>
        <w:t>The Nominating Committee is also responsible for reviewing periodically the nature and amount of our political contributions, the operations of our Political Action Committee and our public disclosure regarding such activities. In addition, the Nominating Committee periodically reviews our policies and practices on matters of corporate citizenship, including philanthropic programs and financial and other support of charitable, education and cultural organizations.</w:t>
      </w:r>
    </w:p>
    <w:p>
      <w:pPr>
        <w:spacing w:after="0" w:line="295"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Risk Committee</w:t>
      </w:r>
    </w:p>
    <w:p>
      <w:pPr>
        <w:spacing w:after="0" w:line="117" w:lineRule="exact"/>
        <w:rPr>
          <w:sz w:val="20"/>
          <w:szCs w:val="20"/>
          <w:color w:val="auto"/>
        </w:rPr>
      </w:pPr>
    </w:p>
    <w:p>
      <w:pPr>
        <w:ind w:right="20" w:firstLine="456"/>
        <w:spacing w:after="0" w:line="264" w:lineRule="auto"/>
        <w:rPr>
          <w:sz w:val="20"/>
          <w:szCs w:val="20"/>
          <w:color w:val="auto"/>
        </w:rPr>
      </w:pPr>
      <w:r>
        <w:rPr>
          <w:rFonts w:ascii="Arial" w:cs="Arial" w:eastAsia="Arial" w:hAnsi="Arial"/>
          <w:sz w:val="18"/>
          <w:szCs w:val="18"/>
          <w:color w:val="auto"/>
        </w:rPr>
        <w:t>The purpose of the Risk Committee is to assist the Board in its oversight of all areas relating to Genworth’s enterprise risk management policies and the related risk profiles, including, but not limited to, the following major risk exposures: credit risks; market risks; insurance risks; housing risks; operational risks; model risks; and any other risk that poses a material threat to the viability of the company.</w:t>
      </w:r>
    </w:p>
    <w:p>
      <w:pPr>
        <w:spacing w:after="0" w:line="181" w:lineRule="exact"/>
        <w:rPr>
          <w:sz w:val="20"/>
          <w:szCs w:val="20"/>
          <w:color w:val="auto"/>
        </w:rPr>
      </w:pPr>
    </w:p>
    <w:p>
      <w:pPr>
        <w:jc w:val="both"/>
        <w:ind w:right="160" w:firstLine="456"/>
        <w:spacing w:after="0" w:line="342" w:lineRule="auto"/>
        <w:rPr>
          <w:sz w:val="20"/>
          <w:szCs w:val="20"/>
          <w:color w:val="auto"/>
        </w:rPr>
      </w:pPr>
      <w:r>
        <w:rPr>
          <w:rFonts w:ascii="Arial" w:cs="Arial" w:eastAsia="Arial" w:hAnsi="Arial"/>
          <w:sz w:val="16"/>
          <w:szCs w:val="16"/>
          <w:color w:val="auto"/>
        </w:rPr>
        <w:t xml:space="preserve">As more fully set forth in its charter, which can be found in the corporate governance section of our website (to view, go to </w:t>
      </w:r>
      <w:r>
        <w:rPr>
          <w:rFonts w:ascii="Arial" w:cs="Arial" w:eastAsia="Arial" w:hAnsi="Arial"/>
          <w:sz w:val="16"/>
          <w:szCs w:val="16"/>
          <w:i w:val="1"/>
          <w:iCs w:val="1"/>
          <w:color w:val="auto"/>
        </w:rPr>
        <w:t>www.genworth.com</w:t>
      </w:r>
      <w:r>
        <w:rPr>
          <w:rFonts w:ascii="Arial" w:cs="Arial" w:eastAsia="Arial" w:hAnsi="Arial"/>
          <w:sz w:val="16"/>
          <w:szCs w:val="16"/>
          <w:color w:val="auto"/>
        </w:rPr>
        <w:t>, select “Investors,” then select “Corporate Governance,” then select “Risk Committee” and finally select “Charter”), the Risk Committee’s responsibilities include:</w:t>
      </w:r>
    </w:p>
    <w:p>
      <w:pPr>
        <w:spacing w:after="0" w:line="29" w:lineRule="exact"/>
        <w:rPr>
          <w:sz w:val="20"/>
          <w:szCs w:val="20"/>
          <w:color w:val="auto"/>
        </w:rPr>
      </w:pPr>
    </w:p>
    <w:p>
      <w:pPr>
        <w:ind w:left="900" w:right="120" w:hanging="325"/>
        <w:spacing w:after="0" w:line="277" w:lineRule="auto"/>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reviewing and recommending annually for Board approval (i) the company’s enterprise risk management policies and (ii) the risk appetite of the company, and to oversee the implementation and maintenance of such policies and appetite;</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receiving regular reports on the efforts to implement and comply with regulatory requirements related to risk management;</w:t>
      </w:r>
    </w:p>
    <w:p>
      <w:pPr>
        <w:spacing w:after="0" w:line="130" w:lineRule="exact"/>
        <w:rPr>
          <w:rFonts w:ascii="Arial" w:cs="Arial" w:eastAsia="Arial" w:hAnsi="Arial"/>
          <w:sz w:val="18"/>
          <w:szCs w:val="18"/>
          <w:color w:val="auto"/>
        </w:rPr>
      </w:pPr>
    </w:p>
    <w:p>
      <w:pPr>
        <w:ind w:left="900" w:right="100" w:hanging="325"/>
        <w:spacing w:after="0" w:line="277" w:lineRule="auto"/>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reviewing and overseeing the control, management and mitigation processes relating to Genworth’s enterprise risk management policies and risk appetite;</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reviewing Genworth’s ability to assess and manage significant and emerging risks;</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459" w:right="23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hanging="325"/>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reviewing and analyzing Genworth’s major risk exposures, strategies, processes, and policies, with accompanying stress tests;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reviewing and overseeing Genworth’s internal risk function;</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periodically reviewing and overseeing Genworth’s compliance processes and policies;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receiving reports regarding risks associated with litigation and investigations/regulatory matters involving the company;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discussing with management the company’s overall investment portfolio and investment strategies.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16(a) BENEFICIAL OWNERSHIP REPORTING COMPLIANCE</w:t>
      </w:r>
    </w:p>
    <w:p>
      <w:pPr>
        <w:spacing w:after="0" w:line="121" w:lineRule="exact"/>
        <w:rPr>
          <w:sz w:val="20"/>
          <w:szCs w:val="20"/>
          <w:color w:val="auto"/>
        </w:rPr>
      </w:pPr>
    </w:p>
    <w:p>
      <w:pPr>
        <w:ind w:firstLine="456"/>
        <w:spacing w:after="0" w:line="286" w:lineRule="auto"/>
        <w:rPr>
          <w:sz w:val="20"/>
          <w:szCs w:val="20"/>
          <w:color w:val="auto"/>
        </w:rPr>
      </w:pPr>
      <w:r>
        <w:rPr>
          <w:rFonts w:ascii="Arial" w:cs="Arial" w:eastAsia="Arial" w:hAnsi="Arial"/>
          <w:sz w:val="17"/>
          <w:szCs w:val="17"/>
          <w:color w:val="auto"/>
        </w:rPr>
        <w:t>Section 16(a) of the Exchange Act requires our directors, executive officers and holders of more than 10% of our common stock to file with the SEC initial reports of ownership and reports of changes in ownership of our common stock and other equity securities. Such persons are required by SEC regulations to furnish us with copies of all Section 16(a) forms filed by such person with respect to our securities.</w:t>
      </w:r>
    </w:p>
    <w:p>
      <w:pPr>
        <w:spacing w:after="0" w:line="166" w:lineRule="exact"/>
        <w:rPr>
          <w:sz w:val="20"/>
          <w:szCs w:val="20"/>
          <w:color w:val="auto"/>
        </w:rPr>
      </w:pPr>
    </w:p>
    <w:p>
      <w:pPr>
        <w:ind w:right="520" w:firstLine="456"/>
        <w:spacing w:after="0" w:line="277" w:lineRule="auto"/>
        <w:rPr>
          <w:sz w:val="20"/>
          <w:szCs w:val="20"/>
          <w:color w:val="auto"/>
        </w:rPr>
      </w:pPr>
      <w:r>
        <w:rPr>
          <w:rFonts w:ascii="Arial" w:cs="Arial" w:eastAsia="Arial" w:hAnsi="Arial"/>
          <w:sz w:val="18"/>
          <w:szCs w:val="18"/>
          <w:color w:val="auto"/>
        </w:rPr>
        <w:t>To our knowledge, all filings required to be made by reporting persons during 2016 were timely made in accordance with the requirements of Section 16(a) of the Exchange Act.</w:t>
      </w:r>
    </w:p>
    <w:p>
      <w:pPr>
        <w:spacing w:after="0" w:line="103"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180"/>
          </w:cols>
          <w:pgMar w:left="240" w:top="459" w:right="47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11.</w:t>
      </w:r>
      <w:r>
        <w:rPr>
          <w:sz w:val="20"/>
          <w:szCs w:val="20"/>
          <w:color w:val="auto"/>
        </w:rPr>
        <w:tab/>
      </w:r>
      <w:r>
        <w:rPr>
          <w:rFonts w:ascii="Arial" w:cs="Arial" w:eastAsia="Arial" w:hAnsi="Arial"/>
          <w:sz w:val="15"/>
          <w:szCs w:val="15"/>
          <w:b w:val="1"/>
          <w:bCs w:val="1"/>
          <w:color w:val="auto"/>
        </w:rPr>
        <w:t>Executive Compensation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 OF THE MANAGEMENT DEVELOPMENT AND COMPENSATION COMMITTEE</w:t>
      </w:r>
    </w:p>
    <w:p>
      <w:pPr>
        <w:spacing w:after="0" w:line="121" w:lineRule="exact"/>
        <w:rPr>
          <w:sz w:val="20"/>
          <w:szCs w:val="20"/>
          <w:color w:val="auto"/>
        </w:rPr>
      </w:pPr>
    </w:p>
    <w:p>
      <w:pPr>
        <w:jc w:val="both"/>
        <w:ind w:right="80" w:firstLine="456"/>
        <w:spacing w:after="0" w:line="264" w:lineRule="auto"/>
        <w:rPr>
          <w:sz w:val="20"/>
          <w:szCs w:val="20"/>
          <w:color w:val="auto"/>
        </w:rPr>
      </w:pPr>
      <w:r>
        <w:rPr>
          <w:rFonts w:ascii="Arial" w:cs="Arial" w:eastAsia="Arial" w:hAnsi="Arial"/>
          <w:sz w:val="18"/>
          <w:szCs w:val="18"/>
          <w:color w:val="auto"/>
        </w:rPr>
        <w:t>The Management Development and Compensation Committee of the Board of Directors oversees the compensation programs of Genworth Financial, Inc. on behalf of the Board. In fulfilling its oversight responsibilities, the committee reviewed and discussed with management the Compensation Discussion and Analysis included in this document.</w:t>
      </w:r>
    </w:p>
    <w:p>
      <w:pPr>
        <w:spacing w:after="0" w:line="181" w:lineRule="exact"/>
        <w:rPr>
          <w:sz w:val="20"/>
          <w:szCs w:val="20"/>
          <w:color w:val="auto"/>
        </w:rPr>
      </w:pPr>
    </w:p>
    <w:p>
      <w:pPr>
        <w:jc w:val="both"/>
        <w:ind w:firstLine="456"/>
        <w:spacing w:after="0" w:line="264" w:lineRule="auto"/>
        <w:rPr>
          <w:sz w:val="20"/>
          <w:szCs w:val="20"/>
          <w:color w:val="auto"/>
        </w:rPr>
      </w:pPr>
      <w:r>
        <w:rPr>
          <w:rFonts w:ascii="Arial" w:cs="Arial" w:eastAsia="Arial" w:hAnsi="Arial"/>
          <w:sz w:val="18"/>
          <w:szCs w:val="18"/>
          <w:color w:val="auto"/>
        </w:rPr>
        <w:t>In reliance on the review and discussion referred to above, the Management Development and Compensation Committee recommended to the Board of Directors that the Compensation Discussion and Analysis be included in Genworth’s Form 10-K for the fiscal year ended December 31, 2016, which has been or will be filed with the U.S. Securities and Exchange Commission.</w:t>
      </w:r>
    </w:p>
    <w:p>
      <w:pPr>
        <w:spacing w:after="0" w:line="181" w:lineRule="exact"/>
        <w:rPr>
          <w:sz w:val="20"/>
          <w:szCs w:val="20"/>
          <w:color w:val="auto"/>
        </w:rPr>
      </w:pPr>
    </w:p>
    <w:p>
      <w:pPr>
        <w:ind w:right="40" w:firstLine="456"/>
        <w:spacing w:after="0" w:line="264" w:lineRule="auto"/>
        <w:rPr>
          <w:sz w:val="20"/>
          <w:szCs w:val="20"/>
          <w:color w:val="auto"/>
        </w:rPr>
      </w:pPr>
      <w:r>
        <w:rPr>
          <w:rFonts w:ascii="Arial" w:cs="Arial" w:eastAsia="Arial" w:hAnsi="Arial"/>
          <w:sz w:val="18"/>
          <w:szCs w:val="18"/>
          <w:color w:val="auto"/>
        </w:rPr>
        <w:t>This report shall not be deemed to be incorporated by reference by any general statement incorporating by reference into any filing under the Securities Act of 1933, as amended, or the Securities Exchange Act of 1934, as amended, and shall not otherwise be deemed filed under such acts. This report is provided by the following independent directors, who constitute the committee: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David M. Moffett, Chair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Melina E. Higgins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James A. Parke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Robert P. Restrepo Jr.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James S. Riepe</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00"/>
          </w:cols>
          <w:pgMar w:left="240" w:top="459" w:right="25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COMPENSATION DISCUSSION AND ANALYSIS</w:t>
      </w:r>
    </w:p>
    <w:p>
      <w:pPr>
        <w:spacing w:after="0" w:line="229" w:lineRule="exact"/>
        <w:rPr>
          <w:sz w:val="20"/>
          <w:szCs w:val="20"/>
          <w:color w:val="auto"/>
        </w:rPr>
      </w:pPr>
    </w:p>
    <w:p>
      <w:pPr>
        <w:ind w:firstLine="456"/>
        <w:spacing w:after="0" w:line="308" w:lineRule="auto"/>
        <w:rPr>
          <w:sz w:val="20"/>
          <w:szCs w:val="20"/>
          <w:color w:val="auto"/>
        </w:rPr>
      </w:pPr>
      <w:r>
        <w:rPr>
          <w:rFonts w:ascii="Arial" w:cs="Arial" w:eastAsia="Arial" w:hAnsi="Arial"/>
          <w:sz w:val="17"/>
          <w:szCs w:val="17"/>
          <w:color w:val="auto"/>
        </w:rPr>
        <w:t>This section provides an overview and analysis of our compensation programs and policies, including the material compensation decisions made under the programs with respect to the following executive officers, whom we refer to as our “named executive officers” or “NEOs:”</w:t>
      </w:r>
    </w:p>
    <w:p>
      <w:pPr>
        <w:spacing w:after="0" w:line="52" w:lineRule="exact"/>
        <w:rPr>
          <w:sz w:val="20"/>
          <w:szCs w:val="20"/>
          <w:color w:val="auto"/>
        </w:rPr>
      </w:pPr>
    </w:p>
    <w:p>
      <w:pPr>
        <w:ind w:left="900" w:hanging="325"/>
        <w:spacing w:after="0"/>
        <w:tabs>
          <w:tab w:leader="none" w:pos="9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Thomas J. McInerney, President and Chief Executive Officer (“CEO”);</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Kelly L. Groh, Executive Vice President and Chief Financial Officer (“CFO”);</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Kevin D. Schneider, Executive Vice President and Chief Operating Officer (“COO”);</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Ward E. Bobitz, Executive Vice President and General Counsel;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Daniel J. Sheehan IV, Executive Vice President—Chief Investment Officer (“CIO”).</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Summary</w:t>
      </w:r>
    </w:p>
    <w:p>
      <w:pPr>
        <w:spacing w:after="0" w:line="121" w:lineRule="exact"/>
        <w:rPr>
          <w:sz w:val="20"/>
          <w:szCs w:val="20"/>
          <w:color w:val="auto"/>
        </w:rPr>
      </w:pPr>
    </w:p>
    <w:p>
      <w:pPr>
        <w:jc w:val="both"/>
        <w:ind w:right="80" w:firstLine="456"/>
        <w:spacing w:after="0" w:line="259" w:lineRule="auto"/>
        <w:rPr>
          <w:sz w:val="20"/>
          <w:szCs w:val="20"/>
          <w:color w:val="auto"/>
        </w:rPr>
      </w:pPr>
      <w:r>
        <w:rPr>
          <w:rFonts w:ascii="Arial" w:cs="Arial" w:eastAsia="Arial" w:hAnsi="Arial"/>
          <w:sz w:val="18"/>
          <w:szCs w:val="18"/>
          <w:color w:val="auto"/>
        </w:rPr>
        <w:t>We aligned named executive officer incentives in 2016 with the execution of financial and other strategic initiatives that would improve our operating performance, enable strategic flexibility of our life and long-term care insurance businesses, and increase returns in our mortgage insurance businesses. We met or exceeded our key operational, strategic and financial objectives for 2016 across all businesses, except for our Australia mortgage insurance business which experienced loss ratio pressures in certain commodity dependent regions.</w:t>
      </w:r>
    </w:p>
    <w:p>
      <w:pPr>
        <w:spacing w:after="0" w:line="187"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Additionally, and following an active and extensive strategic review process over two years, the company entered into a definitive agreement in the fourth quarter of 2016 with China Oceanwide Holdings Group Co., Ltd. (“Oceanwide”) under which Oceanwide has agreed to acquire all of the outstanding shares of the company. The transaction has been approved by Genworth’s stockholders, and is subject to other closing conditions, including the receipt of regulatory approvals.</w:t>
      </w:r>
      <w:r>
        <w:rPr>
          <w:rFonts w:ascii="Arial" w:cs="Arial" w:eastAsia="Arial" w:hAnsi="Arial"/>
          <w:sz w:val="15"/>
          <w:szCs w:val="15"/>
          <w:color w:val="auto"/>
        </w:rPr>
        <w:t>1</w:t>
      </w:r>
    </w:p>
    <w:p>
      <w:pPr>
        <w:spacing w:after="0" w:line="295"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2016 Company Performance</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Below is a summary of our key performance results for 2016:</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Mortgage Insurance</w:t>
      </w:r>
    </w:p>
    <w:p>
      <w:pPr>
        <w:spacing w:after="0" w:line="131" w:lineRule="exact"/>
        <w:rPr>
          <w:sz w:val="20"/>
          <w:szCs w:val="20"/>
          <w:color w:val="auto"/>
        </w:rPr>
      </w:pPr>
    </w:p>
    <w:p>
      <w:pPr>
        <w:ind w:left="900" w:right="20" w:hanging="325"/>
        <w:spacing w:after="0" w:line="308" w:lineRule="auto"/>
        <w:tabs>
          <w:tab w:leader="none" w:pos="900" w:val="left"/>
        </w:tabs>
        <w:numPr>
          <w:ilvl w:val="1"/>
          <w:numId w:val="13"/>
        </w:numPr>
        <w:rPr>
          <w:rFonts w:ascii="Arial" w:cs="Arial" w:eastAsia="Arial" w:hAnsi="Arial"/>
          <w:sz w:val="17"/>
          <w:szCs w:val="17"/>
          <w:color w:val="auto"/>
        </w:rPr>
      </w:pPr>
      <w:r>
        <w:rPr>
          <w:rFonts w:ascii="Arial" w:cs="Arial" w:eastAsia="Arial" w:hAnsi="Arial"/>
          <w:sz w:val="17"/>
          <w:szCs w:val="17"/>
          <w:color w:val="auto"/>
        </w:rPr>
        <w:t>Our U.S. and Canada mortgage insurance businesses significantly exceeded their goals with respect to adjusted operating income</w:t>
      </w:r>
      <w:r>
        <w:rPr>
          <w:rFonts w:ascii="Arial" w:cs="Arial" w:eastAsia="Arial" w:hAnsi="Arial"/>
          <w:sz w:val="14"/>
          <w:szCs w:val="14"/>
          <w:color w:val="auto"/>
        </w:rPr>
        <w:t>2</w:t>
      </w:r>
      <w:r>
        <w:rPr>
          <w:rFonts w:ascii="Arial" w:cs="Arial" w:eastAsia="Arial" w:hAnsi="Arial"/>
          <w:sz w:val="17"/>
          <w:szCs w:val="17"/>
          <w:color w:val="auto"/>
        </w:rPr>
        <w:t xml:space="preserve"> and operating return on equity (“operating ROE”)</w:t>
      </w:r>
      <w:r>
        <w:rPr>
          <w:rFonts w:ascii="Arial" w:cs="Arial" w:eastAsia="Arial" w:hAnsi="Arial"/>
          <w:sz w:val="14"/>
          <w:szCs w:val="14"/>
          <w:color w:val="auto"/>
        </w:rPr>
        <w:t>3</w:t>
      </w:r>
      <w:r>
        <w:rPr>
          <w:rFonts w:ascii="Arial" w:cs="Arial" w:eastAsia="Arial" w:hAnsi="Arial"/>
          <w:sz w:val="17"/>
          <w:szCs w:val="17"/>
          <w:color w:val="auto"/>
        </w:rPr>
        <w:t>, while our Australia mortgage insurance business ended the year slightly below target;</w:t>
      </w:r>
    </w:p>
    <w:p>
      <w:pPr>
        <w:spacing w:after="0" w:line="51" w:lineRule="exact"/>
        <w:rPr>
          <w:rFonts w:ascii="Arial" w:cs="Arial" w:eastAsia="Arial" w:hAnsi="Arial"/>
          <w:sz w:val="17"/>
          <w:szCs w:val="17"/>
          <w:color w:val="auto"/>
        </w:rPr>
      </w:pPr>
    </w:p>
    <w:p>
      <w:pPr>
        <w:ind w:left="900" w:right="200" w:hanging="325"/>
        <w:spacing w:after="0" w:line="277" w:lineRule="auto"/>
        <w:tabs>
          <w:tab w:leader="none" w:pos="900" w:val="left"/>
        </w:tabs>
        <w:numPr>
          <w:ilvl w:val="1"/>
          <w:numId w:val="13"/>
        </w:numPr>
        <w:rPr>
          <w:rFonts w:ascii="Arial" w:cs="Arial" w:eastAsia="Arial" w:hAnsi="Arial"/>
          <w:sz w:val="18"/>
          <w:szCs w:val="18"/>
          <w:color w:val="auto"/>
        </w:rPr>
      </w:pPr>
      <w:r>
        <w:rPr>
          <w:rFonts w:ascii="Arial" w:cs="Arial" w:eastAsia="Arial" w:hAnsi="Arial"/>
          <w:sz w:val="18"/>
          <w:szCs w:val="18"/>
          <w:color w:val="auto"/>
        </w:rPr>
        <w:t>We exceeded our internal goals for our private mortgage insurer eligibility requirements (“PMIERs”) in our U.S. mortgage insurance business and were above plan for new business pricing returns and market share; and</w:t>
      </w:r>
    </w:p>
    <w:p>
      <w:pPr>
        <w:spacing w:after="0" w:line="75" w:lineRule="exact"/>
        <w:rPr>
          <w:rFonts w:ascii="Arial" w:cs="Arial" w:eastAsia="Arial" w:hAnsi="Arial"/>
          <w:sz w:val="18"/>
          <w:szCs w:val="18"/>
          <w:color w:val="auto"/>
        </w:rPr>
      </w:pPr>
    </w:p>
    <w:p>
      <w:pPr>
        <w:ind w:left="900" w:right="480" w:hanging="325"/>
        <w:spacing w:after="0" w:line="277" w:lineRule="auto"/>
        <w:tabs>
          <w:tab w:leader="none" w:pos="900" w:val="left"/>
        </w:tabs>
        <w:numPr>
          <w:ilvl w:val="1"/>
          <w:numId w:val="13"/>
        </w:numPr>
        <w:rPr>
          <w:rFonts w:ascii="Arial" w:cs="Arial" w:eastAsia="Arial" w:hAnsi="Arial"/>
          <w:sz w:val="18"/>
          <w:szCs w:val="18"/>
          <w:color w:val="auto"/>
        </w:rPr>
      </w:pPr>
      <w:r>
        <w:rPr>
          <w:rFonts w:ascii="Arial" w:cs="Arial" w:eastAsia="Arial" w:hAnsi="Arial"/>
          <w:sz w:val="18"/>
          <w:szCs w:val="18"/>
          <w:color w:val="auto"/>
        </w:rPr>
        <w:t>We maintained prudent top-line growth in our Canada mortgage insurance business within risk tolerances, and maintained strong portfolio quality.</w:t>
      </w:r>
    </w:p>
    <w:p>
      <w:pPr>
        <w:spacing w:after="0" w:line="264" w:lineRule="exact"/>
        <w:rPr>
          <w:rFonts w:ascii="Arial" w:cs="Arial" w:eastAsia="Arial" w:hAnsi="Arial"/>
          <w:sz w:val="18"/>
          <w:szCs w:val="18"/>
          <w:color w:val="auto"/>
        </w:rPr>
      </w:pPr>
    </w:p>
    <w:p>
      <w:pPr>
        <w:ind w:left="460" w:right="240" w:hanging="446"/>
        <w:spacing w:after="0" w:line="287" w:lineRule="auto"/>
        <w:rPr>
          <w:rFonts w:ascii="Arial" w:cs="Arial" w:eastAsia="Arial" w:hAnsi="Arial"/>
          <w:sz w:val="18"/>
          <w:szCs w:val="18"/>
          <w:color w:val="auto"/>
        </w:rPr>
      </w:pPr>
      <w:r>
        <w:rPr>
          <w:rFonts w:ascii="Arial" w:cs="Arial" w:eastAsia="Arial" w:hAnsi="Arial"/>
          <w:sz w:val="15"/>
          <w:szCs w:val="15"/>
          <w:color w:val="auto"/>
        </w:rPr>
        <w:t>1</w:t>
      </w:r>
      <w:r>
        <w:rPr>
          <w:rFonts w:ascii="Arial" w:cs="Arial" w:eastAsia="Arial" w:hAnsi="Arial"/>
          <w:sz w:val="16"/>
          <w:szCs w:val="16"/>
          <w:color w:val="auto"/>
        </w:rPr>
        <w:t>This Compensation Discussion and Analysis, as well as the compensation disclosure that follows under Item 12, are presented without regard to the terms of the proposed merger with Oceanwide. For further information regarding the terms, conditions and interests of certain persons under the proposed merger, see our proxy statement for the special meeting of stockholders held on March 7, 2017, which was filed on January 25,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-443865</wp:posOffset>
            </wp:positionV>
            <wp:extent cx="72898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ind w:left="460" w:hanging="452"/>
        <w:spacing w:after="0"/>
        <w:tabs>
          <w:tab w:leader="none" w:pos="460" w:val="left"/>
        </w:tabs>
        <w:numPr>
          <w:ilvl w:val="0"/>
          <w:numId w:val="14"/>
        </w:numPr>
        <w:rPr>
          <w:rFonts w:ascii="Arial" w:cs="Arial" w:eastAsia="Arial" w:hAnsi="Arial"/>
          <w:sz w:val="14"/>
          <w:szCs w:val="14"/>
          <w:color w:val="auto"/>
        </w:rPr>
      </w:pPr>
      <w:r>
        <w:rPr>
          <w:rFonts w:ascii="Arial" w:cs="Arial" w:eastAsia="Arial" w:hAnsi="Arial"/>
          <w:sz w:val="17"/>
          <w:szCs w:val="17"/>
          <w:color w:val="auto"/>
        </w:rPr>
        <w:t>“Adjusted operating income (loss)” equals income (loss) from continuing operations excluding the after-tax effects of income attributable to non-</w:t>
      </w:r>
    </w:p>
    <w:p>
      <w:pPr>
        <w:spacing w:after="0" w:line="22" w:lineRule="exact"/>
        <w:rPr>
          <w:sz w:val="20"/>
          <w:szCs w:val="20"/>
          <w:color w:val="auto"/>
        </w:rPr>
      </w:pPr>
    </w:p>
    <w:p>
      <w:pPr>
        <w:ind w:left="460" w:right="780"/>
        <w:spacing w:after="0" w:line="281" w:lineRule="auto"/>
        <w:rPr>
          <w:sz w:val="20"/>
          <w:szCs w:val="20"/>
          <w:color w:val="auto"/>
        </w:rPr>
      </w:pPr>
      <w:r>
        <w:rPr>
          <w:rFonts w:ascii="Arial" w:cs="Arial" w:eastAsia="Arial" w:hAnsi="Arial"/>
          <w:sz w:val="16"/>
          <w:szCs w:val="16"/>
          <w:color w:val="auto"/>
        </w:rPr>
        <w:t>controlling interests, net investment gains (losses), goodwill impairments, gains (losses) on the sale of businesses, gains (losses) on the early extinguishment of debt, gains (losses) on insurance block transactions, restructuring costs, and infrequent or unusual non-operating items.</w:t>
      </w:r>
    </w:p>
    <w:p>
      <w:pPr>
        <w:ind w:left="5620" w:right="1500" w:hanging="5612"/>
        <w:spacing w:after="0" w:line="434" w:lineRule="auto"/>
        <w:tabs>
          <w:tab w:leader="none" w:pos="450" w:val="left"/>
        </w:tabs>
        <w:numPr>
          <w:ilvl w:val="0"/>
          <w:numId w:val="15"/>
        </w:numPr>
        <w:rPr>
          <w:rFonts w:ascii="Arial" w:cs="Arial" w:eastAsia="Arial" w:hAnsi="Arial"/>
          <w:sz w:val="15"/>
          <w:szCs w:val="15"/>
          <w:color w:val="auto"/>
        </w:rPr>
      </w:pPr>
      <w:r>
        <w:rPr>
          <w:rFonts w:ascii="Arial" w:cs="Arial" w:eastAsia="Arial" w:hAnsi="Arial"/>
          <w:sz w:val="18"/>
          <w:szCs w:val="18"/>
          <w:color w:val="auto"/>
        </w:rPr>
        <w:t>“Operating ROE” for each of our mortgage insurance businesses is defined in the table outlining key financial metrics on page 20. 13</w:t>
      </w:r>
    </w:p>
    <w:p>
      <w:pPr>
        <w:sectPr>
          <w:pgSz w:w="11900" w:h="16838" w:orient="portrait"/>
          <w:cols w:equalWidth="0" w:num="1">
            <w:col w:w="11340"/>
          </w:cols>
          <w:pgMar w:left="240" w:top="459" w:right="31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Life Insurance</w:t>
      </w:r>
    </w:p>
    <w:p>
      <w:pPr>
        <w:spacing w:after="0" w:line="131" w:lineRule="exact"/>
        <w:rPr>
          <w:sz w:val="20"/>
          <w:szCs w:val="20"/>
          <w:color w:val="auto"/>
        </w:rPr>
      </w:pPr>
    </w:p>
    <w:p>
      <w:pPr>
        <w:ind w:left="900" w:right="400" w:hanging="325"/>
        <w:spacing w:after="0" w:line="277" w:lineRule="auto"/>
        <w:tabs>
          <w:tab w:leader="none" w:pos="9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We exceeded our goals for premium rate increases on our blocks of long-term care insurance, and continued execution of our multi-year rate action filing plan;</w:t>
      </w:r>
    </w:p>
    <w:p>
      <w:pPr>
        <w:spacing w:after="0" w:line="75" w:lineRule="exact"/>
        <w:rPr>
          <w:rFonts w:ascii="Arial" w:cs="Arial" w:eastAsia="Arial" w:hAnsi="Arial"/>
          <w:sz w:val="18"/>
          <w:szCs w:val="18"/>
          <w:color w:val="auto"/>
        </w:rPr>
      </w:pPr>
    </w:p>
    <w:p>
      <w:pPr>
        <w:ind w:left="900" w:right="220" w:hanging="325"/>
        <w:spacing w:after="0" w:line="277" w:lineRule="auto"/>
        <w:tabs>
          <w:tab w:leader="none" w:pos="9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We successfully executed bondholder consents to provide the company strategic flexibility to take actions to separate and isolate our long-term care insurance business;</w:t>
      </w:r>
    </w:p>
    <w:p>
      <w:pPr>
        <w:spacing w:after="0" w:line="75" w:lineRule="exact"/>
        <w:rPr>
          <w:rFonts w:ascii="Arial" w:cs="Arial" w:eastAsia="Arial" w:hAnsi="Arial"/>
          <w:sz w:val="18"/>
          <w:szCs w:val="18"/>
          <w:color w:val="auto"/>
        </w:rPr>
      </w:pPr>
    </w:p>
    <w:p>
      <w:pPr>
        <w:ind w:left="900" w:right="100" w:hanging="325"/>
        <w:spacing w:after="0" w:line="277" w:lineRule="auto"/>
        <w:tabs>
          <w:tab w:leader="none" w:pos="9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We made meaningful progress toward the separation and isolation of our long-term care insurance business through reinsurance, repatriation and other transactions in 2016; and</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We achieved our internal target expense run-rate goal for 2016.</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Corporate and Other</w:t>
      </w:r>
    </w:p>
    <w:p>
      <w:pPr>
        <w:spacing w:after="0" w:line="131" w:lineRule="exact"/>
        <w:rPr>
          <w:sz w:val="20"/>
          <w:szCs w:val="20"/>
          <w:color w:val="auto"/>
        </w:rPr>
      </w:pPr>
    </w:p>
    <w:p>
      <w:pPr>
        <w:ind w:left="900" w:hanging="325"/>
        <w:spacing w:after="0"/>
        <w:tabs>
          <w:tab w:leader="none" w:pos="900" w:val="left"/>
        </w:tabs>
        <w:numPr>
          <w:ilvl w:val="0"/>
          <w:numId w:val="17"/>
        </w:numPr>
        <w:rPr>
          <w:rFonts w:ascii="Arial" w:cs="Arial" w:eastAsia="Arial" w:hAnsi="Arial"/>
          <w:sz w:val="16"/>
          <w:szCs w:val="16"/>
          <w:color w:val="auto"/>
        </w:rPr>
      </w:pPr>
      <w:r>
        <w:rPr>
          <w:rFonts w:ascii="Arial" w:cs="Arial" w:eastAsia="Arial" w:hAnsi="Arial"/>
          <w:sz w:val="16"/>
          <w:szCs w:val="16"/>
          <w:color w:val="auto"/>
        </w:rPr>
        <w:t>We had strong investment portfolio performance, exceeding our goals for net investment income, impairments and trading losses for the year; and</w:t>
      </w:r>
    </w:p>
    <w:p>
      <w:pPr>
        <w:spacing w:after="0" w:line="153" w:lineRule="exact"/>
        <w:rPr>
          <w:rFonts w:ascii="Arial" w:cs="Arial" w:eastAsia="Arial" w:hAnsi="Arial"/>
          <w:sz w:val="16"/>
          <w:szCs w:val="16"/>
          <w:color w:val="auto"/>
        </w:rPr>
      </w:pPr>
    </w:p>
    <w:p>
      <w:pPr>
        <w:ind w:left="900" w:right="340" w:hanging="325"/>
        <w:spacing w:after="0" w:line="277" w:lineRule="auto"/>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ended the year with holding company cash and cash equivalents of $1,098 million</w:t>
      </w:r>
      <w:r>
        <w:rPr>
          <w:rFonts w:ascii="Arial" w:cs="Arial" w:eastAsia="Arial" w:hAnsi="Arial"/>
          <w:sz w:val="15"/>
          <w:szCs w:val="15"/>
          <w:color w:val="auto"/>
        </w:rPr>
        <w:t>4</w:t>
      </w:r>
      <w:r>
        <w:rPr>
          <w:rFonts w:ascii="Arial" w:cs="Arial" w:eastAsia="Arial" w:hAnsi="Arial"/>
          <w:sz w:val="18"/>
          <w:szCs w:val="18"/>
          <w:color w:val="auto"/>
        </w:rPr>
        <w:t>, which remained above our target of one and one-half times annual debt service, plus a $350 million buffer.</w:t>
      </w:r>
    </w:p>
    <w:p>
      <w:pPr>
        <w:spacing w:after="0" w:line="27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Impact of 2016 Performance on Compensation</w:t>
      </w:r>
    </w:p>
    <w:p>
      <w:pPr>
        <w:spacing w:after="0" w:line="117" w:lineRule="exact"/>
        <w:rPr>
          <w:sz w:val="20"/>
          <w:szCs w:val="20"/>
          <w:color w:val="auto"/>
        </w:rPr>
      </w:pPr>
    </w:p>
    <w:p>
      <w:pPr>
        <w:ind w:right="160" w:firstLine="456"/>
        <w:spacing w:after="0" w:line="277" w:lineRule="auto"/>
        <w:rPr>
          <w:sz w:val="20"/>
          <w:szCs w:val="20"/>
          <w:color w:val="auto"/>
        </w:rPr>
      </w:pPr>
      <w:r>
        <w:rPr>
          <w:rFonts w:ascii="Arial" w:cs="Arial" w:eastAsia="Arial" w:hAnsi="Arial"/>
          <w:sz w:val="18"/>
          <w:szCs w:val="18"/>
          <w:color w:val="auto"/>
        </w:rPr>
        <w:t>Our operating performance in 2016, as well as our trailing three-year performance, have directly impacted our named executive officer compensation, as follows:</w:t>
      </w:r>
    </w:p>
    <w:p>
      <w:pPr>
        <w:spacing w:after="0" w:line="76" w:lineRule="exact"/>
        <w:rPr>
          <w:sz w:val="20"/>
          <w:szCs w:val="20"/>
          <w:color w:val="auto"/>
        </w:rPr>
      </w:pPr>
    </w:p>
    <w:p>
      <w:pPr>
        <w:ind w:left="900" w:right="20" w:hanging="325"/>
        <w:spacing w:after="0" w:line="277" w:lineRule="auto"/>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company met or exceeded most of our annual financial and operating goals, except in Australia, resulting in an annual incentive award to our CEO for 2016 that was above target;</w:t>
      </w:r>
    </w:p>
    <w:p>
      <w:pPr>
        <w:spacing w:after="0" w:line="75" w:lineRule="exact"/>
        <w:rPr>
          <w:rFonts w:ascii="Arial" w:cs="Arial" w:eastAsia="Arial" w:hAnsi="Arial"/>
          <w:sz w:val="18"/>
          <w:szCs w:val="18"/>
          <w:color w:val="auto"/>
        </w:rPr>
      </w:pPr>
    </w:p>
    <w:p>
      <w:pPr>
        <w:ind w:left="900" w:right="640" w:hanging="325"/>
        <w:spacing w:after="0" w:line="277" w:lineRule="auto"/>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Annual incentive awards for our other named executive officers were also above target, and differentiated based on performance for their respective areas of responsibility and contributions made toward our strategic priorities;</w:t>
      </w:r>
    </w:p>
    <w:p>
      <w:pPr>
        <w:spacing w:after="0" w:line="75" w:lineRule="exact"/>
        <w:rPr>
          <w:rFonts w:ascii="Arial" w:cs="Arial" w:eastAsia="Arial" w:hAnsi="Arial"/>
          <w:sz w:val="18"/>
          <w:szCs w:val="18"/>
          <w:color w:val="auto"/>
        </w:rPr>
      </w:pPr>
    </w:p>
    <w:p>
      <w:pPr>
        <w:ind w:left="900" w:right="540" w:hanging="325"/>
        <w:spacing w:after="0" w:line="277" w:lineRule="auto"/>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Our trailing three-year performance from 2014 through 2016 was significantly below target, resulting in the cancellation of our 2014-2016 Performance Stock Units (“PSUs”) without any payout; and</w:t>
      </w:r>
    </w:p>
    <w:p>
      <w:pPr>
        <w:spacing w:after="0" w:line="75" w:lineRule="exact"/>
        <w:rPr>
          <w:rFonts w:ascii="Arial" w:cs="Arial" w:eastAsia="Arial" w:hAnsi="Arial"/>
          <w:sz w:val="18"/>
          <w:szCs w:val="18"/>
          <w:color w:val="auto"/>
        </w:rPr>
      </w:pPr>
    </w:p>
    <w:p>
      <w:pPr>
        <w:ind w:left="900" w:right="140" w:hanging="325"/>
        <w:spacing w:after="0" w:line="342" w:lineRule="auto"/>
        <w:tabs>
          <w:tab w:leader="none" w:pos="9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The value of outstanding long-term equity awards (both vested and unvested) held by our named executive officers continues to be significantly below targeted values, consistent with the decline in our stock price and company performance over that same three-year time period.</w:t>
      </w:r>
    </w:p>
    <w:p>
      <w:pPr>
        <w:spacing w:after="0" w:line="232"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Impact of Performance on CEO Compensation</w:t>
      </w:r>
    </w:p>
    <w:p>
      <w:pPr>
        <w:spacing w:after="0" w:line="117" w:lineRule="exact"/>
        <w:rPr>
          <w:sz w:val="20"/>
          <w:szCs w:val="20"/>
          <w:color w:val="auto"/>
        </w:rPr>
      </w:pPr>
    </w:p>
    <w:p>
      <w:pPr>
        <w:ind w:right="120" w:firstLine="456"/>
        <w:spacing w:after="0" w:line="279" w:lineRule="auto"/>
        <w:rPr>
          <w:sz w:val="20"/>
          <w:szCs w:val="20"/>
          <w:color w:val="auto"/>
        </w:rPr>
      </w:pPr>
      <w:r>
        <w:rPr>
          <w:rFonts w:ascii="Arial" w:cs="Arial" w:eastAsia="Arial" w:hAnsi="Arial"/>
          <w:sz w:val="17"/>
          <w:szCs w:val="17"/>
          <w:color w:val="auto"/>
        </w:rPr>
        <w:t xml:space="preserve">The following illustrations summarize the total direct compensation for our CEO for 2013 through 2016 through three different perspectives: </w:t>
      </w:r>
      <w:r>
        <w:rPr>
          <w:rFonts w:ascii="Arial" w:cs="Arial" w:eastAsia="Arial" w:hAnsi="Arial"/>
          <w:sz w:val="17"/>
          <w:szCs w:val="17"/>
          <w:i w:val="1"/>
          <w:iCs w:val="1"/>
          <w:color w:val="auto"/>
        </w:rPr>
        <w:t>reported</w:t>
      </w:r>
      <w:r>
        <w:rPr>
          <w:rFonts w:ascii="Arial" w:cs="Arial" w:eastAsia="Arial" w:hAnsi="Arial"/>
          <w:sz w:val="17"/>
          <w:szCs w:val="17"/>
          <w:color w:val="auto"/>
        </w:rPr>
        <w:t xml:space="preserve"> </w:t>
      </w:r>
      <w:r>
        <w:rPr>
          <w:rFonts w:ascii="Arial" w:cs="Arial" w:eastAsia="Arial" w:hAnsi="Arial"/>
          <w:sz w:val="17"/>
          <w:szCs w:val="17"/>
          <w:i w:val="1"/>
          <w:iCs w:val="1"/>
          <w:color w:val="auto"/>
        </w:rPr>
        <w:t>pay</w:t>
      </w:r>
      <w:r>
        <w:rPr>
          <w:rFonts w:ascii="Arial" w:cs="Arial" w:eastAsia="Arial" w:hAnsi="Arial"/>
          <w:sz w:val="17"/>
          <w:szCs w:val="17"/>
          <w:color w:val="auto"/>
        </w:rPr>
        <w:t>, which values long-term equity awards based on a grant-date fair value;</w:t>
      </w:r>
      <w:r>
        <w:rPr>
          <w:rFonts w:ascii="Arial" w:cs="Arial" w:eastAsia="Arial" w:hAnsi="Arial"/>
          <w:sz w:val="17"/>
          <w:szCs w:val="17"/>
          <w:i w:val="1"/>
          <w:iCs w:val="1"/>
          <w:color w:val="auto"/>
        </w:rPr>
        <w:t xml:space="preserve"> realizable pay</w:t>
      </w:r>
      <w:r>
        <w:rPr>
          <w:rFonts w:ascii="Arial" w:cs="Arial" w:eastAsia="Arial" w:hAnsi="Arial"/>
          <w:sz w:val="17"/>
          <w:szCs w:val="17"/>
          <w:color w:val="auto"/>
        </w:rPr>
        <w:t>, which reflects the accumulated spread or nominal value of</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outstanding equity awards as of December 31, 2016 for awards made in the represented year; and </w:t>
      </w:r>
      <w:r>
        <w:rPr>
          <w:rFonts w:ascii="Arial" w:cs="Arial" w:eastAsia="Arial" w:hAnsi="Arial"/>
          <w:sz w:val="17"/>
          <w:szCs w:val="17"/>
          <w:i w:val="1"/>
          <w:iCs w:val="1"/>
          <w:color w:val="auto"/>
        </w:rPr>
        <w:t>realized pay</w:t>
      </w:r>
      <w:r>
        <w:rPr>
          <w:rFonts w:ascii="Arial" w:cs="Arial" w:eastAsia="Arial" w:hAnsi="Arial"/>
          <w:sz w:val="17"/>
          <w:szCs w:val="17"/>
          <w:color w:val="auto"/>
        </w:rPr>
        <w:t>, which shows the value actually realized from any stock appreciation rights (“SARs”) exercised and restricted stock units (“RSUs”) vested during the period.</w:t>
      </w:r>
    </w:p>
    <w:p>
      <w:pPr>
        <w:spacing w:after="0" w:line="171" w:lineRule="exact"/>
        <w:rPr>
          <w:sz w:val="20"/>
          <w:szCs w:val="20"/>
          <w:color w:val="auto"/>
        </w:rPr>
      </w:pPr>
    </w:p>
    <w:p>
      <w:pPr>
        <w:ind w:right="80" w:firstLine="456"/>
        <w:spacing w:after="0" w:line="279" w:lineRule="auto"/>
        <w:rPr>
          <w:sz w:val="20"/>
          <w:szCs w:val="20"/>
          <w:color w:val="auto"/>
        </w:rPr>
      </w:pPr>
      <w:r>
        <w:rPr>
          <w:rFonts w:ascii="Arial" w:cs="Arial" w:eastAsia="Arial" w:hAnsi="Arial"/>
          <w:sz w:val="17"/>
          <w:szCs w:val="17"/>
          <w:color w:val="auto"/>
        </w:rPr>
        <w:t xml:space="preserve">Because we aligned the largest portion of our CEO’s initial compensation package in 2013 with stockholder value through an award of SARs, which only yields value to the extent the stock price appreciates above the base price established on the grant date, there is a significant difference between </w:t>
      </w:r>
      <w:r>
        <w:rPr>
          <w:rFonts w:ascii="Arial" w:cs="Arial" w:eastAsia="Arial" w:hAnsi="Arial"/>
          <w:sz w:val="17"/>
          <w:szCs w:val="17"/>
          <w:i w:val="1"/>
          <w:iCs w:val="1"/>
          <w:color w:val="auto"/>
        </w:rPr>
        <w:t>reported</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pay </w:t>
      </w:r>
      <w:r>
        <w:rPr>
          <w:rFonts w:ascii="Arial" w:cs="Arial" w:eastAsia="Arial" w:hAnsi="Arial"/>
          <w:sz w:val="17"/>
          <w:szCs w:val="17"/>
          <w:color w:val="auto"/>
        </w:rPr>
        <w:t>in 2013 for long-term equity, and what that initial award has yielded in terms of either</w:t>
      </w:r>
      <w:r>
        <w:rPr>
          <w:rFonts w:ascii="Arial" w:cs="Arial" w:eastAsia="Arial" w:hAnsi="Arial"/>
          <w:sz w:val="17"/>
          <w:szCs w:val="17"/>
          <w:i w:val="1"/>
          <w:iCs w:val="1"/>
          <w:color w:val="auto"/>
        </w:rPr>
        <w:t xml:space="preserve"> realizable pay </w:t>
      </w:r>
      <w:r>
        <w:rPr>
          <w:rFonts w:ascii="Arial" w:cs="Arial" w:eastAsia="Arial" w:hAnsi="Arial"/>
          <w:sz w:val="17"/>
          <w:szCs w:val="17"/>
          <w:color w:val="auto"/>
        </w:rPr>
        <w:t>or</w:t>
      </w:r>
      <w:r>
        <w:rPr>
          <w:rFonts w:ascii="Arial" w:cs="Arial" w:eastAsia="Arial" w:hAnsi="Arial"/>
          <w:sz w:val="17"/>
          <w:szCs w:val="17"/>
          <w:i w:val="1"/>
          <w:iCs w:val="1"/>
          <w:color w:val="auto"/>
        </w:rPr>
        <w:t xml:space="preserve"> realized pay </w:t>
      </w:r>
      <w:r>
        <w:rPr>
          <w:rFonts w:ascii="Arial" w:cs="Arial" w:eastAsia="Arial" w:hAnsi="Arial"/>
          <w:sz w:val="17"/>
          <w:szCs w:val="17"/>
          <w:color w:val="auto"/>
        </w:rPr>
        <w:t>as of the end of 2016. For example,</w:t>
      </w:r>
      <w:r>
        <w:rPr>
          <w:rFonts w:ascii="Arial" w:cs="Arial" w:eastAsia="Arial" w:hAnsi="Arial"/>
          <w:sz w:val="17"/>
          <w:szCs w:val="17"/>
          <w:i w:val="1"/>
          <w:iCs w:val="1"/>
          <w:color w:val="auto"/>
        </w:rPr>
        <w:t xml:space="preserve"> </w:t>
      </w:r>
      <w:r>
        <w:rPr>
          <w:rFonts w:ascii="Arial" w:cs="Arial" w:eastAsia="Arial" w:hAnsi="Arial"/>
          <w:sz w:val="17"/>
          <w:szCs w:val="17"/>
          <w:color w:val="auto"/>
        </w:rPr>
        <w:t>the base price of Mr. McInerney’s initial grant of SARs upon his hire in 2013 was $7.90,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66675</wp:posOffset>
            </wp:positionV>
            <wp:extent cx="72898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4" w:lineRule="exact"/>
        <w:rPr>
          <w:sz w:val="20"/>
          <w:szCs w:val="20"/>
          <w:color w:val="auto"/>
        </w:rPr>
      </w:pPr>
    </w:p>
    <w:p>
      <w:pPr>
        <w:ind w:left="5620" w:right="2020" w:hanging="5612"/>
        <w:spacing w:after="0" w:line="449" w:lineRule="auto"/>
        <w:tabs>
          <w:tab w:leader="none" w:pos="450" w:val="left"/>
        </w:tabs>
        <w:numPr>
          <w:ilvl w:val="0"/>
          <w:numId w:val="19"/>
        </w:numPr>
        <w:rPr>
          <w:rFonts w:ascii="Arial" w:cs="Arial" w:eastAsia="Arial" w:hAnsi="Arial"/>
          <w:sz w:val="15"/>
          <w:szCs w:val="15"/>
          <w:color w:val="auto"/>
        </w:rPr>
      </w:pPr>
      <w:r>
        <w:rPr>
          <w:rFonts w:ascii="Arial" w:cs="Arial" w:eastAsia="Arial" w:hAnsi="Arial"/>
          <w:sz w:val="18"/>
          <w:szCs w:val="18"/>
          <w:color w:val="auto"/>
        </w:rPr>
        <w:t>Comprises cash and cash equivalents of $998 million and U.S. government bonds of $100 million as of December 31, 2016. 14</w:t>
      </w:r>
    </w:p>
    <w:p>
      <w:pPr>
        <w:sectPr>
          <w:pgSz w:w="11900" w:h="16838" w:orient="portrait"/>
          <w:cols w:equalWidth="0" w:num="1">
            <w:col w:w="11420"/>
          </w:cols>
          <w:pgMar w:left="240" w:top="459" w:right="23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00"/>
        <w:spacing w:after="0" w:line="264" w:lineRule="auto"/>
        <w:rPr>
          <w:sz w:val="20"/>
          <w:szCs w:val="20"/>
          <w:color w:val="auto"/>
        </w:rPr>
      </w:pPr>
      <w:r>
        <w:rPr>
          <w:rFonts w:ascii="Arial" w:cs="Arial" w:eastAsia="Arial" w:hAnsi="Arial"/>
          <w:sz w:val="18"/>
          <w:szCs w:val="18"/>
          <w:color w:val="auto"/>
        </w:rPr>
        <w:t xml:space="preserve">with a </w:t>
      </w:r>
      <w:r>
        <w:rPr>
          <w:rFonts w:ascii="Arial" w:cs="Arial" w:eastAsia="Arial" w:hAnsi="Arial"/>
          <w:sz w:val="18"/>
          <w:szCs w:val="18"/>
          <w:i w:val="1"/>
          <w:iCs w:val="1"/>
          <w:color w:val="auto"/>
        </w:rPr>
        <w:t>reported value</w:t>
      </w:r>
      <w:r>
        <w:rPr>
          <w:rFonts w:ascii="Arial" w:cs="Arial" w:eastAsia="Arial" w:hAnsi="Arial"/>
          <w:sz w:val="18"/>
          <w:szCs w:val="18"/>
          <w:color w:val="auto"/>
        </w:rPr>
        <w:t xml:space="preserve"> of approximately $7.1 million. However, our stock price as of the end of 2016 was significantly below the base price for that award, resulting in no value related to that award in the </w:t>
      </w:r>
      <w:r>
        <w:rPr>
          <w:rFonts w:ascii="Arial" w:cs="Arial" w:eastAsia="Arial" w:hAnsi="Arial"/>
          <w:sz w:val="18"/>
          <w:szCs w:val="18"/>
          <w:i w:val="1"/>
          <w:iCs w:val="1"/>
          <w:color w:val="auto"/>
        </w:rPr>
        <w:t>realizable pay</w:t>
      </w:r>
      <w:r>
        <w:rPr>
          <w:rFonts w:ascii="Arial" w:cs="Arial" w:eastAsia="Arial" w:hAnsi="Arial"/>
          <w:sz w:val="18"/>
          <w:szCs w:val="18"/>
          <w:color w:val="auto"/>
        </w:rPr>
        <w:t xml:space="preserve"> column for 2013, and none of those SARs have been exercised, resulting in no value as </w:t>
      </w:r>
      <w:r>
        <w:rPr>
          <w:rFonts w:ascii="Arial" w:cs="Arial" w:eastAsia="Arial" w:hAnsi="Arial"/>
          <w:sz w:val="18"/>
          <w:szCs w:val="18"/>
          <w:i w:val="1"/>
          <w:iCs w:val="1"/>
          <w:color w:val="auto"/>
        </w:rPr>
        <w:t xml:space="preserve">realized pay </w:t>
      </w:r>
      <w:r>
        <w:rPr>
          <w:rFonts w:ascii="Arial" w:cs="Arial" w:eastAsia="Arial" w:hAnsi="Arial"/>
          <w:sz w:val="18"/>
          <w:szCs w:val="18"/>
          <w:color w:val="auto"/>
        </w:rPr>
        <w:t>for any of the subsequent years.</w:t>
      </w:r>
    </w:p>
    <w:p>
      <w:pPr>
        <w:spacing w:after="0" w:line="28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CEO Reported, Realizable and Realized Pay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172085</wp:posOffset>
            </wp:positionV>
            <wp:extent cx="6106160" cy="17583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6106160" cy="17583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460" w:right="100" w:hanging="452"/>
        <w:spacing w:after="0" w:line="312" w:lineRule="auto"/>
        <w:tabs>
          <w:tab w:leader="none" w:pos="460" w:val="left"/>
        </w:tabs>
        <w:numPr>
          <w:ilvl w:val="0"/>
          <w:numId w:val="20"/>
        </w:numPr>
        <w:rPr>
          <w:rFonts w:ascii="Arial" w:cs="Arial" w:eastAsia="Arial" w:hAnsi="Arial"/>
          <w:sz w:val="14"/>
          <w:szCs w:val="14"/>
          <w:color w:val="auto"/>
        </w:rPr>
      </w:pPr>
      <w:r>
        <w:rPr>
          <w:rFonts w:ascii="Arial" w:cs="Arial" w:eastAsia="Arial" w:hAnsi="Arial"/>
          <w:sz w:val="16"/>
          <w:szCs w:val="16"/>
          <w:color w:val="auto"/>
        </w:rPr>
        <w:t>Reported Pay represents: (i) base salary paid; (ii) actual annual incentive earned for performance in the period; and (iii) the grant-date fair value of any equity-based awards granted during the period (SARs, RSUs, or target value of PSUs), each as reported in the Summary Compensation Table for the applicable year. Reported pay excludes any amounts shown as “all other compensation” in the Summary Compensation Table for illustrative purposes.</w:t>
      </w:r>
    </w:p>
    <w:p>
      <w:pPr>
        <w:spacing w:after="0" w:line="52" w:lineRule="exact"/>
        <w:rPr>
          <w:rFonts w:ascii="Arial" w:cs="Arial" w:eastAsia="Arial" w:hAnsi="Arial"/>
          <w:sz w:val="14"/>
          <w:szCs w:val="14"/>
          <w:color w:val="auto"/>
        </w:rPr>
      </w:pPr>
    </w:p>
    <w:p>
      <w:pPr>
        <w:ind w:left="460" w:right="120" w:hanging="452"/>
        <w:spacing w:after="0" w:line="308" w:lineRule="auto"/>
        <w:tabs>
          <w:tab w:leader="none" w:pos="460" w:val="left"/>
        </w:tabs>
        <w:numPr>
          <w:ilvl w:val="0"/>
          <w:numId w:val="20"/>
        </w:numPr>
        <w:rPr>
          <w:rFonts w:ascii="Arial" w:cs="Arial" w:eastAsia="Arial" w:hAnsi="Arial"/>
          <w:sz w:val="14"/>
          <w:szCs w:val="14"/>
          <w:color w:val="auto"/>
        </w:rPr>
      </w:pPr>
      <w:r>
        <w:rPr>
          <w:rFonts w:ascii="Arial" w:cs="Arial" w:eastAsia="Arial" w:hAnsi="Arial"/>
          <w:sz w:val="17"/>
          <w:szCs w:val="17"/>
          <w:color w:val="auto"/>
        </w:rPr>
        <w:t>Realizable Pay represents: (i) base salary paid; (ii) actual annual incentive earned for performance in the period; and (iii) the value as of December 31, 2016, based on our closing price of $3.81, of any outstanding long-term equity awards granted during the applicable year.</w:t>
      </w:r>
    </w:p>
    <w:p>
      <w:pPr>
        <w:spacing w:after="0" w:line="51" w:lineRule="exact"/>
        <w:rPr>
          <w:rFonts w:ascii="Arial" w:cs="Arial" w:eastAsia="Arial" w:hAnsi="Arial"/>
          <w:sz w:val="14"/>
          <w:szCs w:val="14"/>
          <w:color w:val="auto"/>
        </w:rPr>
      </w:pPr>
    </w:p>
    <w:p>
      <w:pPr>
        <w:ind w:left="460" w:right="80"/>
        <w:spacing w:after="0" w:line="264" w:lineRule="auto"/>
        <w:rPr>
          <w:rFonts w:ascii="Arial" w:cs="Arial" w:eastAsia="Arial" w:hAnsi="Arial"/>
          <w:sz w:val="14"/>
          <w:szCs w:val="14"/>
          <w:color w:val="auto"/>
        </w:rPr>
      </w:pPr>
      <w:r>
        <w:rPr>
          <w:rFonts w:ascii="Arial" w:cs="Arial" w:eastAsia="Arial" w:hAnsi="Arial"/>
          <w:sz w:val="18"/>
          <w:szCs w:val="18"/>
          <w:color w:val="auto"/>
        </w:rPr>
        <w:t>Realizable pay for 2013 does not include any outstanding value for the SARs granted as part of Mr. McInerney’s initial compensation package because the closing price of our stock on December 31, 2016 was below the exercise price of the SARs. It also does not include any value related to his initial grant of RSUs, which have all since vested and are reflected as Realized Pay in the year vested.</w:t>
      </w:r>
    </w:p>
    <w:p>
      <w:pPr>
        <w:spacing w:after="0" w:line="86" w:lineRule="exact"/>
        <w:rPr>
          <w:rFonts w:ascii="Arial" w:cs="Arial" w:eastAsia="Arial" w:hAnsi="Arial"/>
          <w:sz w:val="14"/>
          <w:szCs w:val="14"/>
          <w:color w:val="auto"/>
        </w:rPr>
      </w:pPr>
    </w:p>
    <w:p>
      <w:pPr>
        <w:ind w:left="460" w:right="20"/>
        <w:spacing w:after="0" w:line="277" w:lineRule="auto"/>
        <w:rPr>
          <w:rFonts w:ascii="Arial" w:cs="Arial" w:eastAsia="Arial" w:hAnsi="Arial"/>
          <w:sz w:val="14"/>
          <w:szCs w:val="14"/>
          <w:color w:val="auto"/>
        </w:rPr>
      </w:pPr>
      <w:r>
        <w:rPr>
          <w:rFonts w:ascii="Arial" w:cs="Arial" w:eastAsia="Arial" w:hAnsi="Arial"/>
          <w:sz w:val="18"/>
          <w:szCs w:val="18"/>
          <w:color w:val="auto"/>
        </w:rPr>
        <w:t>Realizable pay for 2014 does not include any outstanding value for the 2014-2016 PSUs because company performance was below threshold levels and those awards have been cancelled.</w:t>
      </w:r>
    </w:p>
    <w:p>
      <w:pPr>
        <w:spacing w:after="0" w:line="75" w:lineRule="exact"/>
        <w:rPr>
          <w:rFonts w:ascii="Arial" w:cs="Arial" w:eastAsia="Arial" w:hAnsi="Arial"/>
          <w:sz w:val="14"/>
          <w:szCs w:val="14"/>
          <w:color w:val="auto"/>
        </w:rPr>
      </w:pPr>
    </w:p>
    <w:p>
      <w:pPr>
        <w:ind w:left="460"/>
        <w:spacing w:after="0" w:line="279" w:lineRule="auto"/>
        <w:rPr>
          <w:rFonts w:ascii="Arial" w:cs="Arial" w:eastAsia="Arial" w:hAnsi="Arial"/>
          <w:sz w:val="14"/>
          <w:szCs w:val="14"/>
          <w:color w:val="auto"/>
        </w:rPr>
      </w:pPr>
      <w:r>
        <w:rPr>
          <w:rFonts w:ascii="Arial" w:cs="Arial" w:eastAsia="Arial" w:hAnsi="Arial"/>
          <w:sz w:val="17"/>
          <w:szCs w:val="17"/>
          <w:color w:val="auto"/>
        </w:rPr>
        <w:t>Realizable pay for 2015 includes the estimated value of 2015-2017 PSUs awarded in 2015 based on applying 2016 year-end performance against the performance goals, and then reflecting achievement at the next highest performance milestone. By applying the company’s 2016 year-end Book Value Multiple to the 2015-2017 PSU performance goals, performance would be below threshold and thus no shares would vest, however, for purposes of this table, we have shown the value as of December 31, 2016 of the threshold number of PSUs (50%).</w:t>
      </w:r>
    </w:p>
    <w:p>
      <w:pPr>
        <w:spacing w:after="0" w:line="76" w:lineRule="exact"/>
        <w:rPr>
          <w:rFonts w:ascii="Arial" w:cs="Arial" w:eastAsia="Arial" w:hAnsi="Arial"/>
          <w:sz w:val="14"/>
          <w:szCs w:val="14"/>
          <w:color w:val="auto"/>
        </w:rPr>
      </w:pPr>
    </w:p>
    <w:p>
      <w:pPr>
        <w:ind w:left="460" w:right="340"/>
        <w:spacing w:after="0" w:line="259" w:lineRule="auto"/>
        <w:rPr>
          <w:rFonts w:ascii="Arial" w:cs="Arial" w:eastAsia="Arial" w:hAnsi="Arial"/>
          <w:sz w:val="14"/>
          <w:szCs w:val="14"/>
          <w:color w:val="auto"/>
        </w:rPr>
      </w:pPr>
      <w:r>
        <w:rPr>
          <w:rFonts w:ascii="Arial" w:cs="Arial" w:eastAsia="Arial" w:hAnsi="Arial"/>
          <w:sz w:val="18"/>
          <w:szCs w:val="18"/>
          <w:color w:val="auto"/>
        </w:rPr>
        <w:t>Realizable pay for 2016 includes the estimated value of 2016-2018 PSUs awarded in 2016 based on applying 2016 year-end projected performance against the performance goals, and then reflecting achievement at the next highest performance milestone. As of the end of 2016, we estimate performance for these awards to be performing at or slightly above target. Therefore, for purposes of this table, we have shown the value as of December 31, 2016 of the maximum number of PSUs (125%).</w:t>
      </w:r>
    </w:p>
    <w:p>
      <w:pPr>
        <w:spacing w:after="0" w:line="92" w:lineRule="exact"/>
        <w:rPr>
          <w:rFonts w:ascii="Arial" w:cs="Arial" w:eastAsia="Arial" w:hAnsi="Arial"/>
          <w:sz w:val="14"/>
          <w:szCs w:val="14"/>
          <w:color w:val="auto"/>
        </w:rPr>
      </w:pPr>
    </w:p>
    <w:p>
      <w:pPr>
        <w:ind w:left="460" w:right="100" w:hanging="452"/>
        <w:spacing w:after="0" w:line="264" w:lineRule="auto"/>
        <w:tabs>
          <w:tab w:leader="none" w:pos="460" w:val="left"/>
        </w:tabs>
        <w:numPr>
          <w:ilvl w:val="0"/>
          <w:numId w:val="20"/>
        </w:numPr>
        <w:rPr>
          <w:rFonts w:ascii="Arial" w:cs="Arial" w:eastAsia="Arial" w:hAnsi="Arial"/>
          <w:sz w:val="15"/>
          <w:szCs w:val="15"/>
          <w:color w:val="auto"/>
        </w:rPr>
      </w:pPr>
      <w:r>
        <w:rPr>
          <w:rFonts w:ascii="Arial" w:cs="Arial" w:eastAsia="Arial" w:hAnsi="Arial"/>
          <w:sz w:val="18"/>
          <w:szCs w:val="18"/>
          <w:color w:val="auto"/>
        </w:rPr>
        <w:t>Realized Pay represents: (i) base salary paid; (ii) actual annual incentive earned for performance in the period; and (iii) the pre-tax value of any RSUs vested or SARs exercised during the period, valued at the time of such vesting or exercise. No SARs have been exercised and no awards of PSUs have vested in the reported timeframe.</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00"/>
          </w:cols>
          <w:pgMar w:left="240" w:top="459" w:right="25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Additional Key Compensation Developments</w:t>
      </w:r>
    </w:p>
    <w:p>
      <w:pPr>
        <w:spacing w:after="0" w:line="131" w:lineRule="exact"/>
        <w:rPr>
          <w:sz w:val="20"/>
          <w:szCs w:val="20"/>
          <w:color w:val="auto"/>
        </w:rPr>
      </w:pPr>
    </w:p>
    <w:p>
      <w:pPr>
        <w:jc w:val="both"/>
        <w:ind w:left="900" w:right="360" w:hanging="325"/>
        <w:spacing w:after="0" w:line="264" w:lineRule="auto"/>
        <w:tabs>
          <w:tab w:leader="none" w:pos="9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CEO was awarded a regular and competitively-sized annual long-term equity grant in the first quarter of 2016, which was different from prior years because his initial long-term equity grants awarded at the time of his hire in January 2013 were intended to provide three-years of annual equity incentive values covering 2013-2015.</w:t>
      </w:r>
    </w:p>
    <w:p>
      <w:pPr>
        <w:spacing w:after="0" w:line="86" w:lineRule="exact"/>
        <w:rPr>
          <w:rFonts w:ascii="Arial" w:cs="Arial" w:eastAsia="Arial" w:hAnsi="Arial"/>
          <w:sz w:val="18"/>
          <w:szCs w:val="18"/>
          <w:color w:val="auto"/>
        </w:rPr>
      </w:pPr>
    </w:p>
    <w:p>
      <w:pPr>
        <w:ind w:left="900" w:right="100" w:hanging="325"/>
        <w:spacing w:after="0" w:line="308" w:lineRule="auto"/>
        <w:tabs>
          <w:tab w:leader="none" w:pos="900" w:val="left"/>
        </w:tabs>
        <w:numPr>
          <w:ilvl w:val="0"/>
          <w:numId w:val="21"/>
        </w:numPr>
        <w:rPr>
          <w:rFonts w:ascii="Arial" w:cs="Arial" w:eastAsia="Arial" w:hAnsi="Arial"/>
          <w:sz w:val="17"/>
          <w:szCs w:val="17"/>
          <w:color w:val="auto"/>
        </w:rPr>
      </w:pPr>
      <w:r>
        <w:rPr>
          <w:rFonts w:ascii="Arial" w:cs="Arial" w:eastAsia="Arial" w:hAnsi="Arial"/>
          <w:sz w:val="17"/>
          <w:szCs w:val="17"/>
          <w:color w:val="auto"/>
        </w:rPr>
        <w:t>For 2016, our CEO’s annual equity award was denominated entirely in PSUs, which vest based on company performance over three years, while awards to our other named executive officers were denominated 50% in the form of PSUs, and the remaining 50% in RSUs.</w:t>
      </w:r>
    </w:p>
    <w:p>
      <w:pPr>
        <w:spacing w:after="0" w:line="51" w:lineRule="exact"/>
        <w:rPr>
          <w:rFonts w:ascii="Arial" w:cs="Arial" w:eastAsia="Arial" w:hAnsi="Arial"/>
          <w:sz w:val="17"/>
          <w:szCs w:val="17"/>
          <w:color w:val="auto"/>
        </w:rPr>
      </w:pPr>
    </w:p>
    <w:p>
      <w:pPr>
        <w:ind w:left="900" w:right="100" w:hanging="325"/>
        <w:spacing w:after="0" w:line="264" w:lineRule="auto"/>
        <w:tabs>
          <w:tab w:leader="none" w:pos="9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Certain previously awarded cash retention incentives for Ms. Groh and Messrs Schneider, Sheehan and Bobitz were earned in 2016. These incentives were established in prior years based on the individual’s demonstrated sustained leadership and importance to the company’s strategic review initiatives. Our CEO has not been awarded any cash retention incentives.</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Consideration of Last Year’s Advisory Stockholder Vote on Executive Compensation</w:t>
      </w:r>
    </w:p>
    <w:p>
      <w:pPr>
        <w:spacing w:after="0" w:line="121"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At the 2016 Annual Meeting of Stockholders on May 12, 2016, over 82% of the shares voted were cast in favor of the compensation of the company’s named executive officers, as discussed and disclosed in the 2016 proxy statement. Annual advisory votes to approve named executive officer compensation serve as a tool to help guide the Compensation Committee in evaluating the alignment of the company’s executive compensation programs with the interests of the company and our stockholders. We also reach out from time to time to obtain stockholder input on the company’s compensation and governance practices, and to address any questions they may have. In considering the results of the 2016 advisory vote to approve named executive officer compensation, the Compensation Committee concluded that the company’s overall pay practices and the compensation paid to our named executive officers for 2015 relative to the company’s performance enjoyed strong stockholder support, and did not make any specific changes to our compensation program as a result of the vote.</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Governance and Principles Underlying Our Compensation Programs</w:t>
      </w:r>
    </w:p>
    <w:p>
      <w:pPr>
        <w:spacing w:after="0" w:line="121" w:lineRule="exact"/>
        <w:rPr>
          <w:sz w:val="20"/>
          <w:szCs w:val="20"/>
          <w:color w:val="auto"/>
        </w:rPr>
      </w:pPr>
    </w:p>
    <w:p>
      <w:pPr>
        <w:ind w:right="220" w:firstLine="456"/>
        <w:spacing w:after="0" w:line="259" w:lineRule="auto"/>
        <w:rPr>
          <w:sz w:val="20"/>
          <w:szCs w:val="20"/>
          <w:color w:val="auto"/>
        </w:rPr>
      </w:pPr>
      <w:r>
        <w:rPr>
          <w:rFonts w:ascii="Arial" w:cs="Arial" w:eastAsia="Arial" w:hAnsi="Arial"/>
          <w:sz w:val="18"/>
          <w:szCs w:val="18"/>
          <w:color w:val="auto"/>
        </w:rPr>
        <w:t>Our objective in compensating executive officers is to attract, retain and motivate employees of superior ability who are dedicated to the long-term interests of our stockholders. With this objective in mind, the following principles guide our compensation program design and individual compensation decisions. Additionally, we have highlighted below key elements of our compensation programs or policies for named executive officers that illustrate how we support these principles in practice:</w:t>
      </w:r>
    </w:p>
    <w:p>
      <w:pPr>
        <w:sectPr>
          <w:pgSz w:w="11900" w:h="16838" w:orient="portrait"/>
          <w:cols w:equalWidth="0" w:num="1">
            <w:col w:w="11420"/>
          </w:cols>
          <w:pgMar w:left="240" w:top="459" w:right="239" w:bottom="1440" w:gutter="0" w:footer="0" w:header="0"/>
        </w:sectPr>
      </w:pP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Our Guiding Principles</w:t>
      </w:r>
    </w:p>
    <w:p>
      <w:pPr>
        <w:spacing w:after="0" w:line="117" w:lineRule="exact"/>
        <w:rPr>
          <w:sz w:val="20"/>
          <w:szCs w:val="20"/>
          <w:color w:val="auto"/>
        </w:rPr>
      </w:pPr>
    </w:p>
    <w:p>
      <w:pPr>
        <w:ind w:right="48"/>
        <w:spacing w:after="0" w:line="342" w:lineRule="auto"/>
        <w:rPr>
          <w:sz w:val="20"/>
          <w:szCs w:val="20"/>
          <w:color w:val="auto"/>
        </w:rPr>
      </w:pPr>
      <w:r>
        <w:rPr>
          <w:rFonts w:ascii="Arial" w:cs="Arial" w:eastAsia="Arial" w:hAnsi="Arial"/>
          <w:sz w:val="16"/>
          <w:szCs w:val="16"/>
          <w:color w:val="auto"/>
        </w:rPr>
        <w:t>Compensation should be primarily performance-based and align executive officer incentives with stockholder interests across multiple timeframes.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-323215</wp:posOffset>
            </wp:positionV>
            <wp:extent cx="7246620" cy="63436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46620" cy="63436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86" w:lineRule="exact"/>
        <w:rPr>
          <w:sz w:val="20"/>
          <w:szCs w:val="20"/>
          <w:color w:val="auto"/>
        </w:rPr>
      </w:pPr>
    </w:p>
    <w:p>
      <w:pPr>
        <w:ind w:left="652"/>
        <w:spacing w:after="0"/>
        <w:rPr>
          <w:sz w:val="20"/>
          <w:szCs w:val="20"/>
          <w:color w:val="auto"/>
        </w:rPr>
      </w:pPr>
      <w:r>
        <w:rPr>
          <w:rFonts w:ascii="Arial" w:cs="Arial" w:eastAsia="Arial" w:hAnsi="Arial"/>
          <w:sz w:val="14"/>
          <w:szCs w:val="14"/>
          <w:b w:val="1"/>
          <w:bCs w:val="1"/>
          <w:color w:val="auto"/>
        </w:rPr>
        <w:t>Examples of Programs or Policies That Support Our Principles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-56515</wp:posOffset>
            </wp:positionH>
            <wp:positionV relativeFrom="paragraph">
              <wp:posOffset>15240</wp:posOffset>
            </wp:positionV>
            <wp:extent cx="340487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404870" cy="8890"/>
                    </a:xfrm>
                    <a:prstGeom prst="rect">
                      <a:avLst/>
                    </a:prstGeom>
                    <a:noFill/>
                  </pic:spPr>
                </pic:pic>
              </a:graphicData>
            </a:graphic>
          </wp:anchor>
        </w:drawing>
      </w:r>
    </w:p>
    <w:p>
      <w:pPr>
        <w:spacing w:after="0" w:line="97" w:lineRule="exact"/>
        <w:rPr>
          <w:sz w:val="20"/>
          <w:szCs w:val="20"/>
          <w:color w:val="auto"/>
        </w:rPr>
      </w:pPr>
    </w:p>
    <w:p>
      <w:pPr>
        <w:ind w:left="232" w:hanging="232"/>
        <w:spacing w:after="0"/>
        <w:tabs>
          <w:tab w:leader="none" w:pos="232" w:val="left"/>
        </w:tabs>
        <w:numPr>
          <w:ilvl w:val="0"/>
          <w:numId w:val="22"/>
        </w:numPr>
        <w:rPr>
          <w:rFonts w:ascii="Arial" w:cs="Arial" w:eastAsia="Arial" w:hAnsi="Arial"/>
          <w:sz w:val="18"/>
          <w:szCs w:val="18"/>
          <w:color w:val="auto"/>
        </w:rPr>
      </w:pPr>
      <w:r>
        <w:rPr>
          <w:rFonts w:ascii="Arial" w:cs="Arial" w:eastAsia="Arial" w:hAnsi="Arial"/>
          <w:sz w:val="18"/>
          <w:szCs w:val="18"/>
          <w:color w:val="auto"/>
        </w:rPr>
        <w:t>Annual incentives (short-term performance-based awards)</w:t>
      </w:r>
    </w:p>
    <w:p>
      <w:pPr>
        <w:spacing w:after="0" w:line="130" w:lineRule="exact"/>
        <w:rPr>
          <w:rFonts w:ascii="Arial" w:cs="Arial" w:eastAsia="Arial" w:hAnsi="Arial"/>
          <w:sz w:val="18"/>
          <w:szCs w:val="18"/>
          <w:color w:val="auto"/>
        </w:rPr>
      </w:pPr>
    </w:p>
    <w:p>
      <w:pPr>
        <w:jc w:val="both"/>
        <w:ind w:left="272" w:hanging="272"/>
        <w:spacing w:after="0" w:line="264" w:lineRule="auto"/>
        <w:tabs>
          <w:tab w:leader="none" w:pos="235" w:val="left"/>
        </w:tabs>
        <w:numPr>
          <w:ilvl w:val="0"/>
          <w:numId w:val="22"/>
        </w:numPr>
        <w:rPr>
          <w:rFonts w:ascii="Arial" w:cs="Arial" w:eastAsia="Arial" w:hAnsi="Arial"/>
          <w:sz w:val="18"/>
          <w:szCs w:val="18"/>
          <w:color w:val="auto"/>
        </w:rPr>
      </w:pPr>
      <w:r>
        <w:rPr>
          <w:rFonts w:ascii="Arial" w:cs="Arial" w:eastAsia="Arial" w:hAnsi="Arial"/>
          <w:sz w:val="18"/>
          <w:szCs w:val="18"/>
          <w:color w:val="auto"/>
        </w:rPr>
        <w:t>Annual long-term equity grants to NEOs include PSUs (vest based on company performance after three years), and RSUs (long-term stock appreciation with an emphasis on retention)</w:t>
      </w:r>
    </w:p>
    <w:p>
      <w:pPr>
        <w:spacing w:after="0" w:line="87" w:lineRule="exact"/>
        <w:rPr>
          <w:sz w:val="20"/>
          <w:szCs w:val="20"/>
          <w:color w:val="auto"/>
        </w:rPr>
      </w:pPr>
    </w:p>
    <w:p>
      <w:pPr>
        <w:sectPr>
          <w:pgSz w:w="11900" w:h="16838" w:orient="portrait"/>
          <w:cols w:equalWidth="0" w:num="2">
            <w:col w:w="5428" w:space="720"/>
            <w:col w:w="5272"/>
          </w:cols>
          <w:pgMar w:left="240" w:top="459" w:right="239" w:bottom="1440" w:gutter="0" w:footer="0" w:header="0"/>
          <w:type w:val="continuous"/>
        </w:sectPr>
      </w:pPr>
    </w:p>
    <w:p>
      <w:pPr>
        <w:ind w:right="108"/>
        <w:spacing w:after="0" w:line="277" w:lineRule="auto"/>
        <w:rPr>
          <w:sz w:val="20"/>
          <w:szCs w:val="20"/>
          <w:color w:val="auto"/>
        </w:rPr>
      </w:pPr>
      <w:r>
        <w:rPr>
          <w:rFonts w:ascii="Arial" w:cs="Arial" w:eastAsia="Arial" w:hAnsi="Arial"/>
          <w:sz w:val="18"/>
          <w:szCs w:val="18"/>
          <w:color w:val="auto"/>
        </w:rPr>
        <w:t>At-risk pay and compensation design should reflect an executive officer’s impact on company performance over time.</w:t>
      </w:r>
    </w:p>
    <w:p>
      <w:pPr>
        <w:spacing w:after="0" w:line="20" w:lineRule="exact"/>
        <w:rPr>
          <w:sz w:val="20"/>
          <w:szCs w:val="20"/>
          <w:color w:val="auto"/>
        </w:rPr>
      </w:pPr>
      <w:r>
        <w:rPr>
          <w:sz w:val="20"/>
          <w:szCs w:val="20"/>
          <w:color w:val="auto"/>
        </w:rPr>
        <w:br w:type="column"/>
      </w:r>
    </w:p>
    <w:p>
      <w:pPr>
        <w:ind w:left="272" w:right="220" w:hanging="272"/>
        <w:spacing w:after="0" w:line="342" w:lineRule="auto"/>
        <w:tabs>
          <w:tab w:leader="none" w:pos="245" w:val="left"/>
        </w:tabs>
        <w:numPr>
          <w:ilvl w:val="0"/>
          <w:numId w:val="23"/>
        </w:numPr>
        <w:rPr>
          <w:rFonts w:ascii="Arial" w:cs="Arial" w:eastAsia="Arial" w:hAnsi="Arial"/>
          <w:sz w:val="16"/>
          <w:szCs w:val="16"/>
          <w:color w:val="auto"/>
        </w:rPr>
      </w:pPr>
      <w:r>
        <w:rPr>
          <w:rFonts w:ascii="Arial" w:cs="Arial" w:eastAsia="Arial" w:hAnsi="Arial"/>
          <w:sz w:val="16"/>
          <w:szCs w:val="16"/>
          <w:color w:val="auto"/>
        </w:rPr>
        <w:t>Our CEO’s 2016 equity grant was delivered 100% in PSUs, while other NEO awards were delivered 50% in PSUs and 50% in RSUs</w:t>
      </w:r>
    </w:p>
    <w:p>
      <w:pPr>
        <w:spacing w:after="0" w:line="29" w:lineRule="exact"/>
        <w:rPr>
          <w:rFonts w:ascii="Arial" w:cs="Arial" w:eastAsia="Arial" w:hAnsi="Arial"/>
          <w:sz w:val="16"/>
          <w:szCs w:val="16"/>
          <w:color w:val="auto"/>
        </w:rPr>
      </w:pPr>
    </w:p>
    <w:p>
      <w:pPr>
        <w:ind w:left="272" w:right="380" w:hanging="272"/>
        <w:spacing w:after="0" w:line="277" w:lineRule="auto"/>
        <w:tabs>
          <w:tab w:leader="none" w:pos="245" w:val="left"/>
        </w:tabs>
        <w:numPr>
          <w:ilvl w:val="0"/>
          <w:numId w:val="23"/>
        </w:numPr>
        <w:rPr>
          <w:rFonts w:ascii="Arial" w:cs="Arial" w:eastAsia="Arial" w:hAnsi="Arial"/>
          <w:sz w:val="18"/>
          <w:szCs w:val="18"/>
          <w:color w:val="auto"/>
        </w:rPr>
      </w:pPr>
      <w:r>
        <w:rPr>
          <w:rFonts w:ascii="Arial" w:cs="Arial" w:eastAsia="Arial" w:hAnsi="Arial"/>
          <w:sz w:val="18"/>
          <w:szCs w:val="18"/>
          <w:color w:val="auto"/>
        </w:rPr>
        <w:t>Long-term incentives constitute the largest component of annual compensation opportunities for executive officers</w:t>
      </w:r>
    </w:p>
    <w:p>
      <w:pPr>
        <w:spacing w:after="0" w:line="75" w:lineRule="exact"/>
        <w:rPr>
          <w:rFonts w:ascii="Arial" w:cs="Arial" w:eastAsia="Arial" w:hAnsi="Arial"/>
          <w:sz w:val="18"/>
          <w:szCs w:val="18"/>
          <w:color w:val="auto"/>
        </w:rPr>
      </w:pPr>
    </w:p>
    <w:p>
      <w:pPr>
        <w:ind w:left="272" w:hanging="272"/>
        <w:spacing w:after="0" w:line="277" w:lineRule="auto"/>
        <w:tabs>
          <w:tab w:leader="none" w:pos="235" w:val="left"/>
        </w:tabs>
        <w:numPr>
          <w:ilvl w:val="0"/>
          <w:numId w:val="23"/>
        </w:numPr>
        <w:rPr>
          <w:rFonts w:ascii="Arial" w:cs="Arial" w:eastAsia="Arial" w:hAnsi="Arial"/>
          <w:sz w:val="18"/>
          <w:szCs w:val="18"/>
          <w:color w:val="auto"/>
        </w:rPr>
      </w:pPr>
      <w:r>
        <w:rPr>
          <w:rFonts w:ascii="Arial" w:cs="Arial" w:eastAsia="Arial" w:hAnsi="Arial"/>
          <w:sz w:val="18"/>
          <w:szCs w:val="18"/>
          <w:color w:val="auto"/>
        </w:rPr>
        <w:t>Annual incentive goals align NEO compensation with performance in their area of responsibility</w:t>
      </w:r>
    </w:p>
    <w:p>
      <w:pPr>
        <w:spacing w:after="0" w:line="116" w:lineRule="exact"/>
        <w:rPr>
          <w:sz w:val="20"/>
          <w:szCs w:val="20"/>
          <w:color w:val="auto"/>
        </w:rPr>
      </w:pPr>
    </w:p>
    <w:p>
      <w:pPr>
        <w:sectPr>
          <w:pgSz w:w="11900" w:h="16838" w:orient="portrait"/>
          <w:cols w:equalWidth="0" w:num="2">
            <w:col w:w="5428" w:space="720"/>
            <w:col w:w="5272"/>
          </w:cols>
          <w:pgMar w:left="240" w:top="459" w:right="239" w:bottom="1440" w:gutter="0" w:footer="0" w:header="0"/>
          <w:type w:val="continuous"/>
        </w:sectPr>
      </w:pPr>
    </w:p>
    <w:p>
      <w:pPr>
        <w:jc w:val="center"/>
        <w:spacing w:after="0"/>
        <w:rPr>
          <w:sz w:val="20"/>
          <w:szCs w:val="20"/>
          <w:color w:val="auto"/>
        </w:rPr>
      </w:pPr>
      <w:r>
        <w:rPr>
          <w:rFonts w:ascii="Arial" w:cs="Arial" w:eastAsia="Arial" w:hAnsi="Arial"/>
          <w:sz w:val="16"/>
          <w:szCs w:val="16"/>
          <w:color w:val="auto"/>
        </w:rPr>
        <w:t>16</w:t>
      </w:r>
    </w:p>
    <w:p>
      <w:pPr>
        <w:sectPr>
          <w:pgSz w:w="11900" w:h="16838" w:orient="portrait"/>
          <w:cols w:equalWidth="0" w:num="1">
            <w:col w:w="11420"/>
          </w:cols>
          <w:pgMar w:left="240" w:top="459" w:right="239" w:bottom="1440" w:gutter="0" w:footer="0" w:header="0"/>
          <w:type w:val="continuous"/>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5780" w:type="dxa"/>
            <w:vAlign w:val="bottom"/>
            <w:shd w:val="clear" w:color="auto" w:fill="CCEEFF"/>
          </w:tcPr>
          <w:p>
            <w:pPr>
              <w:spacing w:after="0"/>
              <w:rPr>
                <w:sz w:val="20"/>
                <w:szCs w:val="20"/>
                <w:color w:val="auto"/>
              </w:rPr>
            </w:pPr>
            <w:r>
              <w:rPr>
                <w:rFonts w:ascii="Arial" w:cs="Arial" w:eastAsia="Arial" w:hAnsi="Arial"/>
                <w:sz w:val="18"/>
                <w:szCs w:val="18"/>
                <w:color w:val="auto"/>
                <w:w w:val="96"/>
              </w:rPr>
              <w:t>Total compensation opportunities should be competitive within the relevant</w:t>
            </w:r>
          </w:p>
        </w:tc>
        <w:tc>
          <w:tcPr>
            <w:tcW w:w="5620" w:type="dxa"/>
            <w:vAlign w:val="bottom"/>
            <w:shd w:val="clear" w:color="auto" w:fill="CCEEFF"/>
          </w:tcPr>
          <w:p>
            <w:pPr>
              <w:ind w:left="340"/>
              <w:spacing w:after="0"/>
              <w:rPr>
                <w:sz w:val="20"/>
                <w:szCs w:val="20"/>
                <w:color w:val="auto"/>
              </w:rPr>
            </w:pPr>
            <w:r>
              <w:rPr>
                <w:rFonts w:ascii="Arial" w:cs="Arial" w:eastAsia="Arial" w:hAnsi="Arial"/>
                <w:sz w:val="18"/>
                <w:szCs w:val="18"/>
                <w:color w:val="auto"/>
                <w:w w:val="92"/>
              </w:rPr>
              <w:t>•  Our compensation benchmarking approach, as described below, and</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780" w:type="dxa"/>
            <w:vAlign w:val="bottom"/>
            <w:shd w:val="clear" w:color="auto" w:fill="CCEEFF"/>
          </w:tcPr>
          <w:p>
            <w:pPr>
              <w:spacing w:after="0"/>
              <w:rPr>
                <w:sz w:val="20"/>
                <w:szCs w:val="20"/>
                <w:color w:val="auto"/>
              </w:rPr>
            </w:pPr>
            <w:r>
              <w:rPr>
                <w:rFonts w:ascii="Arial" w:cs="Arial" w:eastAsia="Arial" w:hAnsi="Arial"/>
                <w:sz w:val="18"/>
                <w:szCs w:val="18"/>
                <w:color w:val="auto"/>
              </w:rPr>
              <w:t>marketplace.</w:t>
            </w:r>
          </w:p>
        </w:tc>
        <w:tc>
          <w:tcPr>
            <w:tcW w:w="5620" w:type="dxa"/>
            <w:vAlign w:val="bottom"/>
            <w:shd w:val="clear" w:color="auto" w:fill="CCEEFF"/>
          </w:tcPr>
          <w:p>
            <w:pPr>
              <w:ind w:left="620"/>
              <w:spacing w:after="0"/>
              <w:rPr>
                <w:sz w:val="20"/>
                <w:szCs w:val="20"/>
                <w:color w:val="auto"/>
              </w:rPr>
            </w:pPr>
            <w:r>
              <w:rPr>
                <w:rFonts w:ascii="Arial" w:cs="Arial" w:eastAsia="Arial" w:hAnsi="Arial"/>
                <w:sz w:val="18"/>
                <w:szCs w:val="18"/>
                <w:color w:val="auto"/>
              </w:rPr>
              <w:t>changes adopted to our peer group in 2016</w:t>
            </w:r>
          </w:p>
        </w:tc>
        <w:tc>
          <w:tcPr>
            <w:tcW w:w="0" w:type="dxa"/>
            <w:vAlign w:val="bottom"/>
          </w:tcPr>
          <w:p>
            <w:pPr>
              <w:spacing w:after="0"/>
              <w:rPr>
                <w:sz w:val="1"/>
                <w:szCs w:val="1"/>
                <w:color w:val="auto"/>
              </w:rPr>
            </w:pPr>
          </w:p>
        </w:tc>
      </w:tr>
      <w:tr>
        <w:trPr>
          <w:trHeight w:val="310"/>
        </w:trPr>
        <w:tc>
          <w:tcPr>
            <w:tcW w:w="5800" w:type="dxa"/>
            <w:vAlign w:val="bottom"/>
            <w:gridSpan w:val="2"/>
          </w:tcPr>
          <w:p>
            <w:pPr>
              <w:spacing w:after="0"/>
              <w:rPr>
                <w:sz w:val="20"/>
                <w:szCs w:val="20"/>
                <w:color w:val="auto"/>
              </w:rPr>
            </w:pPr>
            <w:r>
              <w:rPr>
                <w:rFonts w:ascii="Arial" w:cs="Arial" w:eastAsia="Arial" w:hAnsi="Arial"/>
                <w:sz w:val="18"/>
                <w:szCs w:val="18"/>
                <w:color w:val="auto"/>
              </w:rPr>
              <w:t>Our incentive compensation should reward financial and operational</w:t>
            </w:r>
          </w:p>
        </w:tc>
        <w:tc>
          <w:tcPr>
            <w:tcW w:w="5620" w:type="dxa"/>
            <w:vAlign w:val="bottom"/>
          </w:tcPr>
          <w:p>
            <w:pPr>
              <w:ind w:left="340"/>
              <w:spacing w:after="0"/>
              <w:rPr>
                <w:sz w:val="20"/>
                <w:szCs w:val="20"/>
                <w:color w:val="auto"/>
              </w:rPr>
            </w:pPr>
            <w:r>
              <w:rPr>
                <w:rFonts w:ascii="Arial" w:cs="Arial" w:eastAsia="Arial" w:hAnsi="Arial"/>
                <w:sz w:val="18"/>
                <w:szCs w:val="18"/>
                <w:color w:val="auto"/>
              </w:rPr>
              <w:t>•  In determining annual incentive awards, the Compensation</w:t>
            </w:r>
          </w:p>
        </w:tc>
        <w:tc>
          <w:tcPr>
            <w:tcW w:w="0" w:type="dxa"/>
            <w:vAlign w:val="bottom"/>
          </w:tcPr>
          <w:p>
            <w:pPr>
              <w:spacing w:after="0"/>
              <w:rPr>
                <w:sz w:val="1"/>
                <w:szCs w:val="1"/>
                <w:color w:val="auto"/>
              </w:rPr>
            </w:pPr>
          </w:p>
        </w:tc>
      </w:tr>
      <w:tr>
        <w:trPr>
          <w:trHeight w:val="216"/>
        </w:trPr>
        <w:tc>
          <w:tcPr>
            <w:tcW w:w="5800" w:type="dxa"/>
            <w:vAlign w:val="bottom"/>
            <w:gridSpan w:val="2"/>
          </w:tcPr>
          <w:p>
            <w:pPr>
              <w:spacing w:after="0"/>
              <w:rPr>
                <w:sz w:val="20"/>
                <w:szCs w:val="20"/>
                <w:color w:val="auto"/>
              </w:rPr>
            </w:pPr>
            <w:r>
              <w:rPr>
                <w:rFonts w:ascii="Arial" w:cs="Arial" w:eastAsia="Arial" w:hAnsi="Arial"/>
                <w:sz w:val="18"/>
                <w:szCs w:val="18"/>
                <w:color w:val="auto"/>
              </w:rPr>
              <w:t>performance, and allow for qualitative assessment.</w:t>
            </w:r>
          </w:p>
        </w:tc>
        <w:tc>
          <w:tcPr>
            <w:tcW w:w="5620" w:type="dxa"/>
            <w:vAlign w:val="bottom"/>
          </w:tcPr>
          <w:p>
            <w:pPr>
              <w:ind w:left="620"/>
              <w:spacing w:after="0"/>
              <w:rPr>
                <w:sz w:val="20"/>
                <w:szCs w:val="20"/>
                <w:color w:val="auto"/>
              </w:rPr>
            </w:pPr>
            <w:r>
              <w:rPr>
                <w:rFonts w:ascii="Arial" w:cs="Arial" w:eastAsia="Arial" w:hAnsi="Arial"/>
                <w:sz w:val="18"/>
                <w:szCs w:val="18"/>
                <w:color w:val="auto"/>
              </w:rPr>
              <w:t>Committee measures performance against specific financial</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80" w:type="dxa"/>
            <w:vAlign w:val="bottom"/>
          </w:tcPr>
          <w:p>
            <w:pPr>
              <w:spacing w:after="0"/>
              <w:rPr>
                <w:sz w:val="18"/>
                <w:szCs w:val="18"/>
                <w:color w:val="auto"/>
              </w:rPr>
            </w:pPr>
          </w:p>
        </w:tc>
        <w:tc>
          <w:tcPr>
            <w:tcW w:w="5620" w:type="dxa"/>
            <w:vAlign w:val="bottom"/>
          </w:tcPr>
          <w:p>
            <w:pPr>
              <w:ind w:left="620"/>
              <w:spacing w:after="0"/>
              <w:rPr>
                <w:sz w:val="20"/>
                <w:szCs w:val="20"/>
                <w:color w:val="auto"/>
              </w:rPr>
            </w:pPr>
            <w:r>
              <w:rPr>
                <w:rFonts w:ascii="Arial" w:cs="Arial" w:eastAsia="Arial" w:hAnsi="Arial"/>
                <w:sz w:val="18"/>
                <w:szCs w:val="18"/>
                <w:color w:val="auto"/>
                <w:w w:val="98"/>
              </w:rPr>
              <w:t>objectives for the person’s area of responsibility, together with a</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780" w:type="dxa"/>
            <w:vAlign w:val="bottom"/>
          </w:tcPr>
          <w:p>
            <w:pPr>
              <w:spacing w:after="0"/>
              <w:rPr>
                <w:sz w:val="20"/>
                <w:szCs w:val="20"/>
                <w:color w:val="auto"/>
              </w:rPr>
            </w:pPr>
          </w:p>
        </w:tc>
        <w:tc>
          <w:tcPr>
            <w:tcW w:w="5620" w:type="dxa"/>
            <w:vAlign w:val="bottom"/>
          </w:tcPr>
          <w:p>
            <w:pPr>
              <w:ind w:left="620"/>
              <w:spacing w:after="0"/>
              <w:rPr>
                <w:sz w:val="20"/>
                <w:szCs w:val="20"/>
                <w:color w:val="auto"/>
              </w:rPr>
            </w:pPr>
            <w:r>
              <w:rPr>
                <w:rFonts w:ascii="Arial" w:cs="Arial" w:eastAsia="Arial" w:hAnsi="Arial"/>
                <w:sz w:val="18"/>
                <w:szCs w:val="18"/>
                <w:color w:val="auto"/>
                <w:w w:val="92"/>
              </w:rPr>
              <w:t>qualitative assessment of operational performance and other results</w:t>
            </w:r>
          </w:p>
        </w:tc>
        <w:tc>
          <w:tcPr>
            <w:tcW w:w="0" w:type="dxa"/>
            <w:vAlign w:val="bottom"/>
          </w:tcPr>
          <w:p>
            <w:pPr>
              <w:spacing w:after="0"/>
              <w:rPr>
                <w:sz w:val="1"/>
                <w:szCs w:val="1"/>
                <w:color w:val="auto"/>
              </w:rPr>
            </w:pPr>
          </w:p>
        </w:tc>
      </w:tr>
      <w:tr>
        <w:trPr>
          <w:trHeight w:val="323"/>
        </w:trPr>
        <w:tc>
          <w:tcPr>
            <w:tcW w:w="20" w:type="dxa"/>
            <w:vAlign w:val="bottom"/>
          </w:tcPr>
          <w:p>
            <w:pPr>
              <w:spacing w:after="0"/>
              <w:rPr>
                <w:sz w:val="24"/>
                <w:szCs w:val="24"/>
                <w:color w:val="auto"/>
              </w:rPr>
            </w:pPr>
          </w:p>
        </w:tc>
        <w:tc>
          <w:tcPr>
            <w:tcW w:w="5780" w:type="dxa"/>
            <w:vAlign w:val="bottom"/>
          </w:tcPr>
          <w:p>
            <w:pPr>
              <w:spacing w:after="0"/>
              <w:rPr>
                <w:sz w:val="24"/>
                <w:szCs w:val="24"/>
                <w:color w:val="auto"/>
              </w:rPr>
            </w:pPr>
          </w:p>
        </w:tc>
        <w:tc>
          <w:tcPr>
            <w:tcW w:w="5620" w:type="dxa"/>
            <w:vAlign w:val="bottom"/>
          </w:tcPr>
          <w:p>
            <w:pPr>
              <w:ind w:left="340"/>
              <w:spacing w:after="0"/>
              <w:rPr>
                <w:sz w:val="20"/>
                <w:szCs w:val="20"/>
                <w:color w:val="auto"/>
              </w:rPr>
            </w:pPr>
            <w:r>
              <w:rPr>
                <w:rFonts w:ascii="Arial" w:cs="Arial" w:eastAsia="Arial" w:hAnsi="Arial"/>
                <w:sz w:val="18"/>
                <w:szCs w:val="18"/>
                <w:color w:val="auto"/>
              </w:rPr>
              <w:t>•  Our PSUs reward achievement of specific longer-term company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80" w:type="dxa"/>
            <w:vAlign w:val="bottom"/>
          </w:tcPr>
          <w:p>
            <w:pPr>
              <w:spacing w:after="0"/>
              <w:rPr>
                <w:sz w:val="18"/>
                <w:szCs w:val="18"/>
                <w:color w:val="auto"/>
              </w:rPr>
            </w:pPr>
          </w:p>
        </w:tc>
        <w:tc>
          <w:tcPr>
            <w:tcW w:w="5620" w:type="dxa"/>
            <w:vAlign w:val="bottom"/>
          </w:tcPr>
          <w:p>
            <w:pPr>
              <w:ind w:left="620"/>
              <w:spacing w:after="0"/>
              <w:rPr>
                <w:sz w:val="20"/>
                <w:szCs w:val="20"/>
                <w:color w:val="auto"/>
              </w:rPr>
            </w:pPr>
            <w:r>
              <w:rPr>
                <w:rFonts w:ascii="Arial" w:cs="Arial" w:eastAsia="Arial" w:hAnsi="Arial"/>
                <w:sz w:val="18"/>
                <w:szCs w:val="18"/>
                <w:color w:val="auto"/>
              </w:rPr>
              <w:t>objectives, while the Compensation Committee reserves the</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780" w:type="dxa"/>
            <w:vAlign w:val="bottom"/>
          </w:tcPr>
          <w:p>
            <w:pPr>
              <w:spacing w:after="0"/>
              <w:rPr>
                <w:sz w:val="20"/>
                <w:szCs w:val="20"/>
                <w:color w:val="auto"/>
              </w:rPr>
            </w:pPr>
          </w:p>
        </w:tc>
        <w:tc>
          <w:tcPr>
            <w:tcW w:w="5620" w:type="dxa"/>
            <w:vAlign w:val="bottom"/>
          </w:tcPr>
          <w:p>
            <w:pPr>
              <w:ind w:left="620"/>
              <w:spacing w:after="0"/>
              <w:rPr>
                <w:sz w:val="20"/>
                <w:szCs w:val="20"/>
                <w:color w:val="auto"/>
              </w:rPr>
            </w:pPr>
            <w:r>
              <w:rPr>
                <w:rFonts w:ascii="Arial" w:cs="Arial" w:eastAsia="Arial" w:hAnsi="Arial"/>
                <w:sz w:val="18"/>
                <w:szCs w:val="18"/>
                <w:color w:val="auto"/>
              </w:rPr>
              <w:t>flexibility of negative discretion at payout</w:t>
            </w:r>
          </w:p>
        </w:tc>
        <w:tc>
          <w:tcPr>
            <w:tcW w:w="0" w:type="dxa"/>
            <w:vAlign w:val="bottom"/>
          </w:tcPr>
          <w:p>
            <w:pPr>
              <w:spacing w:after="0"/>
              <w:rPr>
                <w:sz w:val="1"/>
                <w:szCs w:val="1"/>
                <w:color w:val="auto"/>
              </w:rPr>
            </w:pPr>
          </w:p>
        </w:tc>
      </w:tr>
      <w:tr>
        <w:trPr>
          <w:trHeight w:val="122"/>
        </w:trPr>
        <w:tc>
          <w:tcPr>
            <w:tcW w:w="20" w:type="dxa"/>
            <w:vAlign w:val="bottom"/>
            <w:vMerge w:val="restart"/>
          </w:tcPr>
          <w:p>
            <w:pPr>
              <w:spacing w:after="0"/>
              <w:rPr>
                <w:sz w:val="10"/>
                <w:szCs w:val="10"/>
                <w:color w:val="auto"/>
              </w:rPr>
            </w:pPr>
          </w:p>
        </w:tc>
        <w:tc>
          <w:tcPr>
            <w:tcW w:w="5780" w:type="dxa"/>
            <w:vAlign w:val="bottom"/>
          </w:tcPr>
          <w:p>
            <w:pPr>
              <w:spacing w:after="0"/>
              <w:rPr>
                <w:sz w:val="10"/>
                <w:szCs w:val="10"/>
                <w:color w:val="auto"/>
              </w:rPr>
            </w:pPr>
          </w:p>
        </w:tc>
        <w:tc>
          <w:tcPr>
            <w:tcW w:w="56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57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8"/>
              </w:rPr>
              <w:t>Plan designs and incentives should support appropriate risk management</w:t>
            </w:r>
          </w:p>
        </w:tc>
        <w:tc>
          <w:tcPr>
            <w:tcW w:w="5620" w:type="dxa"/>
            <w:vAlign w:val="bottom"/>
            <w:shd w:val="clear" w:color="auto" w:fill="CCEEFF"/>
          </w:tcPr>
          <w:p>
            <w:pPr>
              <w:ind w:left="340"/>
              <w:spacing w:after="0" w:line="201" w:lineRule="exact"/>
              <w:rPr>
                <w:sz w:val="20"/>
                <w:szCs w:val="20"/>
                <w:color w:val="auto"/>
              </w:rPr>
            </w:pPr>
            <w:r>
              <w:rPr>
                <w:rFonts w:ascii="Arial" w:cs="Arial" w:eastAsia="Arial" w:hAnsi="Arial"/>
                <w:sz w:val="18"/>
                <w:szCs w:val="18"/>
                <w:color w:val="auto"/>
              </w:rPr>
              <w:t>•  Executive Officer Stock ownership guidelines for the CEO (7x</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80" w:type="dxa"/>
            <w:vAlign w:val="bottom"/>
            <w:shd w:val="clear" w:color="auto" w:fill="CCEEFF"/>
          </w:tcPr>
          <w:p>
            <w:pPr>
              <w:spacing w:after="0"/>
              <w:rPr>
                <w:sz w:val="20"/>
                <w:szCs w:val="20"/>
                <w:color w:val="auto"/>
              </w:rPr>
            </w:pPr>
            <w:r>
              <w:rPr>
                <w:rFonts w:ascii="Arial" w:cs="Arial" w:eastAsia="Arial" w:hAnsi="Arial"/>
                <w:sz w:val="18"/>
                <w:szCs w:val="18"/>
                <w:color w:val="auto"/>
              </w:rPr>
              <w:t>practices.</w:t>
            </w:r>
          </w:p>
        </w:tc>
        <w:tc>
          <w:tcPr>
            <w:tcW w:w="5620" w:type="dxa"/>
            <w:vAlign w:val="bottom"/>
            <w:shd w:val="clear" w:color="auto" w:fill="CCEEFF"/>
          </w:tcPr>
          <w:p>
            <w:pPr>
              <w:ind w:left="620"/>
              <w:spacing w:after="0"/>
              <w:rPr>
                <w:sz w:val="20"/>
                <w:szCs w:val="20"/>
                <w:color w:val="auto"/>
              </w:rPr>
            </w:pPr>
            <w:r>
              <w:rPr>
                <w:rFonts w:ascii="Arial" w:cs="Arial" w:eastAsia="Arial" w:hAnsi="Arial"/>
                <w:sz w:val="18"/>
                <w:szCs w:val="18"/>
                <w:color w:val="auto"/>
                <w:w w:val="96"/>
              </w:rPr>
              <w:t>salary), our COO, CFO and CIO (3x), and for our other Executive</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780" w:type="dxa"/>
            <w:vAlign w:val="bottom"/>
            <w:shd w:val="clear" w:color="auto" w:fill="CCEEFF"/>
          </w:tcPr>
          <w:p>
            <w:pPr>
              <w:spacing w:after="0"/>
              <w:rPr>
                <w:sz w:val="20"/>
                <w:szCs w:val="20"/>
                <w:color w:val="auto"/>
              </w:rPr>
            </w:pPr>
          </w:p>
        </w:tc>
        <w:tc>
          <w:tcPr>
            <w:tcW w:w="5620" w:type="dxa"/>
            <w:vAlign w:val="bottom"/>
            <w:shd w:val="clear" w:color="auto" w:fill="CCEEFF"/>
          </w:tcPr>
          <w:p>
            <w:pPr>
              <w:ind w:left="620"/>
              <w:spacing w:after="0"/>
              <w:rPr>
                <w:sz w:val="20"/>
                <w:szCs w:val="20"/>
                <w:color w:val="auto"/>
              </w:rPr>
            </w:pPr>
            <w:r>
              <w:rPr>
                <w:rFonts w:ascii="Arial" w:cs="Arial" w:eastAsia="Arial" w:hAnsi="Arial"/>
                <w:sz w:val="18"/>
                <w:szCs w:val="18"/>
                <w:color w:val="auto"/>
              </w:rPr>
              <w:t>Vice Presidents or Senior Vice Presidents (2x)</w:t>
            </w:r>
          </w:p>
        </w:tc>
        <w:tc>
          <w:tcPr>
            <w:tcW w:w="0" w:type="dxa"/>
            <w:vAlign w:val="bottom"/>
          </w:tcPr>
          <w:p>
            <w:pPr>
              <w:spacing w:after="0"/>
              <w:rPr>
                <w:sz w:val="1"/>
                <w:szCs w:val="1"/>
                <w:color w:val="auto"/>
              </w:rPr>
            </w:pPr>
          </w:p>
        </w:tc>
      </w:tr>
      <w:tr>
        <w:trPr>
          <w:trHeight w:val="323"/>
        </w:trPr>
        <w:tc>
          <w:tcPr>
            <w:tcW w:w="20" w:type="dxa"/>
            <w:vAlign w:val="bottom"/>
          </w:tcPr>
          <w:p>
            <w:pPr>
              <w:spacing w:after="0"/>
              <w:rPr>
                <w:sz w:val="24"/>
                <w:szCs w:val="24"/>
                <w:color w:val="auto"/>
              </w:rPr>
            </w:pPr>
          </w:p>
        </w:tc>
        <w:tc>
          <w:tcPr>
            <w:tcW w:w="5780" w:type="dxa"/>
            <w:vAlign w:val="bottom"/>
            <w:shd w:val="clear" w:color="auto" w:fill="CCEEFF"/>
          </w:tcPr>
          <w:p>
            <w:pPr>
              <w:spacing w:after="0"/>
              <w:rPr>
                <w:sz w:val="24"/>
                <w:szCs w:val="24"/>
                <w:color w:val="auto"/>
              </w:rPr>
            </w:pPr>
          </w:p>
        </w:tc>
        <w:tc>
          <w:tcPr>
            <w:tcW w:w="5620" w:type="dxa"/>
            <w:vAlign w:val="bottom"/>
            <w:shd w:val="clear" w:color="auto" w:fill="CCEEFF"/>
          </w:tcPr>
          <w:p>
            <w:pPr>
              <w:ind w:left="340"/>
              <w:spacing w:after="0"/>
              <w:rPr>
                <w:sz w:val="20"/>
                <w:szCs w:val="20"/>
                <w:color w:val="auto"/>
              </w:rPr>
            </w:pPr>
            <w:r>
              <w:rPr>
                <w:rFonts w:ascii="Arial" w:cs="Arial" w:eastAsia="Arial" w:hAnsi="Arial"/>
                <w:sz w:val="18"/>
                <w:szCs w:val="18"/>
                <w:color w:val="auto"/>
                <w:w w:val="93"/>
              </w:rPr>
              <w:t>•  50% retention ratio for net after-tax shares received from the vesting</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80" w:type="dxa"/>
            <w:vAlign w:val="bottom"/>
            <w:shd w:val="clear" w:color="auto" w:fill="CCEEFF"/>
          </w:tcPr>
          <w:p>
            <w:pPr>
              <w:spacing w:after="0"/>
              <w:rPr>
                <w:sz w:val="18"/>
                <w:szCs w:val="18"/>
                <w:color w:val="auto"/>
              </w:rPr>
            </w:pPr>
          </w:p>
        </w:tc>
        <w:tc>
          <w:tcPr>
            <w:tcW w:w="5620" w:type="dxa"/>
            <w:vAlign w:val="bottom"/>
            <w:shd w:val="clear" w:color="auto" w:fill="CCEEFF"/>
          </w:tcPr>
          <w:p>
            <w:pPr>
              <w:ind w:left="620"/>
              <w:spacing w:after="0"/>
              <w:rPr>
                <w:sz w:val="20"/>
                <w:szCs w:val="20"/>
                <w:color w:val="auto"/>
              </w:rPr>
            </w:pPr>
            <w:r>
              <w:rPr>
                <w:rFonts w:ascii="Arial" w:cs="Arial" w:eastAsia="Arial" w:hAnsi="Arial"/>
                <w:sz w:val="18"/>
                <w:szCs w:val="18"/>
                <w:color w:val="auto"/>
                <w:w w:val="97"/>
              </w:rPr>
              <w:t>or exercise of all equity incentive awards until executive officers’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80" w:type="dxa"/>
            <w:vAlign w:val="bottom"/>
            <w:shd w:val="clear" w:color="auto" w:fill="CCEEFF"/>
          </w:tcPr>
          <w:p>
            <w:pPr>
              <w:spacing w:after="0"/>
              <w:rPr>
                <w:sz w:val="18"/>
                <w:szCs w:val="18"/>
                <w:color w:val="auto"/>
              </w:rPr>
            </w:pPr>
          </w:p>
        </w:tc>
        <w:tc>
          <w:tcPr>
            <w:tcW w:w="5620" w:type="dxa"/>
            <w:vAlign w:val="bottom"/>
            <w:shd w:val="clear" w:color="auto" w:fill="CCEEFF"/>
          </w:tcPr>
          <w:p>
            <w:pPr>
              <w:ind w:left="620"/>
              <w:spacing w:after="0"/>
              <w:rPr>
                <w:sz w:val="20"/>
                <w:szCs w:val="20"/>
                <w:color w:val="auto"/>
              </w:rPr>
            </w:pPr>
            <w:r>
              <w:rPr>
                <w:rFonts w:ascii="Arial" w:cs="Arial" w:eastAsia="Arial" w:hAnsi="Arial"/>
                <w:sz w:val="18"/>
                <w:szCs w:val="18"/>
                <w:color w:val="auto"/>
                <w:w w:val="95"/>
              </w:rPr>
              <w:t>stock ownership guidelines are met, ensuring significant personal</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780" w:type="dxa"/>
            <w:vAlign w:val="bottom"/>
            <w:shd w:val="clear" w:color="auto" w:fill="CCEEFF"/>
          </w:tcPr>
          <w:p>
            <w:pPr>
              <w:spacing w:after="0"/>
              <w:rPr>
                <w:sz w:val="20"/>
                <w:szCs w:val="20"/>
                <w:color w:val="auto"/>
              </w:rPr>
            </w:pPr>
          </w:p>
        </w:tc>
        <w:tc>
          <w:tcPr>
            <w:tcW w:w="5620" w:type="dxa"/>
            <w:vAlign w:val="bottom"/>
            <w:shd w:val="clear" w:color="auto" w:fill="CCEEFF"/>
          </w:tcPr>
          <w:p>
            <w:pPr>
              <w:ind w:left="620"/>
              <w:spacing w:after="0"/>
              <w:rPr>
                <w:sz w:val="20"/>
                <w:szCs w:val="20"/>
                <w:color w:val="auto"/>
              </w:rPr>
            </w:pPr>
            <w:r>
              <w:rPr>
                <w:rFonts w:ascii="Arial" w:cs="Arial" w:eastAsia="Arial" w:hAnsi="Arial"/>
                <w:sz w:val="18"/>
                <w:szCs w:val="18"/>
                <w:color w:val="auto"/>
              </w:rPr>
              <w:t>assets are aligned with long-term stockholder interests</w:t>
            </w:r>
          </w:p>
        </w:tc>
        <w:tc>
          <w:tcPr>
            <w:tcW w:w="0" w:type="dxa"/>
            <w:vAlign w:val="bottom"/>
          </w:tcPr>
          <w:p>
            <w:pPr>
              <w:spacing w:after="0"/>
              <w:rPr>
                <w:sz w:val="1"/>
                <w:szCs w:val="1"/>
                <w:color w:val="auto"/>
              </w:rPr>
            </w:pPr>
          </w:p>
        </w:tc>
      </w:tr>
      <w:tr>
        <w:trPr>
          <w:trHeight w:val="323"/>
        </w:trPr>
        <w:tc>
          <w:tcPr>
            <w:tcW w:w="20" w:type="dxa"/>
            <w:vAlign w:val="bottom"/>
          </w:tcPr>
          <w:p>
            <w:pPr>
              <w:spacing w:after="0"/>
              <w:rPr>
                <w:sz w:val="24"/>
                <w:szCs w:val="24"/>
                <w:color w:val="auto"/>
              </w:rPr>
            </w:pPr>
          </w:p>
        </w:tc>
        <w:tc>
          <w:tcPr>
            <w:tcW w:w="5780" w:type="dxa"/>
            <w:vAlign w:val="bottom"/>
            <w:shd w:val="clear" w:color="auto" w:fill="CCEEFF"/>
          </w:tcPr>
          <w:p>
            <w:pPr>
              <w:spacing w:after="0"/>
              <w:rPr>
                <w:sz w:val="24"/>
                <w:szCs w:val="24"/>
                <w:color w:val="auto"/>
              </w:rPr>
            </w:pPr>
          </w:p>
        </w:tc>
        <w:tc>
          <w:tcPr>
            <w:tcW w:w="5620" w:type="dxa"/>
            <w:vAlign w:val="bottom"/>
            <w:shd w:val="clear" w:color="auto" w:fill="CCEEFF"/>
          </w:tcPr>
          <w:p>
            <w:pPr>
              <w:ind w:left="340"/>
              <w:spacing w:after="0"/>
              <w:rPr>
                <w:sz w:val="20"/>
                <w:szCs w:val="20"/>
                <w:color w:val="auto"/>
              </w:rPr>
            </w:pPr>
            <w:r>
              <w:rPr>
                <w:rFonts w:ascii="Arial" w:cs="Arial" w:eastAsia="Arial" w:hAnsi="Arial"/>
                <w:sz w:val="18"/>
                <w:szCs w:val="18"/>
                <w:color w:val="auto"/>
                <w:w w:val="93"/>
              </w:rPr>
              <w:t>•  Exercises of previously awarded stock options and SARs are settled</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780" w:type="dxa"/>
            <w:vAlign w:val="bottom"/>
            <w:shd w:val="clear" w:color="auto" w:fill="CCEEFF"/>
          </w:tcPr>
          <w:p>
            <w:pPr>
              <w:spacing w:after="0"/>
              <w:rPr>
                <w:sz w:val="20"/>
                <w:szCs w:val="20"/>
                <w:color w:val="auto"/>
              </w:rPr>
            </w:pPr>
          </w:p>
        </w:tc>
        <w:tc>
          <w:tcPr>
            <w:tcW w:w="5620" w:type="dxa"/>
            <w:vAlign w:val="bottom"/>
            <w:shd w:val="clear" w:color="auto" w:fill="CCEEFF"/>
          </w:tcPr>
          <w:p>
            <w:pPr>
              <w:ind w:left="620"/>
              <w:spacing w:after="0"/>
              <w:rPr>
                <w:sz w:val="20"/>
                <w:szCs w:val="20"/>
                <w:color w:val="auto"/>
              </w:rPr>
            </w:pPr>
            <w:r>
              <w:rPr>
                <w:rFonts w:ascii="Arial" w:cs="Arial" w:eastAsia="Arial" w:hAnsi="Arial"/>
                <w:sz w:val="18"/>
                <w:szCs w:val="18"/>
                <w:color w:val="auto"/>
              </w:rPr>
              <w:t>in stock and are subject to a nine-month net hold requirement</w:t>
            </w:r>
          </w:p>
        </w:tc>
        <w:tc>
          <w:tcPr>
            <w:tcW w:w="0" w:type="dxa"/>
            <w:vAlign w:val="bottom"/>
          </w:tcPr>
          <w:p>
            <w:pPr>
              <w:spacing w:after="0"/>
              <w:rPr>
                <w:sz w:val="1"/>
                <w:szCs w:val="1"/>
                <w:color w:val="auto"/>
              </w:rPr>
            </w:pPr>
          </w:p>
        </w:tc>
      </w:tr>
      <w:tr>
        <w:trPr>
          <w:trHeight w:val="351"/>
        </w:trPr>
        <w:tc>
          <w:tcPr>
            <w:tcW w:w="20" w:type="dxa"/>
            <w:vAlign w:val="bottom"/>
          </w:tcPr>
          <w:p>
            <w:pPr>
              <w:spacing w:after="0"/>
              <w:rPr>
                <w:sz w:val="24"/>
                <w:szCs w:val="24"/>
                <w:color w:val="auto"/>
              </w:rPr>
            </w:pPr>
          </w:p>
        </w:tc>
        <w:tc>
          <w:tcPr>
            <w:tcW w:w="5780" w:type="dxa"/>
            <w:vAlign w:val="bottom"/>
            <w:shd w:val="clear" w:color="auto" w:fill="CCEEFF"/>
          </w:tcPr>
          <w:p>
            <w:pPr>
              <w:spacing w:after="0"/>
              <w:rPr>
                <w:sz w:val="24"/>
                <w:szCs w:val="24"/>
                <w:color w:val="auto"/>
              </w:rPr>
            </w:pPr>
          </w:p>
        </w:tc>
        <w:tc>
          <w:tcPr>
            <w:tcW w:w="56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  Clawback, anti-hedging and anti-pledging policies</w:t>
            </w:r>
          </w:p>
        </w:tc>
        <w:tc>
          <w:tcPr>
            <w:tcW w:w="0" w:type="dxa"/>
            <w:vAlign w:val="bottom"/>
          </w:tcPr>
          <w:p>
            <w:pPr>
              <w:spacing w:after="0"/>
              <w:rPr>
                <w:sz w:val="1"/>
                <w:szCs w:val="1"/>
                <w:color w:val="auto"/>
              </w:rPr>
            </w:pPr>
          </w:p>
        </w:tc>
      </w:tr>
    </w:tbl>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Decision-Making Process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Role of the Compensation Committee</w:t>
      </w:r>
    </w:p>
    <w:p>
      <w:pPr>
        <w:spacing w:after="0" w:line="117" w:lineRule="exact"/>
        <w:rPr>
          <w:sz w:val="20"/>
          <w:szCs w:val="20"/>
          <w:color w:val="auto"/>
        </w:rPr>
      </w:pPr>
    </w:p>
    <w:p>
      <w:pPr>
        <w:ind w:right="160" w:firstLine="456"/>
        <w:spacing w:after="0" w:line="276" w:lineRule="auto"/>
        <w:rPr>
          <w:sz w:val="20"/>
          <w:szCs w:val="20"/>
          <w:color w:val="auto"/>
        </w:rPr>
      </w:pPr>
      <w:r>
        <w:rPr>
          <w:rFonts w:ascii="Arial" w:cs="Arial" w:eastAsia="Arial" w:hAnsi="Arial"/>
          <w:sz w:val="17"/>
          <w:szCs w:val="17"/>
          <w:color w:val="auto"/>
        </w:rPr>
        <w:t>The Compensation Committee seeks a collaborative relationship with management, and currently uses an independent third-party compensation consultant to provide for a more informed decision-making process and objective perspective in this important governance matter. The Compensation Committee facilitates the annual review process of CEO performance and compensation decisions, with input from the Board and support of the compensation consultant. The Compensation Committee regularly meets in executive session without management present, and retains the final authority to approve all compensation policies, programs and amounts paid to our named executive officers.</w:t>
      </w:r>
    </w:p>
    <w:p>
      <w:pPr>
        <w:spacing w:after="0" w:line="281"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Role of Management and Compensation Consultants</w:t>
      </w:r>
    </w:p>
    <w:p>
      <w:pPr>
        <w:spacing w:after="0" w:line="117" w:lineRule="exact"/>
        <w:rPr>
          <w:sz w:val="20"/>
          <w:szCs w:val="20"/>
          <w:color w:val="auto"/>
        </w:rPr>
      </w:pPr>
    </w:p>
    <w:p>
      <w:pPr>
        <w:ind w:right="40" w:firstLine="456"/>
        <w:spacing w:after="0" w:line="271" w:lineRule="auto"/>
        <w:rPr>
          <w:sz w:val="20"/>
          <w:szCs w:val="20"/>
          <w:color w:val="auto"/>
        </w:rPr>
      </w:pPr>
      <w:r>
        <w:rPr>
          <w:rFonts w:ascii="Arial" w:cs="Arial" w:eastAsia="Arial" w:hAnsi="Arial"/>
          <w:sz w:val="17"/>
          <w:szCs w:val="17"/>
          <w:color w:val="auto"/>
        </w:rPr>
        <w:t xml:space="preserve">Our CEO and Executive Vice President—Human Resources regularly attend meetings of the Compensation Committee to provide analysis, details and recommendations regarding the company’s executive compensation programs and plan design. Our COO also periodically attends Compensation Committee meetings to provide additional analysis of business strategy, context for understanding incentive goals and results, and his perspectives on leadership and talent within our operating businesses. Our CEO provides the Compensation Committee with performance assessments and compensation recommendations in his role as a manager for individual named executive officers (other than himself). The Compensation Committee, typically in the first quarter of each year, then determines and approves annual incentive award payouts for the prior year, any adjustments to base salary, target annual incentives for the upcoming year, and awards of long-term incentives to executive officers. For more information on the compensation decisions made in 2016, see the </w:t>
      </w:r>
      <w:r>
        <w:rPr>
          <w:rFonts w:ascii="Arial" w:cs="Arial" w:eastAsia="Arial" w:hAnsi="Arial"/>
          <w:sz w:val="17"/>
          <w:szCs w:val="17"/>
          <w:i w:val="1"/>
          <w:iCs w:val="1"/>
          <w:color w:val="auto"/>
        </w:rPr>
        <w:t>Our Annual</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Compensation Program </w:t>
      </w:r>
      <w:r>
        <w:rPr>
          <w:rFonts w:ascii="Arial" w:cs="Arial" w:eastAsia="Arial" w:hAnsi="Arial"/>
          <w:sz w:val="17"/>
          <w:szCs w:val="17"/>
          <w:color w:val="auto"/>
        </w:rPr>
        <w:t>section below.</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459" w:right="2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The Compensation Committee has retained Steven Hall &amp; Partners, LLC, an independent compensation consultant, to assist in reviewing and analyzing compensation data for our named executive officers, including our CEO. The compensation consultant regularly attends Compensation Committee meetings and meets with the Compensation Committee in executive session without management present. The Compensation Committee occasionally requests special studies, assessments of market trends and education regarding changing laws and regulations from the compensation consultant to assist the Compensation Committee in its decision-making processes for the CEO and other executive officers. For example, in 2016, the compensation consultant supported the Committee’s evaluation of a revised peer group to be used for benchmarking purposes, and provided advice related to market practices for treatment of outstanding incentives under alternative transaction scenarios. The compensation consultant provides the Compensation Committee with advice, but does not determine the amount or form of compensation for our named executive officers.</w:t>
      </w:r>
    </w:p>
    <w:p>
      <w:pPr>
        <w:spacing w:after="0" w:line="179" w:lineRule="exact"/>
        <w:rPr>
          <w:sz w:val="20"/>
          <w:szCs w:val="20"/>
          <w:color w:val="auto"/>
        </w:rPr>
      </w:pPr>
    </w:p>
    <w:p>
      <w:pPr>
        <w:ind w:right="20" w:firstLine="456"/>
        <w:spacing w:after="0" w:line="342" w:lineRule="auto"/>
        <w:rPr>
          <w:sz w:val="20"/>
          <w:szCs w:val="20"/>
          <w:color w:val="auto"/>
        </w:rPr>
      </w:pPr>
      <w:r>
        <w:rPr>
          <w:rFonts w:ascii="Arial" w:cs="Arial" w:eastAsia="Arial" w:hAnsi="Arial"/>
          <w:sz w:val="16"/>
          <w:szCs w:val="16"/>
          <w:color w:val="auto"/>
        </w:rPr>
        <w:t>The Compensation Committee assessed the independence of the compensation consultant and other advisors pursuant to SEC rules and concluded that no conflict of interest exists that would prevent the compensation consultant or other advisors from independently representing the Compensation Committee.</w:t>
      </w:r>
    </w:p>
    <w:p>
      <w:pPr>
        <w:spacing w:after="0" w:line="232"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Evaluating Market Competitiveness</w:t>
      </w:r>
    </w:p>
    <w:p>
      <w:pPr>
        <w:spacing w:after="0" w:line="117"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We generally evaluate market competitiveness of our programs as an input into the process of designing plans and setting target compensation levels for named executive officers. We review each component of compensation for our named executive officers separately and in the aggregate, and also consider the internal relationships among the named executive officers to help determine appropriate pay levels. With respect to individual named executive officers, we compare the total target compensation opportunities for our named executive officers to target opportunities for similar positions at comparable companies. These benchmarks are a gauge for evaluating market competitiveness, but are not given greater weight than other key factors when making compensation decisions. For example, individual named executive officers may have higher or lower target compensation levels compared to market medians based on level of responsibility, individual experience and skills, performance trends, competitive dynamics, retention needs and internal equity considerations.</w:t>
      </w:r>
    </w:p>
    <w:p>
      <w:pPr>
        <w:spacing w:after="0" w:line="192"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The Compensation Committee typically utilizes a combination of publicly available information related to a specific list of peer companies (the “Peer Group”), as well as information available through market compensation surveys to provide a broad perspective of market practice. While no individual company matches our lines of business precisely, the Peer Group is intended to represent, in the aggregate, companies with revenue sources and talent demands similar to the company. With respect to size, we generally look at revenue or total assets as indicators of comparability rather than market capitalization due to the potential for volatility year over year as stock prices change. The companies included in market surveys used by the company are not individually identifiable for a particular executive position (and therefore we are not benchmarking against any particular company within the survey), and also may change from year-to-year based on voluntary participation in the market surveys we use, mergers and divestitures, or changes in corporate structure.</w:t>
      </w:r>
    </w:p>
    <w:p>
      <w:pPr>
        <w:spacing w:after="0" w:line="167"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To the extent we make changes to our business portfolio, or as peer companies adjust their own business lines or distribution channels, we will consider adding peers, or removing peers which no longer have revenue sources and talent demands similar to ours. The Compensation Committee will consider advice and recommendations developed by its compensation consultant to support our benchmarking principles. The Peer Group used when considering 2016 compensation actions was composed of the following companies:</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040" w:type="dxa"/>
            <w:vAlign w:val="bottom"/>
          </w:tcPr>
          <w:p>
            <w:pPr>
              <w:spacing w:after="0"/>
              <w:rPr>
                <w:sz w:val="20"/>
                <w:szCs w:val="20"/>
                <w:color w:val="auto"/>
              </w:rPr>
            </w:pPr>
            <w:r>
              <w:rPr>
                <w:rFonts w:ascii="Arial" w:cs="Arial" w:eastAsia="Arial" w:hAnsi="Arial"/>
                <w:sz w:val="18"/>
                <w:szCs w:val="18"/>
                <w:color w:val="auto"/>
              </w:rPr>
              <w:t>Aflac, Inc.</w:t>
            </w:r>
          </w:p>
        </w:tc>
        <w:tc>
          <w:tcPr>
            <w:tcW w:w="4360" w:type="dxa"/>
            <w:vAlign w:val="bottom"/>
          </w:tcPr>
          <w:p>
            <w:pPr>
              <w:ind w:left="1060"/>
              <w:spacing w:after="0"/>
              <w:rPr>
                <w:sz w:val="20"/>
                <w:szCs w:val="20"/>
                <w:color w:val="auto"/>
              </w:rPr>
            </w:pPr>
            <w:r>
              <w:rPr>
                <w:rFonts w:ascii="Arial" w:cs="Arial" w:eastAsia="Arial" w:hAnsi="Arial"/>
                <w:sz w:val="18"/>
                <w:szCs w:val="18"/>
                <w:color w:val="auto"/>
              </w:rPr>
              <w:t>Fidelity National Financial</w:t>
            </w:r>
          </w:p>
        </w:tc>
        <w:tc>
          <w:tcPr>
            <w:tcW w:w="3220" w:type="dxa"/>
            <w:vAlign w:val="bottom"/>
          </w:tcPr>
          <w:p>
            <w:pPr>
              <w:ind w:left="600"/>
              <w:spacing w:after="0"/>
              <w:rPr>
                <w:sz w:val="20"/>
                <w:szCs w:val="20"/>
                <w:color w:val="auto"/>
              </w:rPr>
            </w:pPr>
            <w:r>
              <w:rPr>
                <w:rFonts w:ascii="Arial" w:cs="Arial" w:eastAsia="Arial" w:hAnsi="Arial"/>
                <w:sz w:val="18"/>
                <w:szCs w:val="18"/>
                <w:color w:val="auto"/>
              </w:rPr>
              <w:t>Protective Life Corporation</w:t>
            </w:r>
          </w:p>
        </w:tc>
      </w:tr>
      <w:tr>
        <w:trPr>
          <w:trHeight w:val="216"/>
        </w:trPr>
        <w:tc>
          <w:tcPr>
            <w:tcW w:w="3040" w:type="dxa"/>
            <w:vAlign w:val="bottom"/>
          </w:tcPr>
          <w:p>
            <w:pPr>
              <w:spacing w:after="0"/>
              <w:rPr>
                <w:sz w:val="20"/>
                <w:szCs w:val="20"/>
                <w:color w:val="auto"/>
              </w:rPr>
            </w:pPr>
            <w:r>
              <w:rPr>
                <w:rFonts w:ascii="Arial" w:cs="Arial" w:eastAsia="Arial" w:hAnsi="Arial"/>
                <w:sz w:val="18"/>
                <w:szCs w:val="18"/>
                <w:color w:val="auto"/>
              </w:rPr>
              <w:t>Aon plc</w:t>
            </w:r>
          </w:p>
        </w:tc>
        <w:tc>
          <w:tcPr>
            <w:tcW w:w="4360" w:type="dxa"/>
            <w:vAlign w:val="bottom"/>
          </w:tcPr>
          <w:p>
            <w:pPr>
              <w:ind w:left="1060"/>
              <w:spacing w:after="0"/>
              <w:rPr>
                <w:sz w:val="20"/>
                <w:szCs w:val="20"/>
                <w:color w:val="auto"/>
              </w:rPr>
            </w:pPr>
            <w:r>
              <w:rPr>
                <w:rFonts w:ascii="Arial" w:cs="Arial" w:eastAsia="Arial" w:hAnsi="Arial"/>
                <w:sz w:val="18"/>
                <w:szCs w:val="18"/>
                <w:color w:val="auto"/>
              </w:rPr>
              <w:t>Lincoln National Corporation</w:t>
            </w:r>
          </w:p>
        </w:tc>
        <w:tc>
          <w:tcPr>
            <w:tcW w:w="3220" w:type="dxa"/>
            <w:vAlign w:val="bottom"/>
          </w:tcPr>
          <w:p>
            <w:pPr>
              <w:ind w:left="600"/>
              <w:spacing w:after="0"/>
              <w:rPr>
                <w:sz w:val="20"/>
                <w:szCs w:val="20"/>
                <w:color w:val="auto"/>
              </w:rPr>
            </w:pPr>
            <w:r>
              <w:rPr>
                <w:rFonts w:ascii="Arial" w:cs="Arial" w:eastAsia="Arial" w:hAnsi="Arial"/>
                <w:sz w:val="18"/>
                <w:szCs w:val="18"/>
                <w:color w:val="auto"/>
              </w:rPr>
              <w:t>Radian Group</w:t>
            </w:r>
          </w:p>
        </w:tc>
      </w:tr>
      <w:tr>
        <w:trPr>
          <w:trHeight w:val="216"/>
        </w:trPr>
        <w:tc>
          <w:tcPr>
            <w:tcW w:w="3040" w:type="dxa"/>
            <w:vAlign w:val="bottom"/>
          </w:tcPr>
          <w:p>
            <w:pPr>
              <w:spacing w:after="0"/>
              <w:rPr>
                <w:sz w:val="20"/>
                <w:szCs w:val="20"/>
                <w:color w:val="auto"/>
              </w:rPr>
            </w:pPr>
            <w:r>
              <w:rPr>
                <w:rFonts w:ascii="Arial" w:cs="Arial" w:eastAsia="Arial" w:hAnsi="Arial"/>
                <w:sz w:val="18"/>
                <w:szCs w:val="18"/>
                <w:color w:val="auto"/>
              </w:rPr>
              <w:t>Assurant, Inc.</w:t>
            </w:r>
          </w:p>
        </w:tc>
        <w:tc>
          <w:tcPr>
            <w:tcW w:w="4360" w:type="dxa"/>
            <w:vAlign w:val="bottom"/>
          </w:tcPr>
          <w:p>
            <w:pPr>
              <w:ind w:left="1060"/>
              <w:spacing w:after="0"/>
              <w:rPr>
                <w:sz w:val="20"/>
                <w:szCs w:val="20"/>
                <w:color w:val="auto"/>
              </w:rPr>
            </w:pPr>
            <w:r>
              <w:rPr>
                <w:rFonts w:ascii="Arial" w:cs="Arial" w:eastAsia="Arial" w:hAnsi="Arial"/>
                <w:sz w:val="18"/>
                <w:szCs w:val="18"/>
                <w:color w:val="auto"/>
              </w:rPr>
              <w:t>Marsh &amp; McLennan Companies, Inc.</w:t>
            </w:r>
          </w:p>
        </w:tc>
        <w:tc>
          <w:tcPr>
            <w:tcW w:w="3220" w:type="dxa"/>
            <w:vAlign w:val="bottom"/>
          </w:tcPr>
          <w:p>
            <w:pPr>
              <w:ind w:left="600"/>
              <w:spacing w:after="0"/>
              <w:rPr>
                <w:sz w:val="20"/>
                <w:szCs w:val="20"/>
                <w:color w:val="auto"/>
              </w:rPr>
            </w:pPr>
            <w:r>
              <w:rPr>
                <w:rFonts w:ascii="Arial" w:cs="Arial" w:eastAsia="Arial" w:hAnsi="Arial"/>
                <w:sz w:val="18"/>
                <w:szCs w:val="18"/>
                <w:color w:val="auto"/>
                <w:w w:val="90"/>
              </w:rPr>
              <w:t>Reinsurance Group of America, Inc.</w:t>
            </w:r>
          </w:p>
        </w:tc>
      </w:tr>
      <w:tr>
        <w:trPr>
          <w:trHeight w:val="216"/>
        </w:trPr>
        <w:tc>
          <w:tcPr>
            <w:tcW w:w="3040" w:type="dxa"/>
            <w:vAlign w:val="bottom"/>
          </w:tcPr>
          <w:p>
            <w:pPr>
              <w:spacing w:after="0"/>
              <w:rPr>
                <w:sz w:val="20"/>
                <w:szCs w:val="20"/>
                <w:color w:val="auto"/>
              </w:rPr>
            </w:pPr>
            <w:r>
              <w:rPr>
                <w:rFonts w:ascii="Arial" w:cs="Arial" w:eastAsia="Arial" w:hAnsi="Arial"/>
                <w:sz w:val="18"/>
                <w:szCs w:val="18"/>
                <w:color w:val="auto"/>
              </w:rPr>
              <w:t>The Chubb Corporation</w:t>
            </w:r>
          </w:p>
        </w:tc>
        <w:tc>
          <w:tcPr>
            <w:tcW w:w="4360" w:type="dxa"/>
            <w:vAlign w:val="bottom"/>
          </w:tcPr>
          <w:p>
            <w:pPr>
              <w:ind w:left="1060"/>
              <w:spacing w:after="0"/>
              <w:rPr>
                <w:sz w:val="20"/>
                <w:szCs w:val="20"/>
                <w:color w:val="auto"/>
              </w:rPr>
            </w:pPr>
            <w:r>
              <w:rPr>
                <w:rFonts w:ascii="Arial" w:cs="Arial" w:eastAsia="Arial" w:hAnsi="Arial"/>
                <w:sz w:val="18"/>
                <w:szCs w:val="18"/>
                <w:color w:val="auto"/>
              </w:rPr>
              <w:t>MGIC Investment Corporation</w:t>
            </w:r>
          </w:p>
        </w:tc>
        <w:tc>
          <w:tcPr>
            <w:tcW w:w="3220" w:type="dxa"/>
            <w:vAlign w:val="bottom"/>
          </w:tcPr>
          <w:p>
            <w:pPr>
              <w:ind w:left="600"/>
              <w:spacing w:after="0"/>
              <w:rPr>
                <w:sz w:val="20"/>
                <w:szCs w:val="20"/>
                <w:color w:val="auto"/>
              </w:rPr>
            </w:pPr>
            <w:r>
              <w:rPr>
                <w:rFonts w:ascii="Arial" w:cs="Arial" w:eastAsia="Arial" w:hAnsi="Arial"/>
                <w:sz w:val="18"/>
                <w:szCs w:val="18"/>
                <w:color w:val="auto"/>
              </w:rPr>
              <w:t>Unum Group</w:t>
            </w:r>
          </w:p>
        </w:tc>
      </w:tr>
      <w:tr>
        <w:trPr>
          <w:trHeight w:val="230"/>
        </w:trPr>
        <w:tc>
          <w:tcPr>
            <w:tcW w:w="3040" w:type="dxa"/>
            <w:vAlign w:val="bottom"/>
          </w:tcPr>
          <w:p>
            <w:pPr>
              <w:spacing w:after="0"/>
              <w:rPr>
                <w:sz w:val="20"/>
                <w:szCs w:val="20"/>
                <w:color w:val="auto"/>
              </w:rPr>
            </w:pPr>
            <w:r>
              <w:rPr>
                <w:rFonts w:ascii="Arial" w:cs="Arial" w:eastAsia="Arial" w:hAnsi="Arial"/>
                <w:sz w:val="18"/>
                <w:szCs w:val="18"/>
                <w:color w:val="auto"/>
              </w:rPr>
              <w:t>CNO Financial Group, Inc.</w:t>
            </w:r>
          </w:p>
        </w:tc>
        <w:tc>
          <w:tcPr>
            <w:tcW w:w="4360" w:type="dxa"/>
            <w:vAlign w:val="bottom"/>
          </w:tcPr>
          <w:p>
            <w:pPr>
              <w:ind w:left="1060"/>
              <w:spacing w:after="0"/>
              <w:rPr>
                <w:sz w:val="20"/>
                <w:szCs w:val="20"/>
                <w:color w:val="auto"/>
              </w:rPr>
            </w:pPr>
            <w:r>
              <w:rPr>
                <w:rFonts w:ascii="Arial" w:cs="Arial" w:eastAsia="Arial" w:hAnsi="Arial"/>
                <w:sz w:val="18"/>
                <w:szCs w:val="18"/>
                <w:color w:val="auto"/>
              </w:rPr>
              <w:t>Principal Financial Group, Inc.</w:t>
            </w:r>
          </w:p>
        </w:tc>
        <w:tc>
          <w:tcPr>
            <w:tcW w:w="3220" w:type="dxa"/>
            <w:vAlign w:val="bottom"/>
          </w:tcPr>
          <w:p>
            <w:pPr>
              <w:spacing w:after="0"/>
              <w:rPr>
                <w:sz w:val="20"/>
                <w:szCs w:val="20"/>
                <w:color w:val="auto"/>
              </w:rPr>
            </w:pPr>
          </w:p>
        </w:tc>
      </w:tr>
      <w:tr>
        <w:trPr>
          <w:trHeight w:val="365"/>
        </w:trPr>
        <w:tc>
          <w:tcPr>
            <w:tcW w:w="3040" w:type="dxa"/>
            <w:vAlign w:val="bottom"/>
          </w:tcPr>
          <w:p>
            <w:pPr>
              <w:spacing w:after="0"/>
              <w:rPr>
                <w:sz w:val="24"/>
                <w:szCs w:val="24"/>
                <w:color w:val="auto"/>
              </w:rPr>
            </w:pPr>
          </w:p>
        </w:tc>
        <w:tc>
          <w:tcPr>
            <w:tcW w:w="4360" w:type="dxa"/>
            <w:vAlign w:val="bottom"/>
          </w:tcPr>
          <w:p>
            <w:pPr>
              <w:ind w:left="2580"/>
              <w:spacing w:after="0"/>
              <w:rPr>
                <w:sz w:val="20"/>
                <w:szCs w:val="20"/>
                <w:color w:val="auto"/>
              </w:rPr>
            </w:pPr>
            <w:r>
              <w:rPr>
                <w:rFonts w:ascii="Arial" w:cs="Arial" w:eastAsia="Arial" w:hAnsi="Arial"/>
                <w:sz w:val="18"/>
                <w:szCs w:val="18"/>
                <w:color w:val="auto"/>
              </w:rPr>
              <w:t>18</w:t>
            </w:r>
          </w:p>
        </w:tc>
        <w:tc>
          <w:tcPr>
            <w:tcW w:w="3220" w:type="dxa"/>
            <w:vAlign w:val="bottom"/>
          </w:tcPr>
          <w:p>
            <w:pPr>
              <w:spacing w:after="0"/>
              <w:rPr>
                <w:sz w:val="24"/>
                <w:szCs w:val="24"/>
                <w:color w:val="auto"/>
              </w:rPr>
            </w:pPr>
          </w:p>
        </w:tc>
      </w:tr>
    </w:tbl>
    <w:p>
      <w:pPr>
        <w:sectPr>
          <w:pgSz w:w="11900" w:h="16838" w:orient="portrait"/>
          <w:cols w:equalWidth="0" w:num="1">
            <w:col w:w="11400"/>
          </w:cols>
          <w:pgMar w:left="240" w:top="459" w:right="25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In 2016, and following determination of 2016 compensation for our named executive officers, we reviewed our Peer Group and determined to make the following adjustments based on changes in company size, sources of revenue and sources of talent:</w:t>
      </w:r>
    </w:p>
    <w:p>
      <w:pPr>
        <w:spacing w:after="0" w:line="62" w:lineRule="exact"/>
        <w:rPr>
          <w:sz w:val="20"/>
          <w:szCs w:val="20"/>
          <w:color w:val="auto"/>
        </w:rPr>
      </w:pPr>
    </w:p>
    <w:p>
      <w:pPr>
        <w:ind w:left="900"/>
        <w:spacing w:after="0"/>
        <w:rPr>
          <w:sz w:val="20"/>
          <w:szCs w:val="20"/>
          <w:color w:val="auto"/>
        </w:rPr>
      </w:pPr>
      <w:r>
        <w:rPr>
          <w:rFonts w:ascii="Arial" w:cs="Arial" w:eastAsia="Arial" w:hAnsi="Arial"/>
          <w:sz w:val="18"/>
          <w:szCs w:val="18"/>
          <w:i w:val="1"/>
          <w:iCs w:val="1"/>
          <w:color w:val="auto"/>
        </w:rPr>
        <w:t xml:space="preserve">Removed: </w:t>
      </w:r>
      <w:r>
        <w:rPr>
          <w:rFonts w:ascii="Arial" w:cs="Arial" w:eastAsia="Arial" w:hAnsi="Arial"/>
          <w:sz w:val="18"/>
          <w:szCs w:val="18"/>
          <w:color w:val="auto"/>
        </w:rPr>
        <w:t>Aon plc, The Chubb Corporation, and Marsh &amp; McLennon Companies, Inc.</w:t>
      </w:r>
    </w:p>
    <w:p>
      <w:pPr>
        <w:spacing w:after="0" w:line="23" w:lineRule="exact"/>
        <w:rPr>
          <w:sz w:val="20"/>
          <w:szCs w:val="20"/>
          <w:color w:val="auto"/>
        </w:rPr>
      </w:pPr>
    </w:p>
    <w:p>
      <w:pPr>
        <w:ind w:left="900"/>
        <w:spacing w:after="0"/>
        <w:rPr>
          <w:sz w:val="20"/>
          <w:szCs w:val="20"/>
          <w:color w:val="auto"/>
        </w:rPr>
      </w:pPr>
      <w:r>
        <w:rPr>
          <w:rFonts w:ascii="Arial" w:cs="Arial" w:eastAsia="Arial" w:hAnsi="Arial"/>
          <w:sz w:val="18"/>
          <w:szCs w:val="18"/>
          <w:i w:val="1"/>
          <w:iCs w:val="1"/>
          <w:color w:val="auto"/>
        </w:rPr>
        <w:t xml:space="preserve">Added: </w:t>
      </w:r>
      <w:r>
        <w:rPr>
          <w:rFonts w:ascii="Arial" w:cs="Arial" w:eastAsia="Arial" w:hAnsi="Arial"/>
          <w:sz w:val="18"/>
          <w:szCs w:val="18"/>
          <w:color w:val="auto"/>
        </w:rPr>
        <w:t>American Financial Group, Inc., CNA Financial Corporation, First American Financial</w:t>
      </w:r>
    </w:p>
    <w:p>
      <w:pPr>
        <w:spacing w:after="0" w:line="9" w:lineRule="exact"/>
        <w:rPr>
          <w:sz w:val="20"/>
          <w:szCs w:val="20"/>
          <w:color w:val="auto"/>
        </w:rPr>
      </w:pPr>
    </w:p>
    <w:p>
      <w:pPr>
        <w:ind w:left="900"/>
        <w:spacing w:after="0"/>
        <w:rPr>
          <w:sz w:val="20"/>
          <w:szCs w:val="20"/>
          <w:color w:val="auto"/>
        </w:rPr>
      </w:pPr>
      <w:r>
        <w:rPr>
          <w:rFonts w:ascii="Arial" w:cs="Arial" w:eastAsia="Arial" w:hAnsi="Arial"/>
          <w:sz w:val="18"/>
          <w:szCs w:val="18"/>
          <w:color w:val="auto"/>
        </w:rPr>
        <w:t>Corporation, and Hanover Insurance Group, Inc.</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Annual Compensation Program</w:t>
      </w:r>
    </w:p>
    <w:p>
      <w:pPr>
        <w:spacing w:after="0" w:line="121" w:lineRule="exact"/>
        <w:rPr>
          <w:sz w:val="20"/>
          <w:szCs w:val="20"/>
          <w:color w:val="auto"/>
        </w:rPr>
      </w:pPr>
    </w:p>
    <w:p>
      <w:pPr>
        <w:ind w:right="80" w:firstLine="456"/>
        <w:spacing w:after="0" w:line="264" w:lineRule="auto"/>
        <w:rPr>
          <w:sz w:val="20"/>
          <w:szCs w:val="20"/>
          <w:color w:val="auto"/>
        </w:rPr>
      </w:pPr>
      <w:r>
        <w:rPr>
          <w:rFonts w:ascii="Arial" w:cs="Arial" w:eastAsia="Arial" w:hAnsi="Arial"/>
          <w:sz w:val="18"/>
          <w:szCs w:val="18"/>
          <w:color w:val="auto"/>
        </w:rPr>
        <w:t>Our 2016 annual compensation program for named executive officers consists of the following key elements: base salary, annual incentive, and annual long-term equity grants (including RSUs and/or PSUs). Below is a summary and assessment of actions taken with respect to our annual compensation program for our named executive officers.</w:t>
      </w:r>
    </w:p>
    <w:p>
      <w:pPr>
        <w:spacing w:after="0" w:line="28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Base Salary</w:t>
      </w:r>
    </w:p>
    <w:p>
      <w:pPr>
        <w:spacing w:after="0" w:line="117" w:lineRule="exact"/>
        <w:rPr>
          <w:sz w:val="20"/>
          <w:szCs w:val="20"/>
          <w:color w:val="auto"/>
        </w:rPr>
      </w:pPr>
    </w:p>
    <w:p>
      <w:pPr>
        <w:ind w:right="40" w:firstLine="456"/>
        <w:spacing w:after="0" w:line="293" w:lineRule="auto"/>
        <w:rPr>
          <w:sz w:val="20"/>
          <w:szCs w:val="20"/>
          <w:color w:val="auto"/>
        </w:rPr>
      </w:pPr>
      <w:r>
        <w:rPr>
          <w:rFonts w:ascii="Arial" w:cs="Arial" w:eastAsia="Arial" w:hAnsi="Arial"/>
          <w:sz w:val="16"/>
          <w:szCs w:val="16"/>
          <w:color w:val="auto"/>
        </w:rPr>
        <w:t>Base salaries are generally intended to reflect the scope of an executive officer’s responsibilities and level of experience, reward sustained performance over time and be market-competitive. In February 2016, the Compensation Committee undertook its annual review of executive officer base salaries. The Compensation Committee approved a salary increase for Ms. Groh of 10%, as a continuation of her base salary progression to market competitive levels following her promotion in 2015. The Compensation Committee determined to not make any base salary adjustments for the other named executive officers at that time as the existing base salaries were considered competitive within the marketplace for their roles. Previously, in December 2015, the Compensation Committee approved a base salary increase for Mr. Schneider of 12% in connection with his appointment as COO, effective January 1, 2016.</w:t>
      </w:r>
    </w:p>
    <w:p>
      <w:pPr>
        <w:spacing w:after="0" w:line="273"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Annual Incentive</w:t>
      </w:r>
    </w:p>
    <w:p>
      <w:pPr>
        <w:spacing w:after="0" w:line="117" w:lineRule="exact"/>
        <w:rPr>
          <w:sz w:val="20"/>
          <w:szCs w:val="20"/>
          <w:color w:val="auto"/>
        </w:rPr>
      </w:pPr>
    </w:p>
    <w:p>
      <w:pPr>
        <w:ind w:right="20" w:firstLine="456"/>
        <w:spacing w:after="0" w:line="257" w:lineRule="auto"/>
        <w:rPr>
          <w:sz w:val="20"/>
          <w:szCs w:val="20"/>
          <w:color w:val="auto"/>
        </w:rPr>
      </w:pPr>
      <w:r>
        <w:rPr>
          <w:rFonts w:ascii="Arial" w:cs="Arial" w:eastAsia="Arial" w:hAnsi="Arial"/>
          <w:sz w:val="18"/>
          <w:szCs w:val="18"/>
          <w:color w:val="auto"/>
        </w:rPr>
        <w:t>In our annual incentive program, we review performance against clear financial objectives, together with a qualitative assessment of operational objectives and other accomplishments toward strategic priorities not necessarily reflected in annual financial results. Each named executive officer has an annual incentive target, expressed as a percentage of base salary. The 2016 target annual incentive opportunities for our named executive officers ranged from 100% to 200% of base salary, and payout opportunities for 2016 ranged from zero to 200% of their individual target amount. Individual annual incentive targets are reported in the 2016 Grants of Plan-Based Awards Table below.</w:t>
      </w:r>
    </w:p>
    <w:p>
      <w:pPr>
        <w:spacing w:after="0" w:line="12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00"/>
          </w:cols>
          <w:pgMar w:left="240" w:top="459" w:right="25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firstLine="456"/>
        <w:spacing w:after="0" w:line="264" w:lineRule="auto"/>
        <w:rPr>
          <w:sz w:val="20"/>
          <w:szCs w:val="20"/>
          <w:color w:val="auto"/>
        </w:rPr>
      </w:pPr>
      <w:r>
        <w:rPr>
          <w:rFonts w:ascii="Arial" w:cs="Arial" w:eastAsia="Arial" w:hAnsi="Arial"/>
          <w:sz w:val="18"/>
          <w:szCs w:val="18"/>
          <w:color w:val="auto"/>
        </w:rPr>
        <w:t>The key financial objectives used to measure 2016 performance and the related results are summarized below. Adjusted operating income (loss) and operating ROE represented key top-level measures of financial performance for our mortgage insurance businesses. In our U.S. life insurance companies, we measured incremental premiums approved for LTC in-force rate actions.</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20" w:type="dxa"/>
            <w:vAlign w:val="bottom"/>
          </w:tcPr>
          <w:p>
            <w:pPr>
              <w:spacing w:after="0"/>
              <w:rPr>
                <w:sz w:val="14"/>
                <w:szCs w:val="14"/>
                <w:color w:val="auto"/>
              </w:rPr>
            </w:pPr>
          </w:p>
        </w:tc>
        <w:tc>
          <w:tcPr>
            <w:tcW w:w="25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vMerge w:val="restart"/>
          </w:tcPr>
          <w:p>
            <w:pPr>
              <w:jc w:val="right"/>
              <w:ind w:right="12"/>
              <w:spacing w:after="0"/>
              <w:rPr>
                <w:sz w:val="20"/>
                <w:szCs w:val="20"/>
                <w:color w:val="auto"/>
              </w:rPr>
            </w:pPr>
            <w:r>
              <w:rPr>
                <w:rFonts w:ascii="Arial" w:cs="Arial" w:eastAsia="Arial" w:hAnsi="Arial"/>
                <w:sz w:val="14"/>
                <w:szCs w:val="14"/>
                <w:b w:val="1"/>
                <w:bCs w:val="1"/>
                <w:color w:val="auto"/>
                <w:w w:val="89"/>
              </w:rPr>
              <w:t>2016</w:t>
            </w:r>
          </w:p>
        </w:tc>
        <w:tc>
          <w:tcPr>
            <w:tcW w:w="4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jc w:val="right"/>
              <w:ind w:right="73"/>
              <w:spacing w:after="0"/>
              <w:rPr>
                <w:sz w:val="20"/>
                <w:szCs w:val="20"/>
                <w:color w:val="auto"/>
              </w:rPr>
            </w:pPr>
            <w:r>
              <w:rPr>
                <w:rFonts w:ascii="Arial" w:cs="Arial" w:eastAsia="Arial" w:hAnsi="Arial"/>
                <w:sz w:val="14"/>
                <w:szCs w:val="14"/>
                <w:b w:val="1"/>
                <w:bCs w:val="1"/>
                <w:color w:val="auto"/>
              </w:rPr>
              <w:t>2016</w:t>
            </w: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6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Performance Unit</w:t>
            </w:r>
          </w:p>
        </w:tc>
        <w:tc>
          <w:tcPr>
            <w:tcW w:w="520" w:type="dxa"/>
            <w:vAlign w:val="bottom"/>
          </w:tcPr>
          <w:p>
            <w:pPr>
              <w:spacing w:after="0"/>
              <w:rPr>
                <w:sz w:val="12"/>
                <w:szCs w:val="12"/>
                <w:color w:val="auto"/>
              </w:rPr>
            </w:pPr>
          </w:p>
        </w:tc>
        <w:tc>
          <w:tcPr>
            <w:tcW w:w="3980" w:type="dxa"/>
            <w:vAlign w:val="bottom"/>
            <w:gridSpan w:val="2"/>
            <w:vMerge w:val="restart"/>
          </w:tcPr>
          <w:p>
            <w:pPr>
              <w:ind w:left="600"/>
              <w:spacing w:after="0"/>
              <w:rPr>
                <w:sz w:val="20"/>
                <w:szCs w:val="20"/>
                <w:color w:val="auto"/>
              </w:rPr>
            </w:pPr>
            <w:r>
              <w:rPr>
                <w:rFonts w:ascii="Arial" w:cs="Arial" w:eastAsia="Arial" w:hAnsi="Arial"/>
                <w:sz w:val="14"/>
                <w:szCs w:val="14"/>
                <w:b w:val="1"/>
                <w:bCs w:val="1"/>
                <w:color w:val="auto"/>
              </w:rPr>
              <w:t>Key Financial Metrics ($ in millions)</w:t>
            </w:r>
          </w:p>
        </w:tc>
        <w:tc>
          <w:tcPr>
            <w:tcW w:w="100" w:type="dxa"/>
            <w:vAlign w:val="bottom"/>
          </w:tcPr>
          <w:p>
            <w:pPr>
              <w:spacing w:after="0"/>
              <w:rPr>
                <w:sz w:val="12"/>
                <w:szCs w:val="12"/>
                <w:color w:val="auto"/>
              </w:rPr>
            </w:pPr>
          </w:p>
        </w:tc>
        <w:tc>
          <w:tcPr>
            <w:tcW w:w="400" w:type="dxa"/>
            <w:vAlign w:val="bottom"/>
            <w:vMerge w:val="continue"/>
          </w:tcPr>
          <w:p>
            <w:pPr>
              <w:spacing w:after="0"/>
              <w:rPr>
                <w:sz w:val="12"/>
                <w:szCs w:val="12"/>
                <w:color w:val="auto"/>
              </w:rPr>
            </w:pPr>
          </w:p>
        </w:tc>
        <w:tc>
          <w:tcPr>
            <w:tcW w:w="4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4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Measured</w:t>
            </w:r>
          </w:p>
        </w:tc>
        <w:tc>
          <w:tcPr>
            <w:tcW w:w="1100" w:type="dxa"/>
            <w:vAlign w:val="bottom"/>
            <w:gridSpan w:val="3"/>
            <w:vMerge w:val="restart"/>
          </w:tcPr>
          <w:p>
            <w:pPr>
              <w:jc w:val="right"/>
              <w:ind w:right="500"/>
              <w:spacing w:after="0"/>
              <w:rPr>
                <w:sz w:val="20"/>
                <w:szCs w:val="20"/>
                <w:color w:val="auto"/>
              </w:rPr>
            </w:pPr>
            <w:r>
              <w:rPr>
                <w:rFonts w:ascii="Arial" w:cs="Arial" w:eastAsia="Arial" w:hAnsi="Arial"/>
                <w:sz w:val="14"/>
                <w:szCs w:val="14"/>
                <w:b w:val="1"/>
                <w:bCs w:val="1"/>
                <w:color w:val="auto"/>
                <w:w w:val="99"/>
              </w:rPr>
              <w:t>Variance</w:t>
            </w:r>
          </w:p>
        </w:tc>
        <w:tc>
          <w:tcPr>
            <w:tcW w:w="0" w:type="dxa"/>
            <w:vAlign w:val="bottom"/>
          </w:tcPr>
          <w:p>
            <w:pPr>
              <w:spacing w:after="0"/>
              <w:rPr>
                <w:sz w:val="1"/>
                <w:szCs w:val="1"/>
                <w:color w:val="auto"/>
              </w:rPr>
            </w:pPr>
          </w:p>
        </w:tc>
      </w:tr>
      <w:tr>
        <w:trPr>
          <w:trHeight w:val="171"/>
        </w:trPr>
        <w:tc>
          <w:tcPr>
            <w:tcW w:w="3680" w:type="dxa"/>
            <w:vAlign w:val="bottom"/>
            <w:gridSpan w:val="2"/>
            <w:vMerge w:val="continue"/>
          </w:tcPr>
          <w:p>
            <w:pPr>
              <w:spacing w:after="0"/>
              <w:rPr>
                <w:sz w:val="14"/>
                <w:szCs w:val="14"/>
                <w:color w:val="auto"/>
              </w:rPr>
            </w:pPr>
          </w:p>
        </w:tc>
        <w:tc>
          <w:tcPr>
            <w:tcW w:w="520" w:type="dxa"/>
            <w:vAlign w:val="bottom"/>
          </w:tcPr>
          <w:p>
            <w:pPr>
              <w:spacing w:after="0"/>
              <w:rPr>
                <w:sz w:val="14"/>
                <w:szCs w:val="14"/>
                <w:color w:val="auto"/>
              </w:rPr>
            </w:pPr>
          </w:p>
        </w:tc>
        <w:tc>
          <w:tcPr>
            <w:tcW w:w="3980" w:type="dxa"/>
            <w:vAlign w:val="bottom"/>
            <w:gridSpan w:val="2"/>
            <w:vMerge w:val="continue"/>
          </w:tcPr>
          <w:p>
            <w:pPr>
              <w:spacing w:after="0"/>
              <w:rPr>
                <w:sz w:val="14"/>
                <w:szCs w:val="14"/>
                <w:color w:val="auto"/>
              </w:rPr>
            </w:pPr>
          </w:p>
        </w:tc>
        <w:tc>
          <w:tcPr>
            <w:tcW w:w="920" w:type="dxa"/>
            <w:vAlign w:val="bottom"/>
            <w:gridSpan w:val="3"/>
          </w:tcPr>
          <w:p>
            <w:pPr>
              <w:jc w:val="right"/>
              <w:ind w:right="480"/>
              <w:spacing w:after="0"/>
              <w:rPr>
                <w:sz w:val="20"/>
                <w:szCs w:val="20"/>
                <w:color w:val="auto"/>
              </w:rPr>
            </w:pPr>
            <w:r>
              <w:rPr>
                <w:rFonts w:ascii="Arial" w:cs="Arial" w:eastAsia="Arial" w:hAnsi="Arial"/>
                <w:sz w:val="14"/>
                <w:szCs w:val="14"/>
                <w:b w:val="1"/>
                <w:bCs w:val="1"/>
                <w:color w:val="auto"/>
                <w:w w:val="98"/>
              </w:rPr>
              <w:t>Target</w:t>
            </w: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w w:val="88"/>
              </w:rPr>
              <w:t>Result</w:t>
            </w:r>
          </w:p>
        </w:tc>
        <w:tc>
          <w:tcPr>
            <w:tcW w:w="110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1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90"/>
              </w:rPr>
              <w:t>U.S. Mortgage</w:t>
            </w:r>
          </w:p>
        </w:tc>
        <w:tc>
          <w:tcPr>
            <w:tcW w:w="256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 xml:space="preserve">Insurance </w:t>
            </w:r>
            <w:r>
              <w:rPr>
                <w:rFonts w:ascii="Arial" w:cs="Arial" w:eastAsia="Arial" w:hAnsi="Arial"/>
                <w:sz w:val="11"/>
                <w:szCs w:val="11"/>
                <w:color w:val="auto"/>
              </w:rPr>
              <w:t>(1)</w:t>
            </w:r>
          </w:p>
        </w:tc>
        <w:tc>
          <w:tcPr>
            <w:tcW w:w="520" w:type="dxa"/>
            <w:vAlign w:val="bottom"/>
            <w:tcBorders>
              <w:top w:val="single" w:sz="8" w:color="CCEEFF"/>
            </w:tcBorders>
            <w:shd w:val="clear" w:color="auto" w:fill="CCEEFF"/>
          </w:tcPr>
          <w:p>
            <w:pPr>
              <w:spacing w:after="0"/>
              <w:rPr>
                <w:sz w:val="18"/>
                <w:szCs w:val="18"/>
                <w:color w:val="auto"/>
              </w:rPr>
            </w:pPr>
          </w:p>
        </w:tc>
        <w:tc>
          <w:tcPr>
            <w:tcW w:w="34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Adjusted operating income</w:t>
            </w:r>
          </w:p>
        </w:tc>
        <w:tc>
          <w:tcPr>
            <w:tcW w:w="5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200</w:t>
            </w:r>
          </w:p>
        </w:tc>
        <w:tc>
          <w:tcPr>
            <w:tcW w:w="42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250</w:t>
            </w:r>
          </w:p>
        </w:tc>
        <w:tc>
          <w:tcPr>
            <w:tcW w:w="3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4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20" w:type="dxa"/>
            <w:vAlign w:val="bottom"/>
            <w:shd w:val="clear" w:color="auto" w:fill="CCEEFF"/>
          </w:tcPr>
          <w:p>
            <w:pPr>
              <w:spacing w:after="0"/>
              <w:rPr>
                <w:sz w:val="18"/>
                <w:szCs w:val="18"/>
                <w:color w:val="auto"/>
              </w:rPr>
            </w:pPr>
          </w:p>
        </w:tc>
        <w:tc>
          <w:tcPr>
            <w:tcW w:w="2560" w:type="dxa"/>
            <w:vAlign w:val="bottom"/>
            <w:shd w:val="clear" w:color="auto" w:fill="CCEEFF"/>
          </w:tcPr>
          <w:p>
            <w:pPr>
              <w:spacing w:after="0"/>
              <w:rPr>
                <w:sz w:val="18"/>
                <w:szCs w:val="18"/>
                <w:color w:val="auto"/>
              </w:rPr>
            </w:pPr>
          </w:p>
        </w:tc>
        <w:tc>
          <w:tcPr>
            <w:tcW w:w="4500" w:type="dxa"/>
            <w:vAlign w:val="bottom"/>
            <w:gridSpan w:val="3"/>
            <w:shd w:val="clear" w:color="auto" w:fill="CCEEFF"/>
          </w:tcPr>
          <w:p>
            <w:pPr>
              <w:ind w:left="520"/>
              <w:spacing w:after="0"/>
              <w:rPr>
                <w:sz w:val="20"/>
                <w:szCs w:val="20"/>
                <w:color w:val="auto"/>
              </w:rPr>
            </w:pPr>
            <w:r>
              <w:rPr>
                <w:rFonts w:ascii="Arial" w:cs="Arial" w:eastAsia="Arial" w:hAnsi="Arial"/>
                <w:sz w:val="18"/>
                <w:szCs w:val="18"/>
                <w:color w:val="auto"/>
              </w:rPr>
              <w:t>Operating ROE (unlevered 5 pt average)</w:t>
            </w: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10.6%</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13.0%</w:t>
            </w:r>
          </w:p>
        </w:tc>
        <w:tc>
          <w:tcPr>
            <w:tcW w:w="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w w:val="87"/>
              </w:rPr>
              <w:t>240 bps</w:t>
            </w:r>
          </w:p>
        </w:tc>
        <w:tc>
          <w:tcPr>
            <w:tcW w:w="0" w:type="dxa"/>
            <w:vAlign w:val="bottom"/>
          </w:tcPr>
          <w:p>
            <w:pPr>
              <w:spacing w:after="0"/>
              <w:rPr>
                <w:sz w:val="1"/>
                <w:szCs w:val="1"/>
                <w:color w:val="auto"/>
              </w:rPr>
            </w:pPr>
          </w:p>
        </w:tc>
      </w:tr>
      <w:tr>
        <w:trPr>
          <w:trHeight w:val="365"/>
        </w:trPr>
        <w:tc>
          <w:tcPr>
            <w:tcW w:w="3680" w:type="dxa"/>
            <w:vAlign w:val="bottom"/>
            <w:gridSpan w:val="2"/>
          </w:tcPr>
          <w:p>
            <w:pPr>
              <w:spacing w:after="0"/>
              <w:rPr>
                <w:sz w:val="20"/>
                <w:szCs w:val="20"/>
                <w:color w:val="auto"/>
              </w:rPr>
            </w:pPr>
            <w:r>
              <w:rPr>
                <w:rFonts w:ascii="Arial" w:cs="Arial" w:eastAsia="Arial" w:hAnsi="Arial"/>
                <w:sz w:val="18"/>
                <w:szCs w:val="18"/>
                <w:b w:val="1"/>
                <w:bCs w:val="1"/>
                <w:color w:val="auto"/>
              </w:rPr>
              <w:t xml:space="preserve">Canada Mortgage Insurance </w:t>
            </w:r>
            <w:r>
              <w:rPr>
                <w:rFonts w:ascii="Arial" w:cs="Arial" w:eastAsia="Arial" w:hAnsi="Arial"/>
                <w:sz w:val="19"/>
                <w:szCs w:val="19"/>
                <w:color w:val="auto"/>
                <w:vertAlign w:val="superscript"/>
              </w:rPr>
              <w:t>(2)</w:t>
            </w:r>
          </w:p>
        </w:tc>
        <w:tc>
          <w:tcPr>
            <w:tcW w:w="4500" w:type="dxa"/>
            <w:vAlign w:val="bottom"/>
            <w:gridSpan w:val="3"/>
          </w:tcPr>
          <w:p>
            <w:pPr>
              <w:ind w:left="520"/>
              <w:spacing w:after="0"/>
              <w:rPr>
                <w:sz w:val="20"/>
                <w:szCs w:val="20"/>
                <w:color w:val="auto"/>
              </w:rPr>
            </w:pPr>
            <w:r>
              <w:rPr>
                <w:rFonts w:ascii="Arial" w:cs="Arial" w:eastAsia="Arial" w:hAnsi="Arial"/>
                <w:sz w:val="18"/>
                <w:szCs w:val="18"/>
                <w:color w:val="auto"/>
              </w:rPr>
              <w:t>Adjusted operating income</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gridSpan w:val="2"/>
          </w:tcPr>
          <w:p>
            <w:pPr>
              <w:jc w:val="right"/>
              <w:ind w:right="420"/>
              <w:spacing w:after="0"/>
              <w:rPr>
                <w:sz w:val="20"/>
                <w:szCs w:val="20"/>
                <w:color w:val="auto"/>
              </w:rPr>
            </w:pPr>
            <w:r>
              <w:rPr>
                <w:rFonts w:ascii="Arial" w:cs="Arial" w:eastAsia="Arial" w:hAnsi="Arial"/>
                <w:sz w:val="18"/>
                <w:szCs w:val="18"/>
                <w:color w:val="auto"/>
              </w:rPr>
              <w:t>136</w:t>
            </w:r>
          </w:p>
        </w:tc>
        <w:tc>
          <w:tcPr>
            <w:tcW w:w="380" w:type="dxa"/>
            <w:vAlign w:val="bottom"/>
            <w:gridSpan w:val="2"/>
          </w:tcPr>
          <w:p>
            <w:pPr>
              <w:ind w:left="280"/>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149</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13</w:t>
            </w: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4500" w:type="dxa"/>
            <w:vAlign w:val="bottom"/>
            <w:gridSpan w:val="3"/>
          </w:tcPr>
          <w:p>
            <w:pPr>
              <w:ind w:left="520"/>
              <w:spacing w:after="0"/>
              <w:rPr>
                <w:sz w:val="20"/>
                <w:szCs w:val="20"/>
                <w:color w:val="auto"/>
              </w:rPr>
            </w:pPr>
            <w:r>
              <w:rPr>
                <w:rFonts w:ascii="Arial" w:cs="Arial" w:eastAsia="Arial" w:hAnsi="Arial"/>
                <w:sz w:val="18"/>
                <w:szCs w:val="18"/>
                <w:color w:val="auto"/>
              </w:rPr>
              <w:t>Operating ROE (unlevered 5 pt average)</w:t>
            </w:r>
          </w:p>
        </w:tc>
        <w:tc>
          <w:tcPr>
            <w:tcW w:w="100" w:type="dxa"/>
            <w:vAlign w:val="bottom"/>
          </w:tcPr>
          <w:p>
            <w:pPr>
              <w:spacing w:after="0"/>
              <w:rPr>
                <w:sz w:val="24"/>
                <w:szCs w:val="24"/>
                <w:color w:val="auto"/>
              </w:rPr>
            </w:pPr>
          </w:p>
        </w:tc>
        <w:tc>
          <w:tcPr>
            <w:tcW w:w="820" w:type="dxa"/>
            <w:vAlign w:val="bottom"/>
            <w:gridSpan w:val="2"/>
          </w:tcPr>
          <w:p>
            <w:pPr>
              <w:jc w:val="right"/>
              <w:ind w:right="280"/>
              <w:spacing w:after="0"/>
              <w:rPr>
                <w:sz w:val="20"/>
                <w:szCs w:val="20"/>
                <w:color w:val="auto"/>
              </w:rPr>
            </w:pPr>
            <w:r>
              <w:rPr>
                <w:rFonts w:ascii="Arial" w:cs="Arial" w:eastAsia="Arial" w:hAnsi="Arial"/>
                <w:sz w:val="18"/>
                <w:szCs w:val="18"/>
                <w:color w:val="auto"/>
              </w:rPr>
              <w:t>7.6%</w:t>
            </w: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8.1%</w:t>
            </w:r>
          </w:p>
        </w:tc>
        <w:tc>
          <w:tcPr>
            <w:tcW w:w="80" w:type="dxa"/>
            <w:vAlign w:val="bottom"/>
          </w:tcPr>
          <w:p>
            <w:pPr>
              <w:spacing w:after="0"/>
              <w:rPr>
                <w:sz w:val="24"/>
                <w:szCs w:val="24"/>
                <w:color w:val="auto"/>
              </w:rPr>
            </w:pPr>
          </w:p>
        </w:tc>
        <w:tc>
          <w:tcPr>
            <w:tcW w:w="1020" w:type="dxa"/>
            <w:vAlign w:val="bottom"/>
            <w:gridSpan w:val="2"/>
          </w:tcPr>
          <w:p>
            <w:pPr>
              <w:jc w:val="right"/>
              <w:ind w:right="440"/>
              <w:spacing w:after="0"/>
              <w:rPr>
                <w:sz w:val="20"/>
                <w:szCs w:val="20"/>
                <w:color w:val="auto"/>
              </w:rPr>
            </w:pPr>
            <w:r>
              <w:rPr>
                <w:rFonts w:ascii="Arial" w:cs="Arial" w:eastAsia="Arial" w:hAnsi="Arial"/>
                <w:sz w:val="18"/>
                <w:szCs w:val="18"/>
                <w:color w:val="auto"/>
              </w:rPr>
              <w:t>50 bps</w:t>
            </w:r>
          </w:p>
        </w:tc>
        <w:tc>
          <w:tcPr>
            <w:tcW w:w="0" w:type="dxa"/>
            <w:vAlign w:val="bottom"/>
          </w:tcPr>
          <w:p>
            <w:pPr>
              <w:spacing w:after="0"/>
              <w:rPr>
                <w:sz w:val="1"/>
                <w:szCs w:val="1"/>
                <w:color w:val="auto"/>
              </w:rPr>
            </w:pPr>
          </w:p>
        </w:tc>
      </w:tr>
      <w:tr>
        <w:trPr>
          <w:trHeight w:val="216"/>
        </w:trPr>
        <w:tc>
          <w:tcPr>
            <w:tcW w:w="3680" w:type="dxa"/>
            <w:vAlign w:val="bottom"/>
            <w:gridSpan w:val="2"/>
            <w:shd w:val="clear" w:color="auto" w:fill="CCEEFF"/>
          </w:tcPr>
          <w:p>
            <w:pPr>
              <w:spacing w:after="0" w:line="216" w:lineRule="exact"/>
              <w:rPr>
                <w:sz w:val="20"/>
                <w:szCs w:val="20"/>
                <w:color w:val="auto"/>
              </w:rPr>
            </w:pPr>
            <w:r>
              <w:rPr>
                <w:rFonts w:ascii="Arial" w:cs="Arial" w:eastAsia="Arial" w:hAnsi="Arial"/>
                <w:sz w:val="18"/>
                <w:szCs w:val="18"/>
                <w:b w:val="1"/>
                <w:bCs w:val="1"/>
                <w:color w:val="auto"/>
              </w:rPr>
              <w:t xml:space="preserve">Australia Mortgage Insurance </w:t>
            </w:r>
            <w:r>
              <w:rPr>
                <w:rFonts w:ascii="Arial" w:cs="Arial" w:eastAsia="Arial" w:hAnsi="Arial"/>
                <w:sz w:val="19"/>
                <w:szCs w:val="19"/>
                <w:color w:val="auto"/>
                <w:vertAlign w:val="superscript"/>
              </w:rPr>
              <w:t>(3)</w:t>
            </w:r>
          </w:p>
        </w:tc>
        <w:tc>
          <w:tcPr>
            <w:tcW w:w="4500" w:type="dxa"/>
            <w:vAlign w:val="bottom"/>
            <w:gridSpan w:val="3"/>
            <w:shd w:val="clear" w:color="auto" w:fill="CCEEFF"/>
          </w:tcPr>
          <w:p>
            <w:pPr>
              <w:ind w:left="520"/>
              <w:spacing w:after="0"/>
              <w:rPr>
                <w:sz w:val="20"/>
                <w:szCs w:val="20"/>
                <w:color w:val="auto"/>
              </w:rPr>
            </w:pPr>
            <w:r>
              <w:rPr>
                <w:rFonts w:ascii="Arial" w:cs="Arial" w:eastAsia="Arial" w:hAnsi="Arial"/>
                <w:sz w:val="18"/>
                <w:szCs w:val="18"/>
                <w:color w:val="auto"/>
              </w:rPr>
              <w:t>Adjusted operating income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68</w:t>
            </w:r>
          </w:p>
        </w:tc>
        <w:tc>
          <w:tcPr>
            <w:tcW w:w="38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62</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1120" w:type="dxa"/>
            <w:vAlign w:val="bottom"/>
            <w:shd w:val="clear" w:color="auto" w:fill="CCEEFF"/>
          </w:tcPr>
          <w:p>
            <w:pPr>
              <w:spacing w:after="0"/>
              <w:rPr>
                <w:sz w:val="18"/>
                <w:szCs w:val="18"/>
                <w:color w:val="auto"/>
              </w:rPr>
            </w:pPr>
          </w:p>
        </w:tc>
        <w:tc>
          <w:tcPr>
            <w:tcW w:w="2560" w:type="dxa"/>
            <w:vAlign w:val="bottom"/>
            <w:shd w:val="clear" w:color="auto" w:fill="CCEEFF"/>
          </w:tcPr>
          <w:p>
            <w:pPr>
              <w:spacing w:after="0"/>
              <w:rPr>
                <w:sz w:val="18"/>
                <w:szCs w:val="18"/>
                <w:color w:val="auto"/>
              </w:rPr>
            </w:pPr>
          </w:p>
        </w:tc>
        <w:tc>
          <w:tcPr>
            <w:tcW w:w="4500" w:type="dxa"/>
            <w:vAlign w:val="bottom"/>
            <w:gridSpan w:val="3"/>
            <w:shd w:val="clear" w:color="auto" w:fill="CCEEFF"/>
          </w:tcPr>
          <w:p>
            <w:pPr>
              <w:ind w:left="520"/>
              <w:spacing w:after="0"/>
              <w:rPr>
                <w:sz w:val="20"/>
                <w:szCs w:val="20"/>
                <w:color w:val="auto"/>
              </w:rPr>
            </w:pPr>
            <w:r>
              <w:rPr>
                <w:rFonts w:ascii="Arial" w:cs="Arial" w:eastAsia="Arial" w:hAnsi="Arial"/>
                <w:sz w:val="18"/>
                <w:szCs w:val="18"/>
                <w:color w:val="auto"/>
              </w:rPr>
              <w:t>Operating ROE (unlevered 5 pt average)</w:t>
            </w: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92"/>
              </w:rPr>
              <w:t>10.3 %</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9.6%</w:t>
            </w:r>
          </w:p>
        </w:tc>
        <w:tc>
          <w:tcPr>
            <w:tcW w:w="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(70) bps</w:t>
            </w:r>
          </w:p>
        </w:tc>
        <w:tc>
          <w:tcPr>
            <w:tcW w:w="0" w:type="dxa"/>
            <w:vAlign w:val="bottom"/>
          </w:tcPr>
          <w:p>
            <w:pPr>
              <w:spacing w:after="0"/>
              <w:rPr>
                <w:sz w:val="1"/>
                <w:szCs w:val="1"/>
                <w:color w:val="auto"/>
              </w:rPr>
            </w:pPr>
          </w:p>
        </w:tc>
      </w:tr>
      <w:tr>
        <w:trPr>
          <w:trHeight w:val="310"/>
        </w:trPr>
        <w:tc>
          <w:tcPr>
            <w:tcW w:w="3680" w:type="dxa"/>
            <w:vAlign w:val="bottom"/>
            <w:gridSpan w:val="2"/>
          </w:tcPr>
          <w:p>
            <w:pPr>
              <w:spacing w:after="0"/>
              <w:rPr>
                <w:sz w:val="20"/>
                <w:szCs w:val="20"/>
                <w:color w:val="auto"/>
              </w:rPr>
            </w:pPr>
            <w:r>
              <w:rPr>
                <w:rFonts w:ascii="Arial" w:cs="Arial" w:eastAsia="Arial" w:hAnsi="Arial"/>
                <w:sz w:val="18"/>
                <w:szCs w:val="18"/>
                <w:b w:val="1"/>
                <w:bCs w:val="1"/>
                <w:color w:val="auto"/>
              </w:rPr>
              <w:t xml:space="preserve">U.S. Life Insurance </w:t>
            </w:r>
            <w:r>
              <w:rPr>
                <w:rFonts w:ascii="Arial" w:cs="Arial" w:eastAsia="Arial" w:hAnsi="Arial"/>
                <w:sz w:val="19"/>
                <w:szCs w:val="19"/>
                <w:color w:val="auto"/>
                <w:vertAlign w:val="superscript"/>
              </w:rPr>
              <w:t>(4)</w:t>
            </w:r>
          </w:p>
        </w:tc>
        <w:tc>
          <w:tcPr>
            <w:tcW w:w="4500" w:type="dxa"/>
            <w:vAlign w:val="bottom"/>
            <w:gridSpan w:val="3"/>
          </w:tcPr>
          <w:p>
            <w:pPr>
              <w:ind w:left="520"/>
              <w:spacing w:after="0"/>
              <w:rPr>
                <w:sz w:val="20"/>
                <w:szCs w:val="20"/>
                <w:color w:val="auto"/>
              </w:rPr>
            </w:pPr>
            <w:r>
              <w:rPr>
                <w:rFonts w:ascii="Arial" w:cs="Arial" w:eastAsia="Arial" w:hAnsi="Arial"/>
                <w:sz w:val="18"/>
                <w:szCs w:val="18"/>
                <w:color w:val="auto"/>
              </w:rPr>
              <w:t>Gross incremental premiums approved for LTC</w:t>
            </w: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12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4500" w:type="dxa"/>
            <w:vAlign w:val="bottom"/>
            <w:gridSpan w:val="3"/>
          </w:tcPr>
          <w:p>
            <w:pPr>
              <w:ind w:left="520"/>
              <w:spacing w:after="0"/>
              <w:rPr>
                <w:sz w:val="20"/>
                <w:szCs w:val="20"/>
                <w:color w:val="auto"/>
              </w:rPr>
            </w:pPr>
            <w:r>
              <w:rPr>
                <w:rFonts w:ascii="Arial" w:cs="Arial" w:eastAsia="Arial" w:hAnsi="Arial"/>
                <w:sz w:val="18"/>
                <w:szCs w:val="18"/>
                <w:color w:val="auto"/>
              </w:rPr>
              <w:t>in-force rate actions</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gridSpan w:val="2"/>
          </w:tcPr>
          <w:p>
            <w:pPr>
              <w:jc w:val="right"/>
              <w:ind w:right="420"/>
              <w:spacing w:after="0"/>
              <w:rPr>
                <w:sz w:val="20"/>
                <w:szCs w:val="20"/>
                <w:color w:val="auto"/>
              </w:rPr>
            </w:pPr>
            <w:r>
              <w:rPr>
                <w:rFonts w:ascii="Arial" w:cs="Arial" w:eastAsia="Arial" w:hAnsi="Arial"/>
                <w:sz w:val="18"/>
                <w:szCs w:val="18"/>
                <w:color w:val="auto"/>
              </w:rPr>
              <w:t>160</w:t>
            </w:r>
          </w:p>
        </w:tc>
        <w:tc>
          <w:tcPr>
            <w:tcW w:w="380" w:type="dxa"/>
            <w:vAlign w:val="bottom"/>
            <w:gridSpan w:val="2"/>
          </w:tcPr>
          <w:p>
            <w:pPr>
              <w:ind w:left="280"/>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204</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44</w:t>
            </w:r>
          </w:p>
        </w:tc>
        <w:tc>
          <w:tcPr>
            <w:tcW w:w="4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6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Investments</w:t>
            </w:r>
          </w:p>
        </w:tc>
        <w:tc>
          <w:tcPr>
            <w:tcW w:w="4500" w:type="dxa"/>
            <w:vAlign w:val="bottom"/>
            <w:gridSpan w:val="3"/>
            <w:shd w:val="clear" w:color="auto" w:fill="CCEEFF"/>
          </w:tcPr>
          <w:p>
            <w:pPr>
              <w:ind w:left="520"/>
              <w:spacing w:after="0"/>
              <w:rPr>
                <w:sz w:val="20"/>
                <w:szCs w:val="20"/>
                <w:color w:val="auto"/>
              </w:rPr>
            </w:pPr>
            <w:r>
              <w:rPr>
                <w:rFonts w:ascii="Arial" w:cs="Arial" w:eastAsia="Arial" w:hAnsi="Arial"/>
                <w:sz w:val="18"/>
                <w:szCs w:val="18"/>
                <w:color w:val="auto"/>
              </w:rPr>
              <w:t xml:space="preserve">Net investment income </w:t>
            </w:r>
            <w:r>
              <w:rPr>
                <w:rFonts w:ascii="Arial" w:cs="Arial" w:eastAsia="Arial" w:hAnsi="Arial"/>
                <w:sz w:val="15"/>
                <w:szCs w:val="15"/>
                <w:color w:val="auto"/>
              </w:rPr>
              <w:t>(5)</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w w:val="84"/>
              </w:rPr>
              <w:t>3,135</w:t>
            </w:r>
          </w:p>
        </w:tc>
        <w:tc>
          <w:tcPr>
            <w:tcW w:w="38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3,162</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4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20" w:type="dxa"/>
            <w:vAlign w:val="bottom"/>
            <w:shd w:val="clear" w:color="auto" w:fill="CCEEFF"/>
          </w:tcPr>
          <w:p>
            <w:pPr>
              <w:spacing w:after="0"/>
              <w:rPr>
                <w:sz w:val="17"/>
                <w:szCs w:val="17"/>
                <w:color w:val="auto"/>
              </w:rPr>
            </w:pPr>
          </w:p>
        </w:tc>
        <w:tc>
          <w:tcPr>
            <w:tcW w:w="256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398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Total company adjusted U.S.GAAP</w:t>
            </w: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1120" w:type="dxa"/>
            <w:vAlign w:val="bottom"/>
            <w:shd w:val="clear" w:color="auto" w:fill="CCEEFF"/>
          </w:tcPr>
          <w:p>
            <w:pPr>
              <w:spacing w:after="0"/>
              <w:rPr>
                <w:sz w:val="20"/>
                <w:szCs w:val="20"/>
                <w:color w:val="auto"/>
              </w:rPr>
            </w:pPr>
          </w:p>
        </w:tc>
        <w:tc>
          <w:tcPr>
            <w:tcW w:w="2560" w:type="dxa"/>
            <w:vAlign w:val="bottom"/>
            <w:shd w:val="clear" w:color="auto" w:fill="CCEEFF"/>
          </w:tcPr>
          <w:p>
            <w:pPr>
              <w:spacing w:after="0"/>
              <w:rPr>
                <w:sz w:val="20"/>
                <w:szCs w:val="20"/>
                <w:color w:val="auto"/>
              </w:rPr>
            </w:pPr>
          </w:p>
        </w:tc>
        <w:tc>
          <w:tcPr>
            <w:tcW w:w="520" w:type="dxa"/>
            <w:vAlign w:val="bottom"/>
            <w:shd w:val="clear" w:color="auto" w:fill="CCEEFF"/>
          </w:tcPr>
          <w:p>
            <w:pPr>
              <w:spacing w:after="0"/>
              <w:rPr>
                <w:sz w:val="20"/>
                <w:szCs w:val="20"/>
                <w:color w:val="auto"/>
              </w:rPr>
            </w:pPr>
          </w:p>
        </w:tc>
        <w:tc>
          <w:tcPr>
            <w:tcW w:w="3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xml:space="preserve">impairments and trading losses </w:t>
            </w:r>
            <w:r>
              <w:rPr>
                <w:rFonts w:ascii="Arial" w:cs="Arial" w:eastAsia="Arial" w:hAnsi="Arial"/>
                <w:sz w:val="15"/>
                <w:szCs w:val="15"/>
                <w:color w:val="auto"/>
              </w:rPr>
              <w:t>(6)</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(60)</w:t>
            </w:r>
          </w:p>
        </w:tc>
        <w:tc>
          <w:tcPr>
            <w:tcW w:w="38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(36)</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4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1120" w:type="dxa"/>
            <w:vAlign w:val="bottom"/>
            <w:shd w:val="clear" w:color="auto" w:fill="CCEEFF"/>
          </w:tcPr>
          <w:p>
            <w:pPr>
              <w:spacing w:after="0"/>
              <w:rPr>
                <w:sz w:val="17"/>
                <w:szCs w:val="17"/>
                <w:color w:val="auto"/>
              </w:rPr>
            </w:pPr>
          </w:p>
        </w:tc>
        <w:tc>
          <w:tcPr>
            <w:tcW w:w="256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398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U.S. Life Insurance statutory impairments and</w:t>
            </w: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120" w:type="dxa"/>
            <w:vAlign w:val="bottom"/>
            <w:shd w:val="clear" w:color="auto" w:fill="CCEEFF"/>
          </w:tcPr>
          <w:p>
            <w:pPr>
              <w:spacing w:after="0"/>
              <w:rPr>
                <w:sz w:val="18"/>
                <w:szCs w:val="18"/>
                <w:color w:val="auto"/>
              </w:rPr>
            </w:pPr>
          </w:p>
        </w:tc>
        <w:tc>
          <w:tcPr>
            <w:tcW w:w="25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trading losses and capital/credit migration</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20" w:type="dxa"/>
            <w:vAlign w:val="bottom"/>
            <w:shd w:val="clear" w:color="auto" w:fill="CCEEFF"/>
          </w:tcPr>
          <w:p>
            <w:pPr>
              <w:spacing w:after="0"/>
              <w:rPr>
                <w:sz w:val="20"/>
                <w:szCs w:val="20"/>
                <w:color w:val="auto"/>
              </w:rPr>
            </w:pPr>
          </w:p>
        </w:tc>
        <w:tc>
          <w:tcPr>
            <w:tcW w:w="2560" w:type="dxa"/>
            <w:vAlign w:val="bottom"/>
            <w:shd w:val="clear" w:color="auto" w:fill="CCEEFF"/>
          </w:tcPr>
          <w:p>
            <w:pPr>
              <w:spacing w:after="0"/>
              <w:rPr>
                <w:sz w:val="20"/>
                <w:szCs w:val="20"/>
                <w:color w:val="auto"/>
              </w:rPr>
            </w:pPr>
          </w:p>
        </w:tc>
        <w:tc>
          <w:tcPr>
            <w:tcW w:w="520" w:type="dxa"/>
            <w:vAlign w:val="bottom"/>
            <w:shd w:val="clear" w:color="auto" w:fill="CCEEFF"/>
          </w:tcPr>
          <w:p>
            <w:pPr>
              <w:spacing w:after="0"/>
              <w:rPr>
                <w:sz w:val="20"/>
                <w:szCs w:val="20"/>
                <w:color w:val="auto"/>
              </w:rPr>
            </w:pPr>
          </w:p>
        </w:tc>
        <w:tc>
          <w:tcPr>
            <w:tcW w:w="3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xml:space="preserve">impact </w:t>
            </w:r>
            <w:r>
              <w:rPr>
                <w:rFonts w:ascii="Arial" w:cs="Arial" w:eastAsia="Arial" w:hAnsi="Arial"/>
                <w:sz w:val="15"/>
                <w:szCs w:val="15"/>
                <w:color w:val="auto"/>
              </w:rPr>
              <w:t>(7)</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(150)</w:t>
            </w:r>
          </w:p>
        </w:tc>
        <w:tc>
          <w:tcPr>
            <w:tcW w:w="38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(54)</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w:t>
            </w:r>
          </w:p>
        </w:tc>
        <w:tc>
          <w:tcPr>
            <w:tcW w:w="4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5" w:lineRule="exact"/>
        <w:rPr>
          <w:sz w:val="20"/>
          <w:szCs w:val="20"/>
          <w:color w:val="auto"/>
        </w:rPr>
      </w:pPr>
    </w:p>
    <w:p>
      <w:pPr>
        <w:ind w:left="460" w:right="520" w:hanging="452"/>
        <w:spacing w:after="0" w:line="258" w:lineRule="auto"/>
        <w:tabs>
          <w:tab w:leader="none" w:pos="460" w:val="left"/>
        </w:tabs>
        <w:numPr>
          <w:ilvl w:val="0"/>
          <w:numId w:val="24"/>
        </w:numPr>
        <w:rPr>
          <w:rFonts w:ascii="Arial" w:cs="Arial" w:eastAsia="Arial" w:hAnsi="Arial"/>
          <w:sz w:val="15"/>
          <w:szCs w:val="15"/>
          <w:color w:val="auto"/>
        </w:rPr>
      </w:pPr>
      <w:r>
        <w:rPr>
          <w:rFonts w:ascii="Arial" w:cs="Arial" w:eastAsia="Arial" w:hAnsi="Arial"/>
          <w:sz w:val="18"/>
          <w:szCs w:val="18"/>
          <w:color w:val="auto"/>
        </w:rPr>
        <w:t>Operating ROE for our U.S. mortgage insurance business equals adjusted operating income divided by average ending Genworth’s stockholders’ equity, excluding accumulated other comprehensive income (loss), for the most recent five quarters.</w:t>
      </w:r>
    </w:p>
    <w:p>
      <w:pPr>
        <w:spacing w:after="0" w:line="1" w:lineRule="exact"/>
        <w:rPr>
          <w:rFonts w:ascii="Arial" w:cs="Arial" w:eastAsia="Arial" w:hAnsi="Arial"/>
          <w:sz w:val="15"/>
          <w:szCs w:val="15"/>
          <w:color w:val="auto"/>
        </w:rPr>
      </w:pPr>
    </w:p>
    <w:p>
      <w:pPr>
        <w:ind w:left="460" w:right="160" w:hanging="452"/>
        <w:spacing w:after="0" w:line="281" w:lineRule="auto"/>
        <w:tabs>
          <w:tab w:leader="none" w:pos="460" w:val="left"/>
        </w:tabs>
        <w:numPr>
          <w:ilvl w:val="0"/>
          <w:numId w:val="24"/>
        </w:numPr>
        <w:rPr>
          <w:rFonts w:ascii="Arial" w:cs="Arial" w:eastAsia="Arial" w:hAnsi="Arial"/>
          <w:sz w:val="14"/>
          <w:szCs w:val="14"/>
          <w:color w:val="auto"/>
        </w:rPr>
      </w:pPr>
      <w:r>
        <w:rPr>
          <w:rFonts w:ascii="Arial" w:cs="Arial" w:eastAsia="Arial" w:hAnsi="Arial"/>
          <w:sz w:val="16"/>
          <w:szCs w:val="16"/>
          <w:color w:val="auto"/>
        </w:rPr>
        <w:t>2016 measured results for adjusted operating income were translated at planned foreign exchange rates. The impact increased adjusted operating income by $3 million in our Canada mortgage insurance business. Operating ROE for our Canada mortgage insurance business equals adjusted operating income excluding our portion of interest expense related to debt using our ownership percentage of 57.2%, divided by average ending Genworth’s stockholders’ equity, excluding accumulated other comprehensive income (loss) and our portion of debt, for the most recent five quarters.</w:t>
      </w:r>
    </w:p>
    <w:p>
      <w:pPr>
        <w:spacing w:after="0" w:line="2" w:lineRule="exact"/>
        <w:rPr>
          <w:rFonts w:ascii="Arial" w:cs="Arial" w:eastAsia="Arial" w:hAnsi="Arial"/>
          <w:sz w:val="14"/>
          <w:szCs w:val="14"/>
          <w:color w:val="auto"/>
        </w:rPr>
      </w:pPr>
    </w:p>
    <w:p>
      <w:pPr>
        <w:ind w:left="460" w:right="320" w:hanging="452"/>
        <w:spacing w:after="0" w:line="250" w:lineRule="auto"/>
        <w:tabs>
          <w:tab w:leader="none" w:pos="460" w:val="left"/>
        </w:tabs>
        <w:numPr>
          <w:ilvl w:val="0"/>
          <w:numId w:val="24"/>
        </w:numPr>
        <w:rPr>
          <w:rFonts w:ascii="Arial" w:cs="Arial" w:eastAsia="Arial" w:hAnsi="Arial"/>
          <w:sz w:val="15"/>
          <w:szCs w:val="15"/>
          <w:color w:val="auto"/>
        </w:rPr>
      </w:pPr>
      <w:r>
        <w:rPr>
          <w:rFonts w:ascii="Arial" w:cs="Arial" w:eastAsia="Arial" w:hAnsi="Arial"/>
          <w:sz w:val="18"/>
          <w:szCs w:val="18"/>
          <w:color w:val="auto"/>
        </w:rPr>
        <w:t>Operating ROE for our Australia mortgage insurance business equals adjusted operating income excluding our portion of interest expense related to debt using our ownership percentage of 52.0%, divided by average ending Genworth’s stockholders’ equity, excluding accumulated other comprehensive income (loss) and our portion of debt, for the most recent five quarters.</w:t>
      </w:r>
    </w:p>
    <w:p>
      <w:pPr>
        <w:spacing w:after="0" w:line="1" w:lineRule="exact"/>
        <w:rPr>
          <w:rFonts w:ascii="Arial" w:cs="Arial" w:eastAsia="Arial" w:hAnsi="Arial"/>
          <w:sz w:val="15"/>
          <w:szCs w:val="15"/>
          <w:color w:val="auto"/>
        </w:rPr>
      </w:pPr>
    </w:p>
    <w:p>
      <w:pPr>
        <w:ind w:left="460" w:right="40" w:hanging="452"/>
        <w:spacing w:after="0" w:line="250" w:lineRule="auto"/>
        <w:tabs>
          <w:tab w:leader="none" w:pos="460" w:val="left"/>
        </w:tabs>
        <w:numPr>
          <w:ilvl w:val="0"/>
          <w:numId w:val="24"/>
        </w:numPr>
        <w:rPr>
          <w:rFonts w:ascii="Arial" w:cs="Arial" w:eastAsia="Arial" w:hAnsi="Arial"/>
          <w:sz w:val="15"/>
          <w:szCs w:val="15"/>
          <w:color w:val="auto"/>
        </w:rPr>
      </w:pPr>
      <w:r>
        <w:rPr>
          <w:rFonts w:ascii="Arial" w:cs="Arial" w:eastAsia="Arial" w:hAnsi="Arial"/>
          <w:sz w:val="18"/>
          <w:szCs w:val="18"/>
          <w:color w:val="auto"/>
        </w:rPr>
        <w:t>In-force rate actions approved and implemented in 2016, which represented a weighted-average increase of 28% on $719 million in annualized LTC in-force premiums, or approximately $204 million.</w:t>
      </w:r>
    </w:p>
    <w:p>
      <w:pPr>
        <w:ind w:left="460" w:right="420" w:hanging="452"/>
        <w:spacing w:after="0" w:line="261" w:lineRule="auto"/>
        <w:tabs>
          <w:tab w:leader="none" w:pos="460" w:val="left"/>
        </w:tabs>
        <w:numPr>
          <w:ilvl w:val="0"/>
          <w:numId w:val="24"/>
        </w:numPr>
        <w:rPr>
          <w:rFonts w:ascii="Arial" w:cs="Arial" w:eastAsia="Arial" w:hAnsi="Arial"/>
          <w:sz w:val="15"/>
          <w:szCs w:val="15"/>
          <w:color w:val="auto"/>
        </w:rPr>
      </w:pPr>
      <w:r>
        <w:rPr>
          <w:rFonts w:ascii="Arial" w:cs="Arial" w:eastAsia="Arial" w:hAnsi="Arial"/>
          <w:sz w:val="18"/>
          <w:szCs w:val="18"/>
          <w:color w:val="auto"/>
        </w:rPr>
        <w:t>2016 measured results for net investment income were adjusted to be translated at planned foreign exchange rates, which increased net investment income by $3 million.</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459" w:right="2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20" w:type="dxa"/>
            <w:vAlign w:val="bottom"/>
          </w:tcPr>
          <w:p>
            <w:pPr>
              <w:jc w:val="right"/>
              <w:ind w:right="63"/>
              <w:spacing w:after="0"/>
              <w:rPr>
                <w:sz w:val="20"/>
                <w:szCs w:val="20"/>
                <w:color w:val="auto"/>
              </w:rPr>
            </w:pPr>
            <w:r>
              <w:rPr>
                <w:rFonts w:ascii="Arial" w:cs="Arial" w:eastAsia="Arial" w:hAnsi="Arial"/>
                <w:sz w:val="15"/>
                <w:szCs w:val="15"/>
                <w:color w:val="auto"/>
                <w:w w:val="87"/>
              </w:rPr>
              <w:t>(6)</w:t>
            </w:r>
          </w:p>
        </w:tc>
        <w:tc>
          <w:tcPr>
            <w:tcW w:w="8820" w:type="dxa"/>
            <w:vAlign w:val="bottom"/>
            <w:gridSpan w:val="3"/>
          </w:tcPr>
          <w:p>
            <w:pPr>
              <w:ind w:left="140"/>
              <w:spacing w:after="0"/>
              <w:rPr>
                <w:sz w:val="20"/>
                <w:szCs w:val="20"/>
                <w:color w:val="auto"/>
              </w:rPr>
            </w:pPr>
            <w:r>
              <w:rPr>
                <w:rFonts w:ascii="Arial" w:cs="Arial" w:eastAsia="Arial" w:hAnsi="Arial"/>
                <w:sz w:val="18"/>
                <w:szCs w:val="18"/>
                <w:color w:val="auto"/>
              </w:rPr>
              <w:t>Total company adjusted U.S. GAAP impairments and trading losses were calculated as follows:</w:t>
            </w: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320" w:type="dxa"/>
            <w:vAlign w:val="bottom"/>
          </w:tcPr>
          <w:p>
            <w:pPr>
              <w:spacing w:after="0"/>
              <w:rPr>
                <w:sz w:val="24"/>
                <w:szCs w:val="24"/>
                <w:color w:val="auto"/>
              </w:rPr>
            </w:pPr>
          </w:p>
        </w:tc>
        <w:tc>
          <w:tcPr>
            <w:tcW w:w="8820" w:type="dxa"/>
            <w:vAlign w:val="bottom"/>
            <w:gridSpan w:val="3"/>
          </w:tcPr>
          <w:p>
            <w:pPr>
              <w:ind w:left="1520"/>
              <w:spacing w:after="0"/>
              <w:rPr>
                <w:sz w:val="20"/>
                <w:szCs w:val="20"/>
                <w:color w:val="auto"/>
              </w:rPr>
            </w:pPr>
            <w:r>
              <w:rPr>
                <w:rFonts w:ascii="Arial" w:cs="Arial" w:eastAsia="Arial" w:hAnsi="Arial"/>
                <w:sz w:val="14"/>
                <w:szCs w:val="14"/>
                <w:b w:val="1"/>
                <w:bCs w:val="1"/>
                <w:color w:val="auto"/>
              </w:rPr>
              <w:t>(amounts in millions)</w:t>
            </w: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6000" w:type="dxa"/>
            <w:vAlign w:val="bottom"/>
            <w:shd w:val="clear" w:color="auto" w:fill="CCEEFF"/>
          </w:tcPr>
          <w:p>
            <w:pPr>
              <w:spacing w:after="0" w:line="20" w:lineRule="exact"/>
              <w:rPr>
                <w:sz w:val="1"/>
                <w:szCs w:val="1"/>
                <w:color w:val="auto"/>
              </w:rPr>
            </w:pPr>
          </w:p>
        </w:tc>
        <w:tc>
          <w:tcPr>
            <w:tcW w:w="80" w:type="dxa"/>
            <w:vAlign w:val="bottom"/>
            <w:vMerge w:val="restart"/>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280" w:type="dxa"/>
            <w:vAlign w:val="bottom"/>
            <w:vMerge w:val="restart"/>
            <w:shd w:val="clear" w:color="auto" w:fill="CCEEFF"/>
          </w:tcPr>
          <w:p>
            <w:pPr>
              <w:jc w:val="right"/>
              <w:spacing w:after="0" w:line="162" w:lineRule="exact"/>
              <w:rPr>
                <w:sz w:val="20"/>
                <w:szCs w:val="20"/>
                <w:color w:val="auto"/>
              </w:rPr>
            </w:pPr>
            <w:r>
              <w:rPr>
                <w:rFonts w:ascii="Arial" w:cs="Arial" w:eastAsia="Arial" w:hAnsi="Arial"/>
                <w:sz w:val="15"/>
                <w:szCs w:val="15"/>
                <w:color w:val="auto"/>
              </w:rPr>
              <w:t>128</w:t>
            </w:r>
          </w:p>
        </w:tc>
        <w:tc>
          <w:tcPr>
            <w:tcW w:w="100" w:type="dxa"/>
            <w:vAlign w:val="bottom"/>
            <w:vMerge w:val="restart"/>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320" w:type="dxa"/>
            <w:vAlign w:val="bottom"/>
          </w:tcPr>
          <w:p>
            <w:pPr>
              <w:spacing w:after="0"/>
              <w:rPr>
                <w:sz w:val="12"/>
                <w:szCs w:val="12"/>
                <w:color w:val="auto"/>
              </w:rPr>
            </w:pPr>
          </w:p>
        </w:tc>
        <w:tc>
          <w:tcPr>
            <w:tcW w:w="1520" w:type="dxa"/>
            <w:vAlign w:val="bottom"/>
          </w:tcPr>
          <w:p>
            <w:pPr>
              <w:spacing w:after="0"/>
              <w:rPr>
                <w:sz w:val="12"/>
                <w:szCs w:val="12"/>
                <w:color w:val="auto"/>
              </w:rPr>
            </w:pPr>
          </w:p>
        </w:tc>
        <w:tc>
          <w:tcPr>
            <w:tcW w:w="7300" w:type="dxa"/>
            <w:vAlign w:val="bottom"/>
            <w:gridSpan w:val="2"/>
            <w:shd w:val="clear" w:color="auto" w:fill="CCEEFF"/>
          </w:tcPr>
          <w:p>
            <w:pPr>
              <w:spacing w:after="0" w:line="142" w:lineRule="exact"/>
              <w:rPr>
                <w:sz w:val="20"/>
                <w:szCs w:val="20"/>
                <w:color w:val="auto"/>
              </w:rPr>
            </w:pPr>
            <w:r>
              <w:rPr>
                <w:rFonts w:ascii="Arial" w:cs="Arial" w:eastAsia="Arial" w:hAnsi="Arial"/>
                <w:sz w:val="15"/>
                <w:szCs w:val="15"/>
                <w:color w:val="auto"/>
              </w:rPr>
              <w:t>Net realized gains (losses) on available-for-sale securities</w:t>
            </w:r>
          </w:p>
        </w:tc>
        <w:tc>
          <w:tcPr>
            <w:tcW w:w="80" w:type="dxa"/>
            <w:vAlign w:val="bottom"/>
            <w:vMerge w:val="continue"/>
            <w:shd w:val="clear" w:color="auto" w:fill="CCEEFF"/>
          </w:tcPr>
          <w:p>
            <w:pPr>
              <w:spacing w:after="0"/>
              <w:rPr>
                <w:sz w:val="12"/>
                <w:szCs w:val="12"/>
                <w:color w:val="auto"/>
              </w:rPr>
            </w:pPr>
          </w:p>
        </w:tc>
        <w:tc>
          <w:tcPr>
            <w:tcW w:w="280" w:type="dxa"/>
            <w:vAlign w:val="bottom"/>
            <w:vMerge w:val="continue"/>
            <w:shd w:val="clear" w:color="auto" w:fill="CCEEFF"/>
          </w:tcPr>
          <w:p>
            <w:pPr>
              <w:spacing w:after="0"/>
              <w:rPr>
                <w:sz w:val="12"/>
                <w:szCs w:val="12"/>
                <w:color w:val="auto"/>
              </w:rPr>
            </w:pPr>
          </w:p>
        </w:tc>
        <w:tc>
          <w:tcPr>
            <w:tcW w:w="100" w:type="dxa"/>
            <w:vAlign w:val="bottom"/>
            <w:vMerge w:val="continue"/>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32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7300" w:type="dxa"/>
            <w:vAlign w:val="bottom"/>
            <w:gridSpan w:val="2"/>
          </w:tcPr>
          <w:p>
            <w:pPr>
              <w:spacing w:after="0" w:line="162" w:lineRule="exact"/>
              <w:rPr>
                <w:sz w:val="20"/>
                <w:szCs w:val="20"/>
                <w:color w:val="auto"/>
              </w:rPr>
            </w:pPr>
            <w:r>
              <w:rPr>
                <w:rFonts w:ascii="Arial" w:cs="Arial" w:eastAsia="Arial" w:hAnsi="Arial"/>
                <w:sz w:val="15"/>
                <w:szCs w:val="15"/>
                <w:color w:val="auto"/>
              </w:rPr>
              <w:t>Exclude—non-recurring gains from the sale of U.S. Government Treasury Inflation Protected Securities</w:t>
            </w:r>
          </w:p>
        </w:tc>
        <w:tc>
          <w:tcPr>
            <w:tcW w:w="80" w:type="dxa"/>
            <w:vAlign w:val="bottom"/>
          </w:tcPr>
          <w:p>
            <w:pPr>
              <w:spacing w:after="0"/>
              <w:rPr>
                <w:sz w:val="14"/>
                <w:szCs w:val="14"/>
                <w:color w:val="auto"/>
              </w:rPr>
            </w:pPr>
          </w:p>
        </w:tc>
        <w:tc>
          <w:tcPr>
            <w:tcW w:w="380" w:type="dxa"/>
            <w:vAlign w:val="bottom"/>
            <w:gridSpan w:val="2"/>
          </w:tcPr>
          <w:p>
            <w:pPr>
              <w:jc w:val="right"/>
              <w:ind w:right="60"/>
              <w:spacing w:after="0" w:line="162" w:lineRule="exact"/>
              <w:rPr>
                <w:sz w:val="20"/>
                <w:szCs w:val="20"/>
                <w:color w:val="auto"/>
              </w:rPr>
            </w:pPr>
            <w:r>
              <w:rPr>
                <w:rFonts w:ascii="Arial" w:cs="Arial" w:eastAsia="Arial" w:hAnsi="Arial"/>
                <w:sz w:val="15"/>
                <w:szCs w:val="15"/>
                <w:color w:val="auto"/>
                <w:w w:val="85"/>
              </w:rPr>
              <w:t>(130)</w:t>
            </w:r>
          </w:p>
        </w:tc>
        <w:tc>
          <w:tcPr>
            <w:tcW w:w="0" w:type="dxa"/>
            <w:vAlign w:val="bottom"/>
          </w:tcPr>
          <w:p>
            <w:pPr>
              <w:spacing w:after="0"/>
              <w:rPr>
                <w:sz w:val="1"/>
                <w:szCs w:val="1"/>
                <w:color w:val="auto"/>
              </w:rPr>
            </w:pPr>
          </w:p>
        </w:tc>
      </w:tr>
      <w:tr>
        <w:trPr>
          <w:trHeight w:val="27"/>
        </w:trPr>
        <w:tc>
          <w:tcPr>
            <w:tcW w:w="320" w:type="dxa"/>
            <w:vAlign w:val="bottom"/>
          </w:tcPr>
          <w:p>
            <w:pPr>
              <w:spacing w:after="0"/>
              <w:rPr>
                <w:sz w:val="2"/>
                <w:szCs w:val="2"/>
                <w:color w:val="auto"/>
              </w:rPr>
            </w:pPr>
          </w:p>
        </w:tc>
        <w:tc>
          <w:tcPr>
            <w:tcW w:w="1520" w:type="dxa"/>
            <w:vAlign w:val="bottom"/>
            <w:vMerge w:val="restart"/>
          </w:tcPr>
          <w:p>
            <w:pPr>
              <w:spacing w:after="0"/>
              <w:rPr>
                <w:sz w:val="2"/>
                <w:szCs w:val="2"/>
                <w:color w:val="auto"/>
              </w:rPr>
            </w:pPr>
          </w:p>
        </w:tc>
        <w:tc>
          <w:tcPr>
            <w:tcW w:w="1300" w:type="dxa"/>
            <w:vAlign w:val="bottom"/>
          </w:tcPr>
          <w:p>
            <w:pPr>
              <w:spacing w:after="0"/>
              <w:rPr>
                <w:sz w:val="2"/>
                <w:szCs w:val="2"/>
                <w:color w:val="auto"/>
              </w:rPr>
            </w:pPr>
          </w:p>
        </w:tc>
        <w:tc>
          <w:tcPr>
            <w:tcW w:w="60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2"/>
        </w:trPr>
        <w:tc>
          <w:tcPr>
            <w:tcW w:w="320" w:type="dxa"/>
            <w:vAlign w:val="bottom"/>
          </w:tcPr>
          <w:p>
            <w:pPr>
              <w:spacing w:after="0"/>
              <w:rPr>
                <w:sz w:val="14"/>
                <w:szCs w:val="14"/>
                <w:color w:val="auto"/>
              </w:rPr>
            </w:pPr>
          </w:p>
        </w:tc>
        <w:tc>
          <w:tcPr>
            <w:tcW w:w="1520" w:type="dxa"/>
            <w:vAlign w:val="bottom"/>
            <w:vMerge w:val="continue"/>
          </w:tcPr>
          <w:p>
            <w:pPr>
              <w:spacing w:after="0"/>
              <w:rPr>
                <w:sz w:val="14"/>
                <w:szCs w:val="14"/>
                <w:color w:val="auto"/>
              </w:rPr>
            </w:pPr>
          </w:p>
        </w:tc>
        <w:tc>
          <w:tcPr>
            <w:tcW w:w="7300" w:type="dxa"/>
            <w:vAlign w:val="bottom"/>
            <w:gridSpan w:val="2"/>
            <w:shd w:val="clear" w:color="auto" w:fill="CCEEFF"/>
          </w:tcPr>
          <w:p>
            <w:pPr>
              <w:spacing w:after="0" w:line="162" w:lineRule="exact"/>
              <w:rPr>
                <w:sz w:val="20"/>
                <w:szCs w:val="20"/>
                <w:color w:val="auto"/>
              </w:rPr>
            </w:pPr>
            <w:r>
              <w:rPr>
                <w:rFonts w:ascii="Arial" w:cs="Arial" w:eastAsia="Arial" w:hAnsi="Arial"/>
                <w:sz w:val="15"/>
                <w:szCs w:val="15"/>
                <w:color w:val="auto"/>
              </w:rPr>
              <w:t>Total adjusted U.S. GAAP trading losses</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380" w:type="dxa"/>
            <w:vAlign w:val="bottom"/>
            <w:gridSpan w:val="2"/>
            <w:shd w:val="clear" w:color="auto" w:fill="CCEEFF"/>
          </w:tcPr>
          <w:p>
            <w:pPr>
              <w:jc w:val="right"/>
              <w:ind w:right="60"/>
              <w:spacing w:after="0" w:line="162" w:lineRule="exact"/>
              <w:rPr>
                <w:sz w:val="20"/>
                <w:szCs w:val="20"/>
                <w:color w:val="auto"/>
              </w:rPr>
            </w:pPr>
            <w:r>
              <w:rPr>
                <w:rFonts w:ascii="Arial" w:cs="Arial" w:eastAsia="Arial" w:hAnsi="Arial"/>
                <w:sz w:val="15"/>
                <w:szCs w:val="15"/>
                <w:color w:val="auto"/>
              </w:rPr>
              <w:t>(2)</w:t>
            </w:r>
          </w:p>
        </w:tc>
        <w:tc>
          <w:tcPr>
            <w:tcW w:w="0" w:type="dxa"/>
            <w:vAlign w:val="bottom"/>
          </w:tcPr>
          <w:p>
            <w:pPr>
              <w:spacing w:after="0"/>
              <w:rPr>
                <w:sz w:val="1"/>
                <w:szCs w:val="1"/>
                <w:color w:val="auto"/>
              </w:rPr>
            </w:pPr>
          </w:p>
        </w:tc>
      </w:tr>
      <w:tr>
        <w:trPr>
          <w:trHeight w:val="162"/>
        </w:trPr>
        <w:tc>
          <w:tcPr>
            <w:tcW w:w="32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7300" w:type="dxa"/>
            <w:vAlign w:val="bottom"/>
            <w:gridSpan w:val="2"/>
          </w:tcPr>
          <w:p>
            <w:pPr>
              <w:spacing w:after="0" w:line="162" w:lineRule="exact"/>
              <w:rPr>
                <w:sz w:val="20"/>
                <w:szCs w:val="20"/>
                <w:color w:val="auto"/>
              </w:rPr>
            </w:pPr>
            <w:r>
              <w:rPr>
                <w:rFonts w:ascii="Arial" w:cs="Arial" w:eastAsia="Arial" w:hAnsi="Arial"/>
                <w:sz w:val="15"/>
                <w:szCs w:val="15"/>
                <w:color w:val="auto"/>
              </w:rPr>
              <w:t>Total impairments</w:t>
            </w:r>
          </w:p>
        </w:tc>
        <w:tc>
          <w:tcPr>
            <w:tcW w:w="80" w:type="dxa"/>
            <w:vAlign w:val="bottom"/>
          </w:tcPr>
          <w:p>
            <w:pPr>
              <w:spacing w:after="0"/>
              <w:rPr>
                <w:sz w:val="14"/>
                <w:szCs w:val="14"/>
                <w:color w:val="auto"/>
              </w:rPr>
            </w:pPr>
          </w:p>
        </w:tc>
        <w:tc>
          <w:tcPr>
            <w:tcW w:w="380" w:type="dxa"/>
            <w:vAlign w:val="bottom"/>
            <w:gridSpan w:val="2"/>
          </w:tcPr>
          <w:p>
            <w:pPr>
              <w:jc w:val="right"/>
              <w:ind w:right="60"/>
              <w:spacing w:after="0" w:line="162" w:lineRule="exact"/>
              <w:rPr>
                <w:sz w:val="20"/>
                <w:szCs w:val="20"/>
                <w:color w:val="auto"/>
              </w:rPr>
            </w:pPr>
            <w:r>
              <w:rPr>
                <w:rFonts w:ascii="Arial" w:cs="Arial" w:eastAsia="Arial" w:hAnsi="Arial"/>
                <w:sz w:val="15"/>
                <w:szCs w:val="15"/>
                <w:color w:val="auto"/>
              </w:rPr>
              <w:t>(40)</w:t>
            </w:r>
          </w:p>
        </w:tc>
        <w:tc>
          <w:tcPr>
            <w:tcW w:w="0" w:type="dxa"/>
            <w:vAlign w:val="bottom"/>
          </w:tcPr>
          <w:p>
            <w:pPr>
              <w:spacing w:after="0"/>
              <w:rPr>
                <w:sz w:val="1"/>
                <w:szCs w:val="1"/>
                <w:color w:val="auto"/>
              </w:rPr>
            </w:pPr>
          </w:p>
        </w:tc>
      </w:tr>
      <w:tr>
        <w:trPr>
          <w:trHeight w:val="162"/>
        </w:trPr>
        <w:tc>
          <w:tcPr>
            <w:tcW w:w="32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7300" w:type="dxa"/>
            <w:vAlign w:val="bottom"/>
            <w:gridSpan w:val="2"/>
            <w:shd w:val="clear" w:color="auto" w:fill="CCEEFF"/>
          </w:tcPr>
          <w:p>
            <w:pPr>
              <w:spacing w:after="0" w:line="162" w:lineRule="exact"/>
              <w:rPr>
                <w:sz w:val="20"/>
                <w:szCs w:val="20"/>
                <w:color w:val="auto"/>
              </w:rPr>
            </w:pPr>
            <w:r>
              <w:rPr>
                <w:rFonts w:ascii="Arial" w:cs="Arial" w:eastAsia="Arial" w:hAnsi="Arial"/>
                <w:sz w:val="15"/>
                <w:szCs w:val="15"/>
                <w:color w:val="auto"/>
              </w:rPr>
              <w:t>Gains on limited partnerships</w:t>
            </w:r>
          </w:p>
        </w:tc>
        <w:tc>
          <w:tcPr>
            <w:tcW w:w="80" w:type="dxa"/>
            <w:vAlign w:val="bottom"/>
            <w:tcBorders>
              <w:bottom w:val="single" w:sz="8" w:color="auto"/>
            </w:tcBorders>
            <w:shd w:val="clear" w:color="auto" w:fill="CCEEFF"/>
          </w:tcPr>
          <w:p>
            <w:pPr>
              <w:spacing w:after="0"/>
              <w:rPr>
                <w:sz w:val="14"/>
                <w:szCs w:val="14"/>
                <w:color w:val="auto"/>
              </w:rPr>
            </w:pPr>
          </w:p>
        </w:tc>
        <w:tc>
          <w:tcPr>
            <w:tcW w:w="280" w:type="dxa"/>
            <w:vAlign w:val="bottom"/>
            <w:tcBorders>
              <w:bottom w:val="single" w:sz="8" w:color="auto"/>
            </w:tcBorders>
            <w:shd w:val="clear" w:color="auto" w:fill="CCEEFF"/>
          </w:tcPr>
          <w:p>
            <w:pPr>
              <w:jc w:val="right"/>
              <w:spacing w:after="0" w:line="162" w:lineRule="exact"/>
              <w:rPr>
                <w:sz w:val="20"/>
                <w:szCs w:val="20"/>
                <w:color w:val="auto"/>
              </w:rPr>
            </w:pPr>
            <w:r>
              <w:rPr>
                <w:rFonts w:ascii="Arial" w:cs="Arial" w:eastAsia="Arial" w:hAnsi="Arial"/>
                <w:sz w:val="15"/>
                <w:szCs w:val="15"/>
                <w:color w:val="auto"/>
              </w:rPr>
              <w:t>6</w:t>
            </w: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320" w:type="dxa"/>
            <w:vAlign w:val="bottom"/>
          </w:tcPr>
          <w:p>
            <w:pPr>
              <w:spacing w:after="0"/>
              <w:rPr>
                <w:sz w:val="14"/>
                <w:szCs w:val="14"/>
                <w:color w:val="auto"/>
              </w:rPr>
            </w:pPr>
          </w:p>
        </w:tc>
        <w:tc>
          <w:tcPr>
            <w:tcW w:w="8820" w:type="dxa"/>
            <w:vAlign w:val="bottom"/>
            <w:gridSpan w:val="3"/>
          </w:tcPr>
          <w:p>
            <w:pPr>
              <w:ind w:left="1520"/>
              <w:spacing w:after="0" w:line="169" w:lineRule="exact"/>
              <w:rPr>
                <w:sz w:val="20"/>
                <w:szCs w:val="20"/>
                <w:color w:val="auto"/>
              </w:rPr>
            </w:pPr>
            <w:r>
              <w:rPr>
                <w:rFonts w:ascii="Arial" w:cs="Arial" w:eastAsia="Arial" w:hAnsi="Arial"/>
                <w:sz w:val="15"/>
                <w:szCs w:val="15"/>
                <w:color w:val="auto"/>
              </w:rPr>
              <w:t>Total company adjusted U.S. GAAP impairments and trading losses</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380" w:type="dxa"/>
            <w:vAlign w:val="bottom"/>
            <w:gridSpan w:val="2"/>
          </w:tcPr>
          <w:p>
            <w:pPr>
              <w:jc w:val="right"/>
              <w:ind w:right="60"/>
              <w:spacing w:after="0" w:line="169" w:lineRule="exact"/>
              <w:rPr>
                <w:sz w:val="20"/>
                <w:szCs w:val="20"/>
                <w:color w:val="auto"/>
              </w:rPr>
            </w:pPr>
            <w:r>
              <w:rPr>
                <w:rFonts w:ascii="Arial" w:cs="Arial" w:eastAsia="Arial" w:hAnsi="Arial"/>
                <w:sz w:val="15"/>
                <w:szCs w:val="15"/>
                <w:color w:val="auto"/>
              </w:rPr>
              <w:t>(36)</w:t>
            </w:r>
          </w:p>
        </w:tc>
        <w:tc>
          <w:tcPr>
            <w:tcW w:w="0" w:type="dxa"/>
            <w:vAlign w:val="bottom"/>
          </w:tcPr>
          <w:p>
            <w:pPr>
              <w:spacing w:after="0"/>
              <w:rPr>
                <w:sz w:val="1"/>
                <w:szCs w:val="1"/>
                <w:color w:val="auto"/>
              </w:rPr>
            </w:pPr>
          </w:p>
        </w:tc>
      </w:tr>
      <w:tr>
        <w:trPr>
          <w:trHeight w:val="20"/>
        </w:trPr>
        <w:tc>
          <w:tcPr>
            <w:tcW w:w="3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60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left="460" w:right="200" w:hanging="452"/>
        <w:spacing w:after="0" w:line="263" w:lineRule="auto"/>
        <w:tabs>
          <w:tab w:leader="none" w:pos="460" w:val="left"/>
        </w:tabs>
        <w:numPr>
          <w:ilvl w:val="0"/>
          <w:numId w:val="25"/>
        </w:numPr>
        <w:rPr>
          <w:rFonts w:ascii="Arial" w:cs="Arial" w:eastAsia="Arial" w:hAnsi="Arial"/>
          <w:sz w:val="15"/>
          <w:szCs w:val="15"/>
          <w:color w:val="auto"/>
        </w:rPr>
      </w:pPr>
      <w:r>
        <w:rPr>
          <w:rFonts w:ascii="Arial" w:cs="Arial" w:eastAsia="Arial" w:hAnsi="Arial"/>
          <w:sz w:val="18"/>
          <w:szCs w:val="18"/>
          <w:color w:val="auto"/>
        </w:rPr>
        <w:t>Investment impairments and trading losses are calculated in accordance with statutory accounting rules and the capital/credit migration impact represents statutory risk-based capital impact to U.S. Life Insurance companies from changes in National Association of Insurance Commissioners or “NAIC” rating of invested assets shown at a 350% multiple.</w:t>
      </w:r>
    </w:p>
    <w:p>
      <w:pPr>
        <w:spacing w:after="0" w:line="183" w:lineRule="exact"/>
        <w:rPr>
          <w:sz w:val="20"/>
          <w:szCs w:val="20"/>
          <w:color w:val="auto"/>
        </w:rPr>
      </w:pPr>
    </w:p>
    <w:p>
      <w:pPr>
        <w:ind w:right="140" w:firstLine="456"/>
        <w:spacing w:after="0" w:line="259" w:lineRule="auto"/>
        <w:rPr>
          <w:sz w:val="20"/>
          <w:szCs w:val="20"/>
          <w:color w:val="auto"/>
        </w:rPr>
      </w:pPr>
      <w:r>
        <w:rPr>
          <w:rFonts w:ascii="Arial" w:cs="Arial" w:eastAsia="Arial" w:hAnsi="Arial"/>
          <w:sz w:val="18"/>
          <w:szCs w:val="18"/>
          <w:color w:val="auto"/>
        </w:rPr>
        <w:t>For 2016, the company also identified and disclosed certain key strategic priorities designed to have an impact on company financial performance and stockholder value over time. The Compensation Committee took these strategic priorities into account when evaluating the performance of our named executive officers and consideration was given for the accomplishments in their areas of responsibility. These key strategic priorities, and related accomplishments in 2016, included:</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820" w:type="dxa"/>
            <w:vAlign w:val="bottom"/>
            <w:gridSpan w:val="2"/>
          </w:tcPr>
          <w:p>
            <w:pPr>
              <w:spacing w:after="0"/>
              <w:rPr>
                <w:sz w:val="20"/>
                <w:szCs w:val="20"/>
                <w:color w:val="auto"/>
              </w:rPr>
            </w:pPr>
            <w:r>
              <w:rPr>
                <w:rFonts w:ascii="Arial" w:cs="Arial" w:eastAsia="Arial" w:hAnsi="Arial"/>
                <w:sz w:val="14"/>
                <w:szCs w:val="14"/>
                <w:b w:val="1"/>
                <w:bCs w:val="1"/>
                <w:color w:val="auto"/>
              </w:rPr>
              <w:t>Key Strategic Priority</w:t>
            </w:r>
          </w:p>
        </w:tc>
        <w:tc>
          <w:tcPr>
            <w:tcW w:w="5600" w:type="dxa"/>
            <w:vAlign w:val="bottom"/>
          </w:tcPr>
          <w:p>
            <w:pPr>
              <w:ind w:left="1720"/>
              <w:spacing w:after="0"/>
              <w:rPr>
                <w:sz w:val="20"/>
                <w:szCs w:val="20"/>
                <w:color w:val="auto"/>
              </w:rPr>
            </w:pPr>
            <w:r>
              <w:rPr>
                <w:rFonts w:ascii="Arial" w:cs="Arial" w:eastAsia="Arial" w:hAnsi="Arial"/>
                <w:sz w:val="14"/>
                <w:szCs w:val="14"/>
                <w:b w:val="1"/>
                <w:bCs w:val="1"/>
                <w:color w:val="auto"/>
              </w:rPr>
              <w:t>2016 Key Accomplishments/Results</w:t>
            </w:r>
          </w:p>
        </w:tc>
      </w:tr>
      <w:tr>
        <w:trPr>
          <w:trHeight w:val="182"/>
        </w:trPr>
        <w:tc>
          <w:tcPr>
            <w:tcW w:w="1380" w:type="dxa"/>
            <w:vAlign w:val="bottom"/>
            <w:tcBorders>
              <w:top w:val="single" w:sz="8" w:color="auto"/>
            </w:tcBorders>
            <w:shd w:val="clear" w:color="auto" w:fill="CCEEFF"/>
          </w:tcPr>
          <w:p>
            <w:pPr>
              <w:spacing w:after="0" w:line="182" w:lineRule="exact"/>
              <w:rPr>
                <w:sz w:val="20"/>
                <w:szCs w:val="20"/>
                <w:color w:val="auto"/>
              </w:rPr>
            </w:pPr>
            <w:r>
              <w:rPr>
                <w:rFonts w:ascii="Arial" w:cs="Arial" w:eastAsia="Arial" w:hAnsi="Arial"/>
                <w:sz w:val="18"/>
                <w:szCs w:val="18"/>
                <w:color w:val="auto"/>
                <w:w w:val="83"/>
              </w:rPr>
              <w:t>Meaningful progress</w:t>
            </w:r>
          </w:p>
        </w:tc>
        <w:tc>
          <w:tcPr>
            <w:tcW w:w="4440" w:type="dxa"/>
            <w:vAlign w:val="bottom"/>
            <w:tcBorders>
              <w:top w:val="single" w:sz="8" w:color="CCEEFF"/>
            </w:tcBorders>
            <w:shd w:val="clear" w:color="auto" w:fill="CCEEFF"/>
          </w:tcPr>
          <w:p>
            <w:pPr>
              <w:ind w:left="160"/>
              <w:spacing w:after="0" w:line="182" w:lineRule="exact"/>
              <w:rPr>
                <w:sz w:val="20"/>
                <w:szCs w:val="20"/>
                <w:color w:val="auto"/>
              </w:rPr>
            </w:pPr>
            <w:r>
              <w:rPr>
                <w:rFonts w:ascii="Arial" w:cs="Arial" w:eastAsia="Arial" w:hAnsi="Arial"/>
                <w:sz w:val="18"/>
                <w:szCs w:val="18"/>
                <w:color w:val="auto"/>
              </w:rPr>
              <w:t>toward separation and isolation of our long-term care</w:t>
            </w:r>
          </w:p>
        </w:tc>
        <w:tc>
          <w:tcPr>
            <w:tcW w:w="5600" w:type="dxa"/>
            <w:vAlign w:val="bottom"/>
            <w:tcBorders>
              <w:top w:val="single" w:sz="8" w:color="auto"/>
            </w:tcBorders>
            <w:shd w:val="clear" w:color="auto" w:fill="CCEEFF"/>
          </w:tcPr>
          <w:p>
            <w:pPr>
              <w:ind w:left="100"/>
              <w:spacing w:after="0" w:line="182" w:lineRule="exact"/>
              <w:rPr>
                <w:sz w:val="20"/>
                <w:szCs w:val="20"/>
                <w:color w:val="auto"/>
              </w:rPr>
            </w:pPr>
            <w:r>
              <w:rPr>
                <w:rFonts w:ascii="Arial" w:cs="Arial" w:eastAsia="Arial" w:hAnsi="Arial"/>
                <w:sz w:val="18"/>
                <w:szCs w:val="18"/>
                <w:color w:val="auto"/>
                <w:w w:val="95"/>
              </w:rPr>
              <w:t>•  Several transactions filed or executed in 2016 to support unstacking of</w:t>
            </w:r>
          </w:p>
        </w:tc>
      </w:tr>
      <w:tr>
        <w:trPr>
          <w:trHeight w:val="244"/>
        </w:trPr>
        <w:tc>
          <w:tcPr>
            <w:tcW w:w="5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insurance business</w:t>
            </w:r>
          </w:p>
        </w:tc>
        <w:tc>
          <w:tcPr>
            <w:tcW w:w="5600" w:type="dxa"/>
            <w:vAlign w:val="bottom"/>
            <w:shd w:val="clear" w:color="auto" w:fill="CCEEFF"/>
          </w:tcPr>
          <w:p>
            <w:pPr>
              <w:ind w:left="360"/>
              <w:spacing w:after="0"/>
              <w:rPr>
                <w:sz w:val="20"/>
                <w:szCs w:val="20"/>
                <w:color w:val="auto"/>
              </w:rPr>
            </w:pPr>
            <w:r>
              <w:rPr>
                <w:rFonts w:ascii="Arial" w:cs="Arial" w:eastAsia="Arial" w:hAnsi="Arial"/>
                <w:sz w:val="18"/>
                <w:szCs w:val="18"/>
                <w:color w:val="auto"/>
                <w:w w:val="92"/>
              </w:rPr>
              <w:t>our life and long-term care insurance companies; progress on schedule</w:t>
            </w:r>
          </w:p>
        </w:tc>
      </w:tr>
      <w:tr>
        <w:trPr>
          <w:trHeight w:val="323"/>
        </w:trPr>
        <w:tc>
          <w:tcPr>
            <w:tcW w:w="1380" w:type="dxa"/>
            <w:vAlign w:val="bottom"/>
            <w:shd w:val="clear" w:color="auto" w:fill="CCEEFF"/>
          </w:tcPr>
          <w:p>
            <w:pPr>
              <w:spacing w:after="0"/>
              <w:rPr>
                <w:sz w:val="24"/>
                <w:szCs w:val="24"/>
                <w:color w:val="auto"/>
              </w:rPr>
            </w:pPr>
          </w:p>
        </w:tc>
        <w:tc>
          <w:tcPr>
            <w:tcW w:w="4440" w:type="dxa"/>
            <w:vAlign w:val="bottom"/>
            <w:shd w:val="clear" w:color="auto" w:fill="CCEEFF"/>
          </w:tcPr>
          <w:p>
            <w:pPr>
              <w:spacing w:after="0"/>
              <w:rPr>
                <w:sz w:val="24"/>
                <w:szCs w:val="24"/>
                <w:color w:val="auto"/>
              </w:rPr>
            </w:pPr>
          </w:p>
        </w:tc>
        <w:tc>
          <w:tcPr>
            <w:tcW w:w="5600" w:type="dxa"/>
            <w:vAlign w:val="bottom"/>
            <w:shd w:val="clear" w:color="auto" w:fill="CCEEFF"/>
          </w:tcPr>
          <w:p>
            <w:pPr>
              <w:ind w:left="100"/>
              <w:spacing w:after="0"/>
              <w:rPr>
                <w:sz w:val="20"/>
                <w:szCs w:val="20"/>
                <w:color w:val="auto"/>
              </w:rPr>
            </w:pPr>
            <w:r>
              <w:rPr>
                <w:rFonts w:ascii="Arial" w:cs="Arial" w:eastAsia="Arial" w:hAnsi="Arial"/>
                <w:sz w:val="18"/>
                <w:szCs w:val="18"/>
                <w:color w:val="auto"/>
                <w:w w:val="93"/>
              </w:rPr>
              <w:t>•  Closed transaction to sell certain blocks of term life insurance, certain of</w:t>
            </w:r>
          </w:p>
        </w:tc>
      </w:tr>
      <w:tr>
        <w:trPr>
          <w:trHeight w:val="216"/>
        </w:trPr>
        <w:tc>
          <w:tcPr>
            <w:tcW w:w="1380" w:type="dxa"/>
            <w:vAlign w:val="bottom"/>
            <w:shd w:val="clear" w:color="auto" w:fill="CCEEFF"/>
          </w:tcPr>
          <w:p>
            <w:pPr>
              <w:spacing w:after="0"/>
              <w:rPr>
                <w:sz w:val="18"/>
                <w:szCs w:val="18"/>
                <w:color w:val="auto"/>
              </w:rPr>
            </w:pPr>
          </w:p>
        </w:tc>
        <w:tc>
          <w:tcPr>
            <w:tcW w:w="4440" w:type="dxa"/>
            <w:vAlign w:val="bottom"/>
            <w:shd w:val="clear" w:color="auto" w:fill="CCEEFF"/>
          </w:tcPr>
          <w:p>
            <w:pPr>
              <w:spacing w:after="0"/>
              <w:rPr>
                <w:sz w:val="18"/>
                <w:szCs w:val="18"/>
                <w:color w:val="auto"/>
              </w:rPr>
            </w:pPr>
          </w:p>
        </w:tc>
        <w:tc>
          <w:tcPr>
            <w:tcW w:w="5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the proceeds of which will facilitate unstacking of our life and</w:t>
            </w:r>
          </w:p>
        </w:tc>
      </w:tr>
      <w:tr>
        <w:trPr>
          <w:trHeight w:val="230"/>
        </w:trPr>
        <w:tc>
          <w:tcPr>
            <w:tcW w:w="1380" w:type="dxa"/>
            <w:vAlign w:val="bottom"/>
            <w:shd w:val="clear" w:color="auto" w:fill="CCEEFF"/>
          </w:tcPr>
          <w:p>
            <w:pPr>
              <w:spacing w:after="0"/>
              <w:rPr>
                <w:sz w:val="20"/>
                <w:szCs w:val="20"/>
                <w:color w:val="auto"/>
              </w:rPr>
            </w:pPr>
          </w:p>
        </w:tc>
        <w:tc>
          <w:tcPr>
            <w:tcW w:w="4440" w:type="dxa"/>
            <w:vAlign w:val="bottom"/>
            <w:shd w:val="clear" w:color="auto" w:fill="CCEEFF"/>
          </w:tcPr>
          <w:p>
            <w:pPr>
              <w:spacing w:after="0"/>
              <w:rPr>
                <w:sz w:val="20"/>
                <w:szCs w:val="20"/>
                <w:color w:val="auto"/>
              </w:rPr>
            </w:pPr>
          </w:p>
        </w:tc>
        <w:tc>
          <w:tcPr>
            <w:tcW w:w="5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long-term care insurance businesses</w:t>
            </w:r>
          </w:p>
        </w:tc>
      </w:tr>
      <w:tr>
        <w:trPr>
          <w:trHeight w:val="323"/>
        </w:trPr>
        <w:tc>
          <w:tcPr>
            <w:tcW w:w="1380" w:type="dxa"/>
            <w:vAlign w:val="bottom"/>
            <w:shd w:val="clear" w:color="auto" w:fill="CCEEFF"/>
          </w:tcPr>
          <w:p>
            <w:pPr>
              <w:spacing w:after="0"/>
              <w:rPr>
                <w:sz w:val="24"/>
                <w:szCs w:val="24"/>
                <w:color w:val="auto"/>
              </w:rPr>
            </w:pPr>
          </w:p>
        </w:tc>
        <w:tc>
          <w:tcPr>
            <w:tcW w:w="4440" w:type="dxa"/>
            <w:vAlign w:val="bottom"/>
            <w:shd w:val="clear" w:color="auto" w:fill="CCEEFF"/>
          </w:tcPr>
          <w:p>
            <w:pPr>
              <w:spacing w:after="0"/>
              <w:rPr>
                <w:sz w:val="24"/>
                <w:szCs w:val="24"/>
                <w:color w:val="auto"/>
              </w:rPr>
            </w:pPr>
          </w:p>
        </w:tc>
        <w:tc>
          <w:tcPr>
            <w:tcW w:w="5600" w:type="dxa"/>
            <w:vAlign w:val="bottom"/>
            <w:shd w:val="clear" w:color="auto" w:fill="CCEEFF"/>
          </w:tcPr>
          <w:p>
            <w:pPr>
              <w:ind w:left="100"/>
              <w:spacing w:after="0"/>
              <w:rPr>
                <w:sz w:val="20"/>
                <w:szCs w:val="20"/>
                <w:color w:val="auto"/>
              </w:rPr>
            </w:pPr>
            <w:r>
              <w:rPr>
                <w:rFonts w:ascii="Arial" w:cs="Arial" w:eastAsia="Arial" w:hAnsi="Arial"/>
                <w:sz w:val="18"/>
                <w:szCs w:val="18"/>
                <w:color w:val="auto"/>
                <w:w w:val="93"/>
              </w:rPr>
              <w:t>•  Secured bondholder consents in the first quarter of 2016 to facilitate the</w:t>
            </w:r>
          </w:p>
        </w:tc>
      </w:tr>
      <w:tr>
        <w:trPr>
          <w:trHeight w:val="216"/>
        </w:trPr>
        <w:tc>
          <w:tcPr>
            <w:tcW w:w="1380" w:type="dxa"/>
            <w:vAlign w:val="bottom"/>
            <w:shd w:val="clear" w:color="auto" w:fill="CCEEFF"/>
          </w:tcPr>
          <w:p>
            <w:pPr>
              <w:spacing w:after="0"/>
              <w:rPr>
                <w:sz w:val="18"/>
                <w:szCs w:val="18"/>
                <w:color w:val="auto"/>
              </w:rPr>
            </w:pPr>
          </w:p>
        </w:tc>
        <w:tc>
          <w:tcPr>
            <w:tcW w:w="4440" w:type="dxa"/>
            <w:vAlign w:val="bottom"/>
            <w:shd w:val="clear" w:color="auto" w:fill="CCEEFF"/>
          </w:tcPr>
          <w:p>
            <w:pPr>
              <w:spacing w:after="0"/>
              <w:rPr>
                <w:sz w:val="18"/>
                <w:szCs w:val="18"/>
                <w:color w:val="auto"/>
              </w:rPr>
            </w:pPr>
          </w:p>
        </w:tc>
        <w:tc>
          <w:tcPr>
            <w:tcW w:w="5600" w:type="dxa"/>
            <w:vAlign w:val="bottom"/>
            <w:shd w:val="clear" w:color="auto" w:fill="CCEEFF"/>
          </w:tcPr>
          <w:p>
            <w:pPr>
              <w:ind w:left="360"/>
              <w:spacing w:after="0"/>
              <w:rPr>
                <w:sz w:val="20"/>
                <w:szCs w:val="20"/>
                <w:color w:val="auto"/>
              </w:rPr>
            </w:pPr>
            <w:r>
              <w:rPr>
                <w:rFonts w:ascii="Arial" w:cs="Arial" w:eastAsia="Arial" w:hAnsi="Arial"/>
                <w:sz w:val="18"/>
                <w:szCs w:val="18"/>
                <w:color w:val="auto"/>
                <w:w w:val="99"/>
              </w:rPr>
              <w:t>separation of our long-term care insurance business from the debt</w:t>
            </w:r>
          </w:p>
        </w:tc>
      </w:tr>
      <w:tr>
        <w:trPr>
          <w:trHeight w:val="244"/>
        </w:trPr>
        <w:tc>
          <w:tcPr>
            <w:tcW w:w="1380" w:type="dxa"/>
            <w:vAlign w:val="bottom"/>
            <w:shd w:val="clear" w:color="auto" w:fill="CCEEFF"/>
          </w:tcPr>
          <w:p>
            <w:pPr>
              <w:spacing w:after="0"/>
              <w:rPr>
                <w:sz w:val="21"/>
                <w:szCs w:val="21"/>
                <w:color w:val="auto"/>
              </w:rPr>
            </w:pPr>
          </w:p>
        </w:tc>
        <w:tc>
          <w:tcPr>
            <w:tcW w:w="4440" w:type="dxa"/>
            <w:vAlign w:val="bottom"/>
            <w:shd w:val="clear" w:color="auto" w:fill="CCEEFF"/>
          </w:tcPr>
          <w:p>
            <w:pPr>
              <w:spacing w:after="0"/>
              <w:rPr>
                <w:sz w:val="21"/>
                <w:szCs w:val="21"/>
                <w:color w:val="auto"/>
              </w:rPr>
            </w:pPr>
          </w:p>
        </w:tc>
        <w:tc>
          <w:tcPr>
            <w:tcW w:w="5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obligations of Genworth Holdings, Inc.</w:t>
            </w:r>
          </w:p>
        </w:tc>
      </w:tr>
      <w:tr>
        <w:trPr>
          <w:trHeight w:val="324"/>
        </w:trPr>
        <w:tc>
          <w:tcPr>
            <w:tcW w:w="5820" w:type="dxa"/>
            <w:vAlign w:val="bottom"/>
            <w:gridSpan w:val="2"/>
          </w:tcPr>
          <w:p>
            <w:pPr>
              <w:spacing w:after="0"/>
              <w:rPr>
                <w:sz w:val="20"/>
                <w:szCs w:val="20"/>
                <w:color w:val="auto"/>
              </w:rPr>
            </w:pPr>
            <w:r>
              <w:rPr>
                <w:rFonts w:ascii="Arial" w:cs="Arial" w:eastAsia="Arial" w:hAnsi="Arial"/>
                <w:sz w:val="18"/>
                <w:szCs w:val="18"/>
                <w:color w:val="auto"/>
              </w:rPr>
              <w:t>Recapture/Repatriation of all businesses from Bermuda</w:t>
            </w:r>
          </w:p>
        </w:tc>
        <w:tc>
          <w:tcPr>
            <w:tcW w:w="5600" w:type="dxa"/>
            <w:vAlign w:val="bottom"/>
          </w:tcPr>
          <w:p>
            <w:pPr>
              <w:ind w:left="100"/>
              <w:spacing w:after="0"/>
              <w:rPr>
                <w:sz w:val="20"/>
                <w:szCs w:val="20"/>
                <w:color w:val="auto"/>
              </w:rPr>
            </w:pPr>
            <w:r>
              <w:rPr>
                <w:rFonts w:ascii="Arial" w:cs="Arial" w:eastAsia="Arial" w:hAnsi="Arial"/>
                <w:sz w:val="18"/>
                <w:szCs w:val="18"/>
                <w:color w:val="auto"/>
              </w:rPr>
              <w:t>•  Completed in October 2016</w:t>
            </w:r>
          </w:p>
        </w:tc>
      </w:tr>
      <w:tr>
        <w:trPr>
          <w:trHeight w:val="216"/>
        </w:trPr>
        <w:tc>
          <w:tcPr>
            <w:tcW w:w="5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Target $505 million operating expense run-rate for U.S. Life Insurance</w:t>
            </w:r>
            <w:r>
              <w:rPr>
                <w:rFonts w:ascii="Arial" w:cs="Arial" w:eastAsia="Arial" w:hAnsi="Arial"/>
                <w:sz w:val="15"/>
                <w:szCs w:val="15"/>
                <w:color w:val="auto"/>
              </w:rPr>
              <w:t>(1)</w:t>
            </w:r>
          </w:p>
        </w:tc>
        <w:tc>
          <w:tcPr>
            <w:tcW w:w="56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  $502 million achieved</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5" w:lineRule="exact"/>
        <w:rPr>
          <w:sz w:val="20"/>
          <w:szCs w:val="20"/>
          <w:color w:val="auto"/>
        </w:rPr>
      </w:pPr>
    </w:p>
    <w:p>
      <w:pPr>
        <w:ind w:left="460" w:right="240" w:hanging="452"/>
        <w:spacing w:after="0" w:line="277" w:lineRule="auto"/>
        <w:tabs>
          <w:tab w:leader="none" w:pos="460" w:val="left"/>
        </w:tabs>
        <w:numPr>
          <w:ilvl w:val="0"/>
          <w:numId w:val="26"/>
        </w:numPr>
        <w:rPr>
          <w:rFonts w:ascii="Arial" w:cs="Arial" w:eastAsia="Arial" w:hAnsi="Arial"/>
          <w:sz w:val="15"/>
          <w:szCs w:val="15"/>
          <w:color w:val="auto"/>
        </w:rPr>
      </w:pPr>
      <w:r>
        <w:rPr>
          <w:rFonts w:ascii="Arial" w:cs="Arial" w:eastAsia="Arial" w:hAnsi="Arial"/>
          <w:sz w:val="18"/>
          <w:szCs w:val="18"/>
          <w:color w:val="auto"/>
        </w:rPr>
        <w:t>Excludes certain categories of extraordinary expenses, including transaction-related expenses primarily for third party legal and financial services, as well as fees and expenses associated with litigation.</w:t>
      </w:r>
    </w:p>
    <w:p>
      <w:pPr>
        <w:spacing w:after="0" w:line="170" w:lineRule="exact"/>
        <w:rPr>
          <w:sz w:val="20"/>
          <w:szCs w:val="20"/>
          <w:color w:val="auto"/>
        </w:rPr>
      </w:pPr>
    </w:p>
    <w:p>
      <w:pPr>
        <w:ind w:right="80" w:firstLine="456"/>
        <w:spacing w:after="0" w:line="276" w:lineRule="auto"/>
        <w:rPr>
          <w:sz w:val="20"/>
          <w:szCs w:val="20"/>
          <w:color w:val="auto"/>
        </w:rPr>
      </w:pPr>
      <w:r>
        <w:rPr>
          <w:rFonts w:ascii="Arial" w:cs="Arial" w:eastAsia="Arial" w:hAnsi="Arial"/>
          <w:sz w:val="17"/>
          <w:szCs w:val="17"/>
          <w:color w:val="auto"/>
        </w:rPr>
        <w:t>Actual performance against any particular financial or strategic objective noted above did not result in any pre-determined or formulaic payouts. Instead, the Compensation Committee reviewed overall performance results against the applicable objectives in determining the actual payouts of annual incentives and also considered the performance of each named executive officer in their respective area of responsibility. A discussion of the relevant metrics and performance as they relate to specific annual incentives awarded to each named executive officer follows. Amounts paid for 2016 are reported under the Non-Equity Incentive Plan Compensation—Annual Incentive column of the 2016 Summary Compensation Table.</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459" w:right="2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Mr. McInerney</w:t>
      </w:r>
    </w:p>
    <w:p>
      <w:pPr>
        <w:spacing w:after="0" w:line="117" w:lineRule="exact"/>
        <w:rPr>
          <w:sz w:val="20"/>
          <w:szCs w:val="20"/>
          <w:color w:val="auto"/>
        </w:rPr>
      </w:pPr>
    </w:p>
    <w:p>
      <w:pPr>
        <w:ind w:right="200" w:firstLine="456"/>
        <w:spacing w:after="0" w:line="264" w:lineRule="auto"/>
        <w:rPr>
          <w:sz w:val="20"/>
          <w:szCs w:val="20"/>
          <w:color w:val="auto"/>
        </w:rPr>
      </w:pPr>
      <w:r>
        <w:rPr>
          <w:rFonts w:ascii="Arial" w:cs="Arial" w:eastAsia="Arial" w:hAnsi="Arial"/>
          <w:sz w:val="18"/>
          <w:szCs w:val="18"/>
          <w:color w:val="auto"/>
        </w:rPr>
        <w:t>Mr. McInerney’s annual incentive award for 2016 was above his targeted amount based on several factors, including his significant contributions in support of the Board’s strategic review process, and in consideration for the above target financial results in the majority of our operating businesses for the year, including:</w:t>
      </w:r>
    </w:p>
    <w:p>
      <w:pPr>
        <w:spacing w:after="0" w:line="87" w:lineRule="exact"/>
        <w:rPr>
          <w:sz w:val="20"/>
          <w:szCs w:val="20"/>
          <w:color w:val="auto"/>
        </w:rPr>
      </w:pPr>
    </w:p>
    <w:p>
      <w:pPr>
        <w:ind w:left="900" w:hanging="325"/>
        <w:spacing w:after="0"/>
        <w:tabs>
          <w:tab w:leader="none" w:pos="9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above target results for adjusted operating income and operating ROE in our U.S. and Canada mortgage insurance businesses;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meeting our internal target expense run-rate for our U.S. Life Insurance segment for 2016;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above target results for key financial goals listed above for our investments organization.</w:t>
      </w:r>
    </w:p>
    <w:p>
      <w:pPr>
        <w:spacing w:after="0" w:line="225" w:lineRule="exact"/>
        <w:rPr>
          <w:sz w:val="20"/>
          <w:szCs w:val="20"/>
          <w:color w:val="auto"/>
        </w:rPr>
      </w:pPr>
    </w:p>
    <w:p>
      <w:pPr>
        <w:ind w:right="40" w:firstLine="456"/>
        <w:spacing w:after="0" w:line="277" w:lineRule="auto"/>
        <w:rPr>
          <w:sz w:val="20"/>
          <w:szCs w:val="20"/>
          <w:color w:val="auto"/>
        </w:rPr>
      </w:pPr>
      <w:r>
        <w:rPr>
          <w:rFonts w:ascii="Arial" w:cs="Arial" w:eastAsia="Arial" w:hAnsi="Arial"/>
          <w:sz w:val="18"/>
          <w:szCs w:val="18"/>
          <w:color w:val="auto"/>
        </w:rPr>
        <w:t>Additionally, consideration was given for Mr. McInerney’s accomplishments against key strategic and operational objectives set out at the beginning of the year, including:</w:t>
      </w:r>
    </w:p>
    <w:p>
      <w:pPr>
        <w:spacing w:after="0" w:line="76" w:lineRule="exact"/>
        <w:rPr>
          <w:sz w:val="20"/>
          <w:szCs w:val="20"/>
          <w:color w:val="auto"/>
        </w:rPr>
      </w:pPr>
    </w:p>
    <w:p>
      <w:pPr>
        <w:ind w:left="900" w:hanging="325"/>
        <w:spacing w:after="0"/>
        <w:tabs>
          <w:tab w:leader="none" w:pos="900" w:val="left"/>
        </w:tabs>
        <w:numPr>
          <w:ilvl w:val="0"/>
          <w:numId w:val="28"/>
        </w:numPr>
        <w:rPr>
          <w:rFonts w:ascii="Arial" w:cs="Arial" w:eastAsia="Arial" w:hAnsi="Arial"/>
          <w:sz w:val="17"/>
          <w:szCs w:val="17"/>
          <w:color w:val="auto"/>
        </w:rPr>
      </w:pPr>
      <w:r>
        <w:rPr>
          <w:rFonts w:ascii="Arial" w:cs="Arial" w:eastAsia="Arial" w:hAnsi="Arial"/>
          <w:sz w:val="17"/>
          <w:szCs w:val="17"/>
          <w:color w:val="auto"/>
        </w:rPr>
        <w:t>making meaningful progress toward the potential separation and isolation of our long-term care insurance business, as noted above; and</w:t>
      </w:r>
    </w:p>
    <w:p>
      <w:pPr>
        <w:spacing w:after="0" w:line="142" w:lineRule="exact"/>
        <w:rPr>
          <w:rFonts w:ascii="Arial" w:cs="Arial" w:eastAsia="Arial" w:hAnsi="Arial"/>
          <w:sz w:val="17"/>
          <w:szCs w:val="17"/>
          <w:color w:val="auto"/>
        </w:rPr>
      </w:pPr>
    </w:p>
    <w:p>
      <w:pPr>
        <w:ind w:left="900" w:right="380" w:hanging="325"/>
        <w:spacing w:after="0" w:line="277" w:lineRule="auto"/>
        <w:tabs>
          <w:tab w:leader="none" w:pos="9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making meaningful progress toward developing a new long-term care insurance business model and regulatory framework with the National Association of Insurance Commissioners.</w:t>
      </w:r>
    </w:p>
    <w:p>
      <w:pPr>
        <w:spacing w:after="0" w:line="170" w:lineRule="exact"/>
        <w:rPr>
          <w:sz w:val="20"/>
          <w:szCs w:val="20"/>
          <w:color w:val="auto"/>
        </w:rPr>
      </w:pPr>
    </w:p>
    <w:p>
      <w:pPr>
        <w:ind w:firstLine="456"/>
        <w:spacing w:after="0" w:line="286" w:lineRule="auto"/>
        <w:rPr>
          <w:sz w:val="20"/>
          <w:szCs w:val="20"/>
          <w:color w:val="auto"/>
        </w:rPr>
      </w:pPr>
      <w:r>
        <w:rPr>
          <w:rFonts w:ascii="Arial" w:cs="Arial" w:eastAsia="Arial" w:hAnsi="Arial"/>
          <w:sz w:val="17"/>
          <w:szCs w:val="17"/>
          <w:color w:val="auto"/>
        </w:rPr>
        <w:t>After considering inputs from the Board, the Compensation Committee determined to award Mr. McInerney an annual incentive award of $3,000,000 for 2016 performance, or 150% of his targeted amount. This award was based on an assessment of Mr. McInerney’s performance against these pre-established financial and non-financial objectives, despite slightly below target financial results in our Australia mortgage insurance business.</w:t>
      </w:r>
    </w:p>
    <w:p>
      <w:pPr>
        <w:spacing w:after="0" w:line="274"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Ms. Groh</w:t>
      </w:r>
    </w:p>
    <w:p>
      <w:pPr>
        <w:spacing w:after="0" w:line="117" w:lineRule="exact"/>
        <w:rPr>
          <w:sz w:val="20"/>
          <w:szCs w:val="20"/>
          <w:color w:val="auto"/>
        </w:rPr>
      </w:pPr>
    </w:p>
    <w:p>
      <w:pPr>
        <w:ind w:right="240" w:firstLine="456"/>
        <w:spacing w:after="0" w:line="342" w:lineRule="auto"/>
        <w:rPr>
          <w:sz w:val="20"/>
          <w:szCs w:val="20"/>
          <w:color w:val="auto"/>
        </w:rPr>
      </w:pPr>
      <w:r>
        <w:rPr>
          <w:rFonts w:ascii="Arial" w:cs="Arial" w:eastAsia="Arial" w:hAnsi="Arial"/>
          <w:sz w:val="16"/>
          <w:szCs w:val="16"/>
          <w:color w:val="auto"/>
        </w:rPr>
        <w:t>Ms. Groh’s annual incentive award for 2016 primarily reflects her contributions as our CFO to achieving and exceeding the majority of our financial and non-financial objectives noted above. Other key factors taken into consideration in determining Ms. Groh’s annual incentive award were:</w:t>
      </w:r>
    </w:p>
    <w:p>
      <w:pPr>
        <w:spacing w:after="0" w:line="29" w:lineRule="exact"/>
        <w:rPr>
          <w:sz w:val="20"/>
          <w:szCs w:val="20"/>
          <w:color w:val="auto"/>
        </w:rPr>
      </w:pPr>
    </w:p>
    <w:p>
      <w:pPr>
        <w:ind w:left="900" w:right="280" w:hanging="325"/>
        <w:spacing w:after="0" w:line="277" w:lineRule="auto"/>
        <w:tabs>
          <w:tab w:leader="none" w:pos="9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providing leadership and support for the company’s efforts toward potential separation and isolation of our long-term care insurance business, with the accomplishments summarized above;</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active leadership and significant contributions to support the Board in its strategic review process;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29"/>
        </w:numPr>
        <w:rPr>
          <w:rFonts w:ascii="Arial" w:cs="Arial" w:eastAsia="Arial" w:hAnsi="Arial"/>
          <w:sz w:val="17"/>
          <w:szCs w:val="17"/>
          <w:color w:val="auto"/>
        </w:rPr>
      </w:pPr>
      <w:r>
        <w:rPr>
          <w:rFonts w:ascii="Arial" w:cs="Arial" w:eastAsia="Arial" w:hAnsi="Arial"/>
          <w:sz w:val="17"/>
          <w:szCs w:val="17"/>
          <w:color w:val="auto"/>
        </w:rPr>
        <w:t>active leadership in managing ratings agency and other key capital markets relationships during the company’s strategic review process.</w:t>
      </w:r>
    </w:p>
    <w:p>
      <w:pPr>
        <w:spacing w:after="0" w:line="237" w:lineRule="exact"/>
        <w:rPr>
          <w:sz w:val="20"/>
          <w:szCs w:val="20"/>
          <w:color w:val="auto"/>
        </w:rPr>
      </w:pPr>
    </w:p>
    <w:p>
      <w:pPr>
        <w:ind w:right="280" w:firstLine="456"/>
        <w:spacing w:after="0" w:line="277" w:lineRule="auto"/>
        <w:rPr>
          <w:sz w:val="20"/>
          <w:szCs w:val="20"/>
          <w:color w:val="auto"/>
        </w:rPr>
      </w:pPr>
      <w:r>
        <w:rPr>
          <w:rFonts w:ascii="Arial" w:cs="Arial" w:eastAsia="Arial" w:hAnsi="Arial"/>
          <w:sz w:val="18"/>
          <w:szCs w:val="18"/>
          <w:color w:val="auto"/>
        </w:rPr>
        <w:t>Based on these factors, the Compensation Committee approved an annual incentive award of $850,000 for Ms. Groh, or approximately 155% of her targeted amount for 2016.</w:t>
      </w:r>
    </w:p>
    <w:p>
      <w:pPr>
        <w:spacing w:after="0" w:line="279"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Mr. Schneider</w:t>
      </w:r>
    </w:p>
    <w:p>
      <w:pPr>
        <w:spacing w:after="0" w:line="117" w:lineRule="exact"/>
        <w:rPr>
          <w:sz w:val="20"/>
          <w:szCs w:val="20"/>
          <w:color w:val="auto"/>
        </w:rPr>
      </w:pPr>
    </w:p>
    <w:p>
      <w:pPr>
        <w:ind w:right="20" w:firstLine="456"/>
        <w:spacing w:after="0" w:line="279" w:lineRule="auto"/>
        <w:rPr>
          <w:sz w:val="20"/>
          <w:szCs w:val="20"/>
          <w:color w:val="auto"/>
        </w:rPr>
      </w:pPr>
      <w:r>
        <w:rPr>
          <w:rFonts w:ascii="Arial" w:cs="Arial" w:eastAsia="Arial" w:hAnsi="Arial"/>
          <w:sz w:val="17"/>
          <w:szCs w:val="17"/>
          <w:color w:val="auto"/>
        </w:rPr>
        <w:t>Mr. Schneider’s annual incentive award primarily reflects his role as our COO, in which he is primarily responsible for the financial and operating performance of our businesses. Our U.S. mortgage insurance business significantly exceeded its financial goals, and our Canada mortgage insurance and U.S. Life Insurance businesses also performed above target, while our Australia mortgage insurance business finished slightly below their financial goals for the year. Other key factors taken into consideration in determining Mr. Schneider’s annual incentive award were:</w:t>
      </w:r>
    </w:p>
    <w:p>
      <w:pPr>
        <w:spacing w:after="0" w:line="77" w:lineRule="exact"/>
        <w:rPr>
          <w:sz w:val="20"/>
          <w:szCs w:val="20"/>
          <w:color w:val="auto"/>
        </w:rPr>
      </w:pPr>
    </w:p>
    <w:p>
      <w:pPr>
        <w:jc w:val="center"/>
        <w:ind w:left="5620" w:right="440" w:hanging="5045"/>
        <w:spacing w:after="0" w:line="449" w:lineRule="auto"/>
        <w:tabs>
          <w:tab w:leader="none" w:pos="896" w:val="left"/>
        </w:tabs>
        <w:numPr>
          <w:ilvl w:val="0"/>
          <w:numId w:val="30"/>
        </w:numPr>
        <w:rPr>
          <w:rFonts w:ascii="Arial" w:cs="Arial" w:eastAsia="Arial" w:hAnsi="Arial"/>
          <w:sz w:val="18"/>
          <w:szCs w:val="18"/>
          <w:color w:val="auto"/>
        </w:rPr>
      </w:pPr>
      <w:r>
        <w:rPr>
          <w:rFonts w:ascii="Arial" w:cs="Arial" w:eastAsia="Arial" w:hAnsi="Arial"/>
          <w:sz w:val="18"/>
          <w:szCs w:val="18"/>
          <w:color w:val="auto"/>
        </w:rPr>
        <w:t>active leadership toward meeting our internal target expense rate for our U.S. Life Insurance segment and headquarters operations for 2016; 22</w:t>
      </w:r>
    </w:p>
    <w:p>
      <w:pPr>
        <w:sectPr>
          <w:pgSz w:w="11900" w:h="16838" w:orient="portrait"/>
          <w:cols w:equalWidth="0" w:num="1">
            <w:col w:w="11400"/>
          </w:cols>
          <w:pgMar w:left="240" w:top="459" w:right="25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220" w:hanging="325"/>
        <w:spacing w:after="0" w:line="277" w:lineRule="auto"/>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providing leadership and support for the company’s efforts toward potential separation and isolation of our long-term care insurance business, with the accomplishments summarized above; and</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active leadership and significant contributions to support the Board in its strategic review process.</w:t>
      </w:r>
    </w:p>
    <w:p>
      <w:pPr>
        <w:spacing w:after="0" w:line="225" w:lineRule="exact"/>
        <w:rPr>
          <w:sz w:val="20"/>
          <w:szCs w:val="20"/>
          <w:color w:val="auto"/>
        </w:rPr>
      </w:pPr>
    </w:p>
    <w:p>
      <w:pPr>
        <w:ind w:right="40" w:firstLine="456"/>
        <w:spacing w:after="0" w:line="277" w:lineRule="auto"/>
        <w:rPr>
          <w:sz w:val="20"/>
          <w:szCs w:val="20"/>
          <w:color w:val="auto"/>
        </w:rPr>
      </w:pPr>
      <w:r>
        <w:rPr>
          <w:rFonts w:ascii="Arial" w:cs="Arial" w:eastAsia="Arial" w:hAnsi="Arial"/>
          <w:sz w:val="18"/>
          <w:szCs w:val="18"/>
          <w:color w:val="auto"/>
        </w:rPr>
        <w:t>Based on these factors, the Compensation Committee approved an annual incentive award of $1,500,000 for Mr. Schneider, or approximately 138% of his targeted amount for 2016.</w:t>
      </w:r>
    </w:p>
    <w:p>
      <w:pPr>
        <w:spacing w:after="0" w:line="279"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Mr. Bobitz</w:t>
      </w:r>
    </w:p>
    <w:p>
      <w:pPr>
        <w:spacing w:after="0" w:line="117" w:lineRule="exact"/>
        <w:rPr>
          <w:sz w:val="20"/>
          <w:szCs w:val="20"/>
          <w:color w:val="auto"/>
        </w:rPr>
      </w:pPr>
    </w:p>
    <w:p>
      <w:pPr>
        <w:ind w:right="120" w:firstLine="456"/>
        <w:spacing w:after="0" w:line="342" w:lineRule="auto"/>
        <w:rPr>
          <w:sz w:val="20"/>
          <w:szCs w:val="20"/>
          <w:color w:val="auto"/>
        </w:rPr>
      </w:pPr>
      <w:r>
        <w:rPr>
          <w:rFonts w:ascii="Arial" w:cs="Arial" w:eastAsia="Arial" w:hAnsi="Arial"/>
          <w:sz w:val="16"/>
          <w:szCs w:val="16"/>
          <w:color w:val="auto"/>
        </w:rPr>
        <w:t>Mr. Bobitz’s annual incentive award for 2016 primarily reflects his contributions as our General Counsel to make significant progress toward our key strategic and non-financial objectives noted above. Other key factors taken into consideration in determining Mr. Bobitz’s annual incentive award were:</w:t>
      </w:r>
    </w:p>
    <w:p>
      <w:pPr>
        <w:spacing w:after="0" w:line="29" w:lineRule="exact"/>
        <w:rPr>
          <w:sz w:val="20"/>
          <w:szCs w:val="20"/>
          <w:color w:val="auto"/>
        </w:rPr>
      </w:pPr>
    </w:p>
    <w:p>
      <w:pPr>
        <w:ind w:left="900" w:hanging="325"/>
        <w:spacing w:after="0"/>
        <w:tabs>
          <w:tab w:leader="none" w:pos="9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active leadership in managing regulatory relationships and coordination with the Board during its strategic review process;</w:t>
      </w:r>
    </w:p>
    <w:p>
      <w:pPr>
        <w:spacing w:after="0" w:line="130" w:lineRule="exact"/>
        <w:rPr>
          <w:rFonts w:ascii="Arial" w:cs="Arial" w:eastAsia="Arial" w:hAnsi="Arial"/>
          <w:sz w:val="18"/>
          <w:szCs w:val="18"/>
          <w:color w:val="auto"/>
        </w:rPr>
      </w:pPr>
    </w:p>
    <w:p>
      <w:pPr>
        <w:ind w:left="900" w:right="220" w:hanging="325"/>
        <w:spacing w:after="0" w:line="277" w:lineRule="auto"/>
        <w:tabs>
          <w:tab w:leader="none" w:pos="9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providing leadership and support for the company’s efforts toward potential separation and isolation of our long-term care insurance business, with the accomplishments summarized above; and</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management of key litigation matters affecting the company.</w:t>
      </w:r>
    </w:p>
    <w:p>
      <w:pPr>
        <w:spacing w:after="0" w:line="225"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Based on these factors, the Compensation Committee approved an annual incentive award of $750,000 for Mr. Bobitz, or approximately 176% of his targeted amount for 2016.</w:t>
      </w:r>
    </w:p>
    <w:p>
      <w:pPr>
        <w:spacing w:after="0" w:line="279"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Mr. Sheehan</w:t>
      </w:r>
    </w:p>
    <w:p>
      <w:pPr>
        <w:spacing w:after="0" w:line="117" w:lineRule="exact"/>
        <w:rPr>
          <w:sz w:val="20"/>
          <w:szCs w:val="20"/>
          <w:color w:val="auto"/>
        </w:rPr>
      </w:pPr>
    </w:p>
    <w:p>
      <w:pPr>
        <w:ind w:right="240" w:firstLine="456"/>
        <w:spacing w:after="0" w:line="259" w:lineRule="auto"/>
        <w:rPr>
          <w:sz w:val="20"/>
          <w:szCs w:val="20"/>
          <w:color w:val="auto"/>
        </w:rPr>
      </w:pPr>
      <w:r>
        <w:rPr>
          <w:rFonts w:ascii="Arial" w:cs="Arial" w:eastAsia="Arial" w:hAnsi="Arial"/>
          <w:sz w:val="18"/>
          <w:szCs w:val="18"/>
          <w:color w:val="auto"/>
        </w:rPr>
        <w:t>Mr. Sheehan’s annual incentive award primarily reflects his contributions to our company performance as our CIO. As a member of the corporate leadership team, some weight was given to his contributions to the strategic accomplishments noted above. Significant weight was also given to the performance of the corporate investments organization, including exceeding targeted net investment income as noted above, and other positive results and accomplishments as noted below:</w:t>
      </w:r>
    </w:p>
    <w:p>
      <w:pPr>
        <w:spacing w:after="0" w:line="92" w:lineRule="exact"/>
        <w:rPr>
          <w:sz w:val="20"/>
          <w:szCs w:val="20"/>
          <w:color w:val="auto"/>
        </w:rPr>
      </w:pPr>
    </w:p>
    <w:p>
      <w:pPr>
        <w:ind w:left="900" w:right="760" w:hanging="325"/>
        <w:spacing w:after="0" w:line="277" w:lineRule="auto"/>
        <w:tabs>
          <w:tab w:leader="none" w:pos="9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exceeding targeted levels of higher-yielding private asset production, including commercial mortgages, private placements and limited partnerships;</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active leadership in re-negotiating counterparty agreements after company rating downgrades;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collaborating with our U.S. Life Insurance segment to meet our internal target expense rate reductions.</w:t>
      </w:r>
    </w:p>
    <w:p>
      <w:pPr>
        <w:spacing w:after="0" w:line="225"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Based on these factors, the Compensation Committee approved an annual incentive award of $1,900,000 for Mr. Sheehan, or approximately 181% of his targeted amount, for 2016.</w:t>
      </w:r>
    </w:p>
    <w:p>
      <w:pPr>
        <w:spacing w:after="0" w:line="27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Annual Long-Term Equity Grants</w:t>
      </w:r>
    </w:p>
    <w:p>
      <w:pPr>
        <w:spacing w:after="0" w:line="117"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We believe that the largest component of our annual compensation opportunities for named executive officers should be in the form of longer-term incentives, including annual long-term equity grants. The Compensation Committee determines an approximate compensation value for annual equity grants for the CEO after receiving inputs from the Board and the Compensation Committee’s compensation consultant, and for each other named executive officer based on the recommendations of our CEO. Additional considerations for award values include competitive pay levels, alignment of total pay at risk with the individual’s ability to impact long-term company performance, the individual’s sustained performance over time, and long-term succession and retention needs.</w:t>
      </w:r>
    </w:p>
    <w:p>
      <w:pPr>
        <w:spacing w:after="0" w:line="193" w:lineRule="exact"/>
        <w:rPr>
          <w:sz w:val="20"/>
          <w:szCs w:val="20"/>
          <w:color w:val="auto"/>
        </w:rPr>
      </w:pPr>
    </w:p>
    <w:p>
      <w:pPr>
        <w:ind w:right="40" w:firstLine="456"/>
        <w:spacing w:after="0" w:line="277" w:lineRule="auto"/>
        <w:rPr>
          <w:sz w:val="20"/>
          <w:szCs w:val="20"/>
          <w:color w:val="auto"/>
        </w:rPr>
      </w:pPr>
      <w:r>
        <w:rPr>
          <w:rFonts w:ascii="Arial" w:cs="Arial" w:eastAsia="Arial" w:hAnsi="Arial"/>
          <w:sz w:val="18"/>
          <w:szCs w:val="18"/>
          <w:color w:val="auto"/>
        </w:rPr>
        <w:t>The CEO prepares a recommendation for the annual long-term equity grant compensation value for each of the executive officers (other than himself), and the company uses a 20-day historical average closing price on or</w:t>
      </w:r>
    </w:p>
    <w:p>
      <w:pPr>
        <w:spacing w:after="0" w:line="10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340"/>
          </w:cols>
          <w:pgMar w:left="240" w:top="459" w:right="31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93" w:lineRule="auto"/>
        <w:rPr>
          <w:sz w:val="20"/>
          <w:szCs w:val="20"/>
          <w:color w:val="auto"/>
        </w:rPr>
      </w:pPr>
      <w:r>
        <w:rPr>
          <w:rFonts w:ascii="Arial" w:cs="Arial" w:eastAsia="Arial" w:hAnsi="Arial"/>
          <w:sz w:val="16"/>
          <w:szCs w:val="16"/>
          <w:color w:val="auto"/>
        </w:rPr>
        <w:t>around February to create an estimate of the grant-date fair value of a share for planning purposes. The compensation value is converted to a number of shares, typically rounded, and then provided to the Compensation Committee for approval. This approach mitigates the impact of short-term fluctuations in stock price on award levels, allows for clear understanding of both share levels and approximate compensation values at the time of Compensation Committee approval, and facilitates delivering rounded award amounts. The Compensation Committee approves a number of shares at the end of this process. The compensation consultant works with the Compensation Committee to determine annual long-term equity grant awards to the CEO using this same approach, and the Compensation Committee approves awards to the CEO after reviewing the proposal with the Board in executive session.</w:t>
      </w:r>
    </w:p>
    <w:p>
      <w:pPr>
        <w:spacing w:after="0" w:line="165" w:lineRule="exact"/>
        <w:rPr>
          <w:sz w:val="20"/>
          <w:szCs w:val="20"/>
          <w:color w:val="auto"/>
        </w:rPr>
      </w:pPr>
    </w:p>
    <w:p>
      <w:pPr>
        <w:ind w:right="20" w:firstLine="456"/>
        <w:spacing w:after="0" w:line="271" w:lineRule="auto"/>
        <w:rPr>
          <w:sz w:val="20"/>
          <w:szCs w:val="20"/>
          <w:color w:val="auto"/>
        </w:rPr>
      </w:pPr>
      <w:r>
        <w:rPr>
          <w:rFonts w:ascii="Arial" w:cs="Arial" w:eastAsia="Arial" w:hAnsi="Arial"/>
          <w:sz w:val="17"/>
          <w:szCs w:val="17"/>
          <w:color w:val="auto"/>
        </w:rPr>
        <w:t>Our equity awards to executive officers have included, over time, different combinations of SARs, PSUs and RSUs. Taken together, we believe our annual equity grants align named executive officer compensation with long-term stockholder interests, and provide retention and incentive value through a combination of stock price appreciation and achievement of long-term company performance objectives. For 2016, our CEO was awarded 100% PSUs, while our other named executive officers were awarded 50% RSUs and 50% PSUs. Due to the timing of certain strategic evaluations and implications on the goal-setting process for PSUs, our Compensation Committee reviewed the proposed compensation values for all executive officers at its meeting in February, determined aggregate award sizes based on the approach described above and using an estimated share value at that time, and approved only grants of RSUs to be effective in February. Then in March, the Committee approved the performance goals, terms and conditions of the awards of 2016-2018 PSUs, using the share amounts previously discussed at its February meeting.</w:t>
      </w:r>
    </w:p>
    <w:p>
      <w:pPr>
        <w:spacing w:after="0" w:line="17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Annual equity grants made in 2016 to each of our named executive officers were awarded in the following amounts:</w:t>
      </w:r>
    </w:p>
    <w:p>
      <w:pPr>
        <w:spacing w:after="0" w:line="231"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1560" w:type="dxa"/>
            <w:vAlign w:val="bottom"/>
          </w:tcPr>
          <w:p>
            <w:pPr>
              <w:spacing w:after="0"/>
              <w:rPr>
                <w:sz w:val="14"/>
                <w:szCs w:val="14"/>
                <w:color w:val="auto"/>
              </w:rPr>
            </w:pPr>
          </w:p>
        </w:tc>
        <w:tc>
          <w:tcPr>
            <w:tcW w:w="43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94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93"/>
              </w:rPr>
              <w:t>“Target” #</w:t>
            </w:r>
          </w:p>
        </w:tc>
        <w:tc>
          <w:tcPr>
            <w:tcW w:w="0" w:type="dxa"/>
            <w:vAlign w:val="bottom"/>
          </w:tcPr>
          <w:p>
            <w:pPr>
              <w:spacing w:after="0"/>
              <w:rPr>
                <w:sz w:val="1"/>
                <w:szCs w:val="1"/>
                <w:color w:val="auto"/>
              </w:rPr>
            </w:pPr>
          </w:p>
        </w:tc>
      </w:tr>
      <w:tr>
        <w:trPr>
          <w:trHeight w:val="149"/>
        </w:trPr>
        <w:tc>
          <w:tcPr>
            <w:tcW w:w="1560" w:type="dxa"/>
            <w:vAlign w:val="bottom"/>
          </w:tcPr>
          <w:p>
            <w:pPr>
              <w:spacing w:after="0"/>
              <w:rPr>
                <w:sz w:val="12"/>
                <w:szCs w:val="12"/>
                <w:color w:val="auto"/>
              </w:rPr>
            </w:pPr>
          </w:p>
        </w:tc>
        <w:tc>
          <w:tcPr>
            <w:tcW w:w="4380" w:type="dxa"/>
            <w:vAlign w:val="bottom"/>
          </w:tcPr>
          <w:p>
            <w:pPr>
              <w:spacing w:after="0"/>
              <w:rPr>
                <w:sz w:val="12"/>
                <w:szCs w:val="12"/>
                <w:color w:val="auto"/>
              </w:rPr>
            </w:pPr>
          </w:p>
        </w:tc>
        <w:tc>
          <w:tcPr>
            <w:tcW w:w="1480" w:type="dxa"/>
            <w:vAlign w:val="bottom"/>
            <w:gridSpan w:val="3"/>
            <w:vMerge w:val="restart"/>
          </w:tcPr>
          <w:p>
            <w:pPr>
              <w:jc w:val="center"/>
              <w:ind w:right="540"/>
              <w:spacing w:after="0"/>
              <w:rPr>
                <w:sz w:val="20"/>
                <w:szCs w:val="20"/>
                <w:color w:val="auto"/>
              </w:rPr>
            </w:pPr>
            <w:r>
              <w:rPr>
                <w:rFonts w:ascii="Arial" w:cs="Arial" w:eastAsia="Arial" w:hAnsi="Arial"/>
                <w:sz w:val="14"/>
                <w:szCs w:val="14"/>
                <w:b w:val="1"/>
                <w:bCs w:val="1"/>
                <w:color w:val="auto"/>
                <w:w w:val="95"/>
              </w:rPr>
              <w:t>Approximate</w:t>
            </w:r>
          </w:p>
        </w:tc>
        <w:tc>
          <w:tcPr>
            <w:tcW w:w="1220" w:type="dxa"/>
            <w:vAlign w:val="bottom"/>
            <w:gridSpan w:val="2"/>
            <w:vMerge w:val="restart"/>
          </w:tcPr>
          <w:p>
            <w:pPr>
              <w:jc w:val="center"/>
              <w:ind w:right="520"/>
              <w:spacing w:after="0"/>
              <w:rPr>
                <w:sz w:val="20"/>
                <w:szCs w:val="20"/>
                <w:color w:val="auto"/>
              </w:rPr>
            </w:pPr>
            <w:r>
              <w:rPr>
                <w:rFonts w:ascii="Arial" w:cs="Arial" w:eastAsia="Arial" w:hAnsi="Arial"/>
                <w:sz w:val="14"/>
                <w:szCs w:val="14"/>
                <w:b w:val="1"/>
                <w:bCs w:val="1"/>
                <w:color w:val="auto"/>
                <w:w w:val="88"/>
              </w:rPr>
              <w:t># of</w:t>
            </w:r>
          </w:p>
        </w:tc>
        <w:tc>
          <w:tcPr>
            <w:tcW w:w="94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0"/>
              </w:rPr>
              <w:t>of 2016-</w:t>
            </w:r>
          </w:p>
        </w:tc>
        <w:tc>
          <w:tcPr>
            <w:tcW w:w="0" w:type="dxa"/>
            <w:vAlign w:val="bottom"/>
          </w:tcPr>
          <w:p>
            <w:pPr>
              <w:spacing w:after="0"/>
              <w:rPr>
                <w:sz w:val="1"/>
                <w:szCs w:val="1"/>
                <w:color w:val="auto"/>
              </w:rPr>
            </w:pPr>
          </w:p>
        </w:tc>
      </w:tr>
      <w:tr>
        <w:trPr>
          <w:trHeight w:val="149"/>
        </w:trPr>
        <w:tc>
          <w:tcPr>
            <w:tcW w:w="1560" w:type="dxa"/>
            <w:vAlign w:val="bottom"/>
          </w:tcPr>
          <w:p>
            <w:pPr>
              <w:spacing w:after="0"/>
              <w:rPr>
                <w:sz w:val="12"/>
                <w:szCs w:val="12"/>
                <w:color w:val="auto"/>
              </w:rPr>
            </w:pPr>
          </w:p>
        </w:tc>
        <w:tc>
          <w:tcPr>
            <w:tcW w:w="4380" w:type="dxa"/>
            <w:vAlign w:val="bottom"/>
          </w:tcPr>
          <w:p>
            <w:pPr>
              <w:spacing w:after="0"/>
              <w:rPr>
                <w:sz w:val="12"/>
                <w:szCs w:val="12"/>
                <w:color w:val="auto"/>
              </w:rPr>
            </w:pPr>
          </w:p>
        </w:tc>
        <w:tc>
          <w:tcPr>
            <w:tcW w:w="1480" w:type="dxa"/>
            <w:vAlign w:val="bottom"/>
            <w:gridSpan w:val="3"/>
            <w:vMerge w:val="continue"/>
          </w:tcPr>
          <w:p>
            <w:pPr>
              <w:spacing w:after="0"/>
              <w:rPr>
                <w:sz w:val="12"/>
                <w:szCs w:val="12"/>
                <w:color w:val="auto"/>
              </w:rPr>
            </w:pPr>
          </w:p>
        </w:tc>
        <w:tc>
          <w:tcPr>
            <w:tcW w:w="1220" w:type="dxa"/>
            <w:vAlign w:val="bottom"/>
            <w:gridSpan w:val="2"/>
            <w:vMerge w:val="continue"/>
          </w:tcPr>
          <w:p>
            <w:pPr>
              <w:spacing w:after="0"/>
              <w:rPr>
                <w:sz w:val="12"/>
                <w:szCs w:val="12"/>
                <w:color w:val="auto"/>
              </w:rPr>
            </w:pPr>
          </w:p>
        </w:tc>
        <w:tc>
          <w:tcPr>
            <w:tcW w:w="880" w:type="dxa"/>
            <w:vAlign w:val="bottom"/>
          </w:tcPr>
          <w:p>
            <w:pPr>
              <w:jc w:val="right"/>
              <w:ind w:right="221"/>
              <w:spacing w:after="0" w:line="149" w:lineRule="exact"/>
              <w:rPr>
                <w:sz w:val="20"/>
                <w:szCs w:val="20"/>
                <w:color w:val="auto"/>
              </w:rPr>
            </w:pPr>
            <w:r>
              <w:rPr>
                <w:rFonts w:ascii="Arial" w:cs="Arial" w:eastAsia="Arial" w:hAnsi="Arial"/>
                <w:sz w:val="14"/>
                <w:szCs w:val="14"/>
                <w:b w:val="1"/>
                <w:bCs w:val="1"/>
                <w:color w:val="auto"/>
              </w:rPr>
              <w:t>2018</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560" w:type="dxa"/>
            <w:vAlign w:val="bottom"/>
          </w:tcPr>
          <w:p>
            <w:pPr>
              <w:spacing w:after="0"/>
              <w:rPr>
                <w:sz w:val="12"/>
                <w:szCs w:val="12"/>
                <w:color w:val="auto"/>
              </w:rPr>
            </w:pPr>
          </w:p>
        </w:tc>
        <w:tc>
          <w:tcPr>
            <w:tcW w:w="4380" w:type="dxa"/>
            <w:vAlign w:val="bottom"/>
          </w:tcPr>
          <w:p>
            <w:pPr>
              <w:spacing w:after="0"/>
              <w:rPr>
                <w:sz w:val="12"/>
                <w:szCs w:val="12"/>
                <w:color w:val="auto"/>
              </w:rPr>
            </w:pPr>
          </w:p>
        </w:tc>
        <w:tc>
          <w:tcPr>
            <w:tcW w:w="1480" w:type="dxa"/>
            <w:vAlign w:val="bottom"/>
            <w:gridSpan w:val="3"/>
          </w:tcPr>
          <w:p>
            <w:pPr>
              <w:jc w:val="center"/>
              <w:ind w:right="520"/>
              <w:spacing w:after="0" w:line="149" w:lineRule="exact"/>
              <w:rPr>
                <w:sz w:val="20"/>
                <w:szCs w:val="20"/>
                <w:color w:val="auto"/>
              </w:rPr>
            </w:pPr>
            <w:r>
              <w:rPr>
                <w:rFonts w:ascii="Arial" w:cs="Arial" w:eastAsia="Arial" w:hAnsi="Arial"/>
                <w:sz w:val="14"/>
                <w:szCs w:val="14"/>
                <w:b w:val="1"/>
                <w:bCs w:val="1"/>
                <w:color w:val="auto"/>
                <w:w w:val="90"/>
              </w:rPr>
              <w:t>Compensation</w:t>
            </w:r>
          </w:p>
        </w:tc>
        <w:tc>
          <w:tcPr>
            <w:tcW w:w="122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90"/>
              </w:rPr>
              <w:t>RSUs</w:t>
            </w:r>
          </w:p>
        </w:tc>
        <w:tc>
          <w:tcPr>
            <w:tcW w:w="94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87"/>
              </w:rPr>
              <w:t>PSUs</w:t>
            </w:r>
          </w:p>
        </w:tc>
        <w:tc>
          <w:tcPr>
            <w:tcW w:w="0" w:type="dxa"/>
            <w:vAlign w:val="bottom"/>
          </w:tcPr>
          <w:p>
            <w:pPr>
              <w:spacing w:after="0"/>
              <w:rPr>
                <w:sz w:val="1"/>
                <w:szCs w:val="1"/>
                <w:color w:val="auto"/>
              </w:rPr>
            </w:pPr>
          </w:p>
        </w:tc>
      </w:tr>
      <w:tr>
        <w:trPr>
          <w:trHeight w:val="149"/>
        </w:trPr>
        <w:tc>
          <w:tcPr>
            <w:tcW w:w="1560" w:type="dxa"/>
            <w:vAlign w:val="bottom"/>
          </w:tcPr>
          <w:p>
            <w:pPr>
              <w:spacing w:after="0"/>
              <w:rPr>
                <w:sz w:val="12"/>
                <w:szCs w:val="12"/>
                <w:color w:val="auto"/>
              </w:rPr>
            </w:pPr>
          </w:p>
        </w:tc>
        <w:tc>
          <w:tcPr>
            <w:tcW w:w="43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0" w:type="dxa"/>
            <w:vAlign w:val="bottom"/>
            <w:gridSpan w:val="2"/>
          </w:tcPr>
          <w:p>
            <w:pPr>
              <w:jc w:val="center"/>
              <w:ind w:right="620"/>
              <w:spacing w:after="0" w:line="149" w:lineRule="exact"/>
              <w:rPr>
                <w:sz w:val="20"/>
                <w:szCs w:val="20"/>
                <w:color w:val="auto"/>
              </w:rPr>
            </w:pPr>
            <w:r>
              <w:rPr>
                <w:rFonts w:ascii="Arial" w:cs="Arial" w:eastAsia="Arial" w:hAnsi="Arial"/>
                <w:sz w:val="14"/>
                <w:szCs w:val="14"/>
                <w:b w:val="1"/>
                <w:bCs w:val="1"/>
                <w:color w:val="auto"/>
                <w:w w:val="90"/>
              </w:rPr>
              <w:t>Value</w:t>
            </w:r>
          </w:p>
        </w:tc>
        <w:tc>
          <w:tcPr>
            <w:tcW w:w="1220" w:type="dxa"/>
            <w:vAlign w:val="bottom"/>
            <w:gridSpan w:val="2"/>
          </w:tcPr>
          <w:p>
            <w:pPr>
              <w:jc w:val="center"/>
              <w:ind w:right="500"/>
              <w:spacing w:after="0" w:line="149" w:lineRule="exact"/>
              <w:rPr>
                <w:sz w:val="20"/>
                <w:szCs w:val="20"/>
                <w:color w:val="auto"/>
              </w:rPr>
            </w:pPr>
            <w:r>
              <w:rPr>
                <w:rFonts w:ascii="Arial" w:cs="Arial" w:eastAsia="Arial" w:hAnsi="Arial"/>
                <w:sz w:val="14"/>
                <w:szCs w:val="14"/>
                <w:b w:val="1"/>
                <w:bCs w:val="1"/>
                <w:color w:val="auto"/>
                <w:w w:val="94"/>
              </w:rPr>
              <w:t>Awarded</w:t>
            </w:r>
          </w:p>
        </w:tc>
        <w:tc>
          <w:tcPr>
            <w:tcW w:w="94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4"/>
              </w:rPr>
              <w:t>Awarded</w:t>
            </w:r>
          </w:p>
        </w:tc>
        <w:tc>
          <w:tcPr>
            <w:tcW w:w="0" w:type="dxa"/>
            <w:vAlign w:val="bottom"/>
          </w:tcPr>
          <w:p>
            <w:pPr>
              <w:spacing w:after="0"/>
              <w:rPr>
                <w:sz w:val="1"/>
                <w:szCs w:val="1"/>
                <w:color w:val="auto"/>
              </w:rPr>
            </w:pPr>
          </w:p>
        </w:tc>
      </w:tr>
      <w:tr>
        <w:trPr>
          <w:trHeight w:val="149"/>
        </w:trPr>
        <w:tc>
          <w:tcPr>
            <w:tcW w:w="1560" w:type="dxa"/>
            <w:vAlign w:val="bottom"/>
            <w:vMerge w:val="restart"/>
          </w:tcPr>
          <w:p>
            <w:pPr>
              <w:spacing w:after="0"/>
              <w:rPr>
                <w:sz w:val="20"/>
                <w:szCs w:val="20"/>
                <w:color w:val="auto"/>
              </w:rPr>
            </w:pPr>
            <w:r>
              <w:rPr>
                <w:rFonts w:ascii="Arial" w:cs="Arial" w:eastAsia="Arial" w:hAnsi="Arial"/>
                <w:sz w:val="14"/>
                <w:szCs w:val="14"/>
                <w:b w:val="1"/>
                <w:bCs w:val="1"/>
                <w:color w:val="auto"/>
                <w:w w:val="93"/>
              </w:rPr>
              <w:t>Named Executive Officer</w:t>
            </w:r>
          </w:p>
        </w:tc>
        <w:tc>
          <w:tcPr>
            <w:tcW w:w="4380" w:type="dxa"/>
            <w:vAlign w:val="bottom"/>
          </w:tcPr>
          <w:p>
            <w:pPr>
              <w:spacing w:after="0"/>
              <w:rPr>
                <w:sz w:val="12"/>
                <w:szCs w:val="12"/>
                <w:color w:val="auto"/>
              </w:rPr>
            </w:pPr>
          </w:p>
        </w:tc>
        <w:tc>
          <w:tcPr>
            <w:tcW w:w="1480" w:type="dxa"/>
            <w:vAlign w:val="bottom"/>
            <w:gridSpan w:val="3"/>
          </w:tcPr>
          <w:p>
            <w:pPr>
              <w:jc w:val="center"/>
              <w:ind w:right="520"/>
              <w:spacing w:after="0" w:line="149" w:lineRule="exact"/>
              <w:rPr>
                <w:sz w:val="20"/>
                <w:szCs w:val="20"/>
                <w:color w:val="auto"/>
              </w:rPr>
            </w:pPr>
            <w:r>
              <w:rPr>
                <w:rFonts w:ascii="Arial" w:cs="Arial" w:eastAsia="Arial" w:hAnsi="Arial"/>
                <w:sz w:val="14"/>
                <w:szCs w:val="14"/>
                <w:b w:val="1"/>
                <w:bCs w:val="1"/>
                <w:color w:val="auto"/>
                <w:w w:val="91"/>
              </w:rPr>
              <w:t>Intended to be</w:t>
            </w:r>
          </w:p>
        </w:tc>
        <w:tc>
          <w:tcPr>
            <w:tcW w:w="122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99"/>
              </w:rPr>
              <w:t>(Granted</w:t>
            </w:r>
          </w:p>
        </w:tc>
        <w:tc>
          <w:tcPr>
            <w:tcW w:w="94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5"/>
              </w:rPr>
              <w:t>(Granted</w:t>
            </w:r>
          </w:p>
        </w:tc>
        <w:tc>
          <w:tcPr>
            <w:tcW w:w="0" w:type="dxa"/>
            <w:vAlign w:val="bottom"/>
          </w:tcPr>
          <w:p>
            <w:pPr>
              <w:spacing w:after="0"/>
              <w:rPr>
                <w:sz w:val="1"/>
                <w:szCs w:val="1"/>
                <w:color w:val="auto"/>
              </w:rPr>
            </w:pPr>
          </w:p>
        </w:tc>
      </w:tr>
      <w:tr>
        <w:trPr>
          <w:trHeight w:val="171"/>
        </w:trPr>
        <w:tc>
          <w:tcPr>
            <w:tcW w:w="1560" w:type="dxa"/>
            <w:vAlign w:val="bottom"/>
            <w:vMerge w:val="continue"/>
          </w:tcPr>
          <w:p>
            <w:pPr>
              <w:spacing w:after="0"/>
              <w:rPr>
                <w:sz w:val="14"/>
                <w:szCs w:val="14"/>
                <w:color w:val="auto"/>
              </w:rPr>
            </w:pPr>
          </w:p>
        </w:tc>
        <w:tc>
          <w:tcPr>
            <w:tcW w:w="43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0" w:type="dxa"/>
            <w:vAlign w:val="bottom"/>
            <w:gridSpan w:val="2"/>
          </w:tcPr>
          <w:p>
            <w:pPr>
              <w:jc w:val="center"/>
              <w:ind w:right="600"/>
              <w:spacing w:after="0"/>
              <w:rPr>
                <w:sz w:val="20"/>
                <w:szCs w:val="20"/>
                <w:color w:val="auto"/>
              </w:rPr>
            </w:pPr>
            <w:r>
              <w:rPr>
                <w:rFonts w:ascii="Arial" w:cs="Arial" w:eastAsia="Arial" w:hAnsi="Arial"/>
                <w:sz w:val="14"/>
                <w:szCs w:val="14"/>
                <w:b w:val="1"/>
                <w:bCs w:val="1"/>
                <w:color w:val="auto"/>
                <w:w w:val="93"/>
              </w:rPr>
              <w:t xml:space="preserve">Delivered </w:t>
            </w:r>
            <w:r>
              <w:rPr>
                <w:rFonts w:ascii="Arial" w:cs="Arial" w:eastAsia="Arial" w:hAnsi="Arial"/>
                <w:sz w:val="12"/>
                <w:szCs w:val="12"/>
                <w:b w:val="1"/>
                <w:bCs w:val="1"/>
                <w:color w:val="auto"/>
                <w:w w:val="93"/>
              </w:rPr>
              <w:t>(1)</w:t>
            </w:r>
          </w:p>
        </w:tc>
        <w:tc>
          <w:tcPr>
            <w:tcW w:w="700" w:type="dxa"/>
            <w:vAlign w:val="bottom"/>
          </w:tcPr>
          <w:p>
            <w:pPr>
              <w:jc w:val="center"/>
              <w:spacing w:after="0"/>
              <w:rPr>
                <w:sz w:val="20"/>
                <w:szCs w:val="20"/>
                <w:color w:val="auto"/>
              </w:rPr>
            </w:pPr>
            <w:r>
              <w:rPr>
                <w:rFonts w:ascii="Arial" w:cs="Arial" w:eastAsia="Arial" w:hAnsi="Arial"/>
                <w:sz w:val="14"/>
                <w:szCs w:val="14"/>
                <w:b w:val="1"/>
                <w:bCs w:val="1"/>
                <w:color w:val="auto"/>
                <w:w w:val="97"/>
              </w:rPr>
              <w:t>2/25/16)</w:t>
            </w:r>
          </w:p>
        </w:tc>
        <w:tc>
          <w:tcPr>
            <w:tcW w:w="520" w:type="dxa"/>
            <w:vAlign w:val="bottom"/>
          </w:tcPr>
          <w:p>
            <w:pPr>
              <w:spacing w:after="0"/>
              <w:rPr>
                <w:sz w:val="14"/>
                <w:szCs w:val="14"/>
                <w:color w:val="auto"/>
              </w:rPr>
            </w:pPr>
          </w:p>
        </w:tc>
        <w:tc>
          <w:tcPr>
            <w:tcW w:w="880" w:type="dxa"/>
            <w:vAlign w:val="bottom"/>
          </w:tcPr>
          <w:p>
            <w:pPr>
              <w:jc w:val="right"/>
              <w:ind w:right="121"/>
              <w:spacing w:after="0"/>
              <w:rPr>
                <w:sz w:val="20"/>
                <w:szCs w:val="20"/>
                <w:color w:val="auto"/>
              </w:rPr>
            </w:pPr>
            <w:r>
              <w:rPr>
                <w:rFonts w:ascii="Arial" w:cs="Arial" w:eastAsia="Arial" w:hAnsi="Arial"/>
                <w:sz w:val="14"/>
                <w:szCs w:val="14"/>
                <w:b w:val="1"/>
                <w:bCs w:val="1"/>
                <w:color w:val="auto"/>
              </w:rPr>
              <w:t>3/16/16)</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5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Mr. McInerney</w:t>
            </w:r>
          </w:p>
        </w:tc>
        <w:tc>
          <w:tcPr>
            <w:tcW w:w="438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4,125,000</w:t>
            </w:r>
          </w:p>
        </w:tc>
        <w:tc>
          <w:tcPr>
            <w:tcW w:w="52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52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1,500,000</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60" w:type="dxa"/>
            <w:vAlign w:val="bottom"/>
          </w:tcPr>
          <w:p>
            <w:pPr>
              <w:spacing w:after="0"/>
              <w:rPr>
                <w:sz w:val="20"/>
                <w:szCs w:val="20"/>
                <w:color w:val="auto"/>
              </w:rPr>
            </w:pPr>
            <w:r>
              <w:rPr>
                <w:rFonts w:ascii="Arial" w:cs="Arial" w:eastAsia="Arial" w:hAnsi="Arial"/>
                <w:sz w:val="18"/>
                <w:szCs w:val="18"/>
                <w:color w:val="auto"/>
              </w:rPr>
              <w:t>Ms. Groh</w:t>
            </w:r>
          </w:p>
        </w:tc>
        <w:tc>
          <w:tcPr>
            <w:tcW w:w="4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1,000,000</w:t>
            </w:r>
          </w:p>
        </w:tc>
        <w:tc>
          <w:tcPr>
            <w:tcW w:w="520" w:type="dxa"/>
            <w:vAlign w:val="bottom"/>
          </w:tcPr>
          <w:p>
            <w:pPr>
              <w:spacing w:after="0"/>
              <w:rPr>
                <w:sz w:val="18"/>
                <w:szCs w:val="18"/>
                <w:color w:val="auto"/>
              </w:rPr>
            </w:pPr>
          </w:p>
        </w:tc>
        <w:tc>
          <w:tcPr>
            <w:tcW w:w="1220" w:type="dxa"/>
            <w:vAlign w:val="bottom"/>
            <w:gridSpan w:val="2"/>
          </w:tcPr>
          <w:p>
            <w:pPr>
              <w:jc w:val="right"/>
              <w:ind w:right="520"/>
              <w:spacing w:after="0"/>
              <w:rPr>
                <w:sz w:val="20"/>
                <w:szCs w:val="20"/>
                <w:color w:val="auto"/>
              </w:rPr>
            </w:pPr>
            <w:r>
              <w:rPr>
                <w:rFonts w:ascii="Arial" w:cs="Arial" w:eastAsia="Arial" w:hAnsi="Arial"/>
                <w:sz w:val="18"/>
                <w:szCs w:val="18"/>
                <w:color w:val="auto"/>
              </w:rPr>
              <w:t>180,000</w:t>
            </w:r>
          </w:p>
        </w:tc>
        <w:tc>
          <w:tcPr>
            <w:tcW w:w="940" w:type="dxa"/>
            <w:vAlign w:val="bottom"/>
            <w:gridSpan w:val="2"/>
          </w:tcPr>
          <w:p>
            <w:pPr>
              <w:jc w:val="right"/>
              <w:ind w:right="60"/>
              <w:spacing w:after="0"/>
              <w:rPr>
                <w:sz w:val="20"/>
                <w:szCs w:val="20"/>
                <w:color w:val="auto"/>
              </w:rPr>
            </w:pPr>
            <w:r>
              <w:rPr>
                <w:rFonts w:ascii="Arial" w:cs="Arial" w:eastAsia="Arial" w:hAnsi="Arial"/>
                <w:sz w:val="18"/>
                <w:szCs w:val="18"/>
                <w:color w:val="auto"/>
              </w:rPr>
              <w:t>180,000</w:t>
            </w:r>
          </w:p>
        </w:tc>
        <w:tc>
          <w:tcPr>
            <w:tcW w:w="0" w:type="dxa"/>
            <w:vAlign w:val="bottom"/>
          </w:tcPr>
          <w:p>
            <w:pPr>
              <w:spacing w:after="0"/>
              <w:rPr>
                <w:sz w:val="1"/>
                <w:szCs w:val="1"/>
                <w:color w:val="auto"/>
              </w:rPr>
            </w:pPr>
          </w:p>
        </w:tc>
      </w:tr>
      <w:tr>
        <w:trPr>
          <w:trHeight w:val="216"/>
        </w:trPr>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rPr>
              <w:t>Mr. Schneider</w:t>
            </w:r>
          </w:p>
        </w:tc>
        <w:tc>
          <w:tcPr>
            <w:tcW w:w="4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2,000,000</w:t>
            </w:r>
          </w:p>
        </w:tc>
        <w:tc>
          <w:tcPr>
            <w:tcW w:w="5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365,000</w:t>
            </w:r>
          </w:p>
        </w:tc>
        <w:tc>
          <w:tcPr>
            <w:tcW w:w="9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365,000</w:t>
            </w:r>
          </w:p>
        </w:tc>
        <w:tc>
          <w:tcPr>
            <w:tcW w:w="0" w:type="dxa"/>
            <w:vAlign w:val="bottom"/>
          </w:tcPr>
          <w:p>
            <w:pPr>
              <w:spacing w:after="0"/>
              <w:rPr>
                <w:sz w:val="1"/>
                <w:szCs w:val="1"/>
                <w:color w:val="auto"/>
              </w:rPr>
            </w:pPr>
          </w:p>
        </w:tc>
      </w:tr>
      <w:tr>
        <w:trPr>
          <w:trHeight w:val="216"/>
        </w:trPr>
        <w:tc>
          <w:tcPr>
            <w:tcW w:w="1560" w:type="dxa"/>
            <w:vAlign w:val="bottom"/>
          </w:tcPr>
          <w:p>
            <w:pPr>
              <w:spacing w:after="0"/>
              <w:rPr>
                <w:sz w:val="20"/>
                <w:szCs w:val="20"/>
                <w:color w:val="auto"/>
              </w:rPr>
            </w:pPr>
            <w:r>
              <w:rPr>
                <w:rFonts w:ascii="Arial" w:cs="Arial" w:eastAsia="Arial" w:hAnsi="Arial"/>
                <w:sz w:val="18"/>
                <w:szCs w:val="18"/>
                <w:color w:val="auto"/>
              </w:rPr>
              <w:t>Mr. Bobitz</w:t>
            </w:r>
          </w:p>
        </w:tc>
        <w:tc>
          <w:tcPr>
            <w:tcW w:w="4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00" w:type="dxa"/>
            <w:vAlign w:val="bottom"/>
            <w:gridSpan w:val="2"/>
          </w:tcPr>
          <w:p>
            <w:pPr>
              <w:jc w:val="right"/>
              <w:ind w:right="520"/>
              <w:spacing w:after="0"/>
              <w:rPr>
                <w:sz w:val="20"/>
                <w:szCs w:val="20"/>
                <w:color w:val="auto"/>
              </w:rPr>
            </w:pPr>
            <w:r>
              <w:rPr>
                <w:rFonts w:ascii="Arial" w:cs="Arial" w:eastAsia="Arial" w:hAnsi="Arial"/>
                <w:sz w:val="18"/>
                <w:szCs w:val="18"/>
                <w:color w:val="auto"/>
              </w:rPr>
              <w:t>500,000</w:t>
            </w:r>
          </w:p>
        </w:tc>
        <w:tc>
          <w:tcPr>
            <w:tcW w:w="1220" w:type="dxa"/>
            <w:vAlign w:val="bottom"/>
            <w:gridSpan w:val="2"/>
          </w:tcPr>
          <w:p>
            <w:pPr>
              <w:jc w:val="right"/>
              <w:ind w:right="520"/>
              <w:spacing w:after="0"/>
              <w:rPr>
                <w:sz w:val="20"/>
                <w:szCs w:val="20"/>
                <w:color w:val="auto"/>
              </w:rPr>
            </w:pPr>
            <w:r>
              <w:rPr>
                <w:rFonts w:ascii="Arial" w:cs="Arial" w:eastAsia="Arial" w:hAnsi="Arial"/>
                <w:sz w:val="18"/>
                <w:szCs w:val="18"/>
                <w:color w:val="auto"/>
              </w:rPr>
              <w:t>90,000</w:t>
            </w:r>
          </w:p>
        </w:tc>
        <w:tc>
          <w:tcPr>
            <w:tcW w:w="940" w:type="dxa"/>
            <w:vAlign w:val="bottom"/>
            <w:gridSpan w:val="2"/>
          </w:tcPr>
          <w:p>
            <w:pPr>
              <w:jc w:val="right"/>
              <w:ind w:right="60"/>
              <w:spacing w:after="0"/>
              <w:rPr>
                <w:sz w:val="20"/>
                <w:szCs w:val="20"/>
                <w:color w:val="auto"/>
              </w:rPr>
            </w:pPr>
            <w:r>
              <w:rPr>
                <w:rFonts w:ascii="Arial" w:cs="Arial" w:eastAsia="Arial" w:hAnsi="Arial"/>
                <w:sz w:val="18"/>
                <w:szCs w:val="18"/>
                <w:color w:val="auto"/>
              </w:rPr>
              <w:t>90,000</w:t>
            </w:r>
          </w:p>
        </w:tc>
        <w:tc>
          <w:tcPr>
            <w:tcW w:w="0" w:type="dxa"/>
            <w:vAlign w:val="bottom"/>
          </w:tcPr>
          <w:p>
            <w:pPr>
              <w:spacing w:after="0"/>
              <w:rPr>
                <w:sz w:val="1"/>
                <w:szCs w:val="1"/>
                <w:color w:val="auto"/>
              </w:rPr>
            </w:pPr>
          </w:p>
        </w:tc>
      </w:tr>
      <w:tr>
        <w:trPr>
          <w:trHeight w:val="216"/>
        </w:trPr>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rPr>
              <w:t>Mr. Sheehan</w:t>
            </w:r>
          </w:p>
        </w:tc>
        <w:tc>
          <w:tcPr>
            <w:tcW w:w="4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1,500,000</w:t>
            </w:r>
          </w:p>
        </w:tc>
        <w:tc>
          <w:tcPr>
            <w:tcW w:w="5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275,000</w:t>
            </w:r>
          </w:p>
        </w:tc>
        <w:tc>
          <w:tcPr>
            <w:tcW w:w="9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275,000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5" w:lineRule="exact"/>
        <w:rPr>
          <w:sz w:val="20"/>
          <w:szCs w:val="20"/>
          <w:color w:val="auto"/>
        </w:rPr>
      </w:pPr>
    </w:p>
    <w:p>
      <w:pPr>
        <w:ind w:left="460" w:right="600" w:hanging="452"/>
        <w:spacing w:after="0" w:line="277" w:lineRule="auto"/>
        <w:tabs>
          <w:tab w:leader="none" w:pos="460" w:val="left"/>
        </w:tabs>
        <w:numPr>
          <w:ilvl w:val="0"/>
          <w:numId w:val="34"/>
        </w:numPr>
        <w:rPr>
          <w:rFonts w:ascii="Arial" w:cs="Arial" w:eastAsia="Arial" w:hAnsi="Arial"/>
          <w:sz w:val="15"/>
          <w:szCs w:val="15"/>
          <w:color w:val="auto"/>
        </w:rPr>
      </w:pPr>
      <w:r>
        <w:rPr>
          <w:rFonts w:ascii="Arial" w:cs="Arial" w:eastAsia="Arial" w:hAnsi="Arial"/>
          <w:sz w:val="18"/>
          <w:szCs w:val="18"/>
          <w:color w:val="auto"/>
        </w:rPr>
        <w:t>Due to differences in how the grant-date fair value of awards is determined for accounting purposes, these amounts will differ from the amounts reflected as the grant date fair value of the awards in the 2016 Summary Compensation Table.</w:t>
      </w:r>
    </w:p>
    <w:p>
      <w:pPr>
        <w:spacing w:after="0" w:line="278" w:lineRule="exact"/>
        <w:rPr>
          <w:rFonts w:ascii="Arial" w:cs="Arial" w:eastAsia="Arial" w:hAnsi="Arial"/>
          <w:sz w:val="15"/>
          <w:szCs w:val="15"/>
          <w:color w:val="auto"/>
        </w:rPr>
      </w:pPr>
    </w:p>
    <w:p>
      <w:pPr>
        <w:ind w:left="460"/>
        <w:spacing w:after="0"/>
        <w:rPr>
          <w:rFonts w:ascii="Arial" w:cs="Arial" w:eastAsia="Arial" w:hAnsi="Arial"/>
          <w:sz w:val="15"/>
          <w:szCs w:val="15"/>
          <w:color w:val="auto"/>
        </w:rPr>
      </w:pPr>
      <w:r>
        <w:rPr>
          <w:rFonts w:ascii="Arial" w:cs="Arial" w:eastAsia="Arial" w:hAnsi="Arial"/>
          <w:sz w:val="18"/>
          <w:szCs w:val="18"/>
          <w:u w:val="single" w:color="auto"/>
          <w:color w:val="auto"/>
        </w:rPr>
        <w:t>Additional Information Regarding Awards of RSUs</w:t>
      </w:r>
    </w:p>
    <w:p>
      <w:pPr>
        <w:spacing w:after="0" w:line="117" w:lineRule="exact"/>
        <w:rPr>
          <w:sz w:val="20"/>
          <w:szCs w:val="20"/>
          <w:color w:val="auto"/>
        </w:rPr>
      </w:pPr>
    </w:p>
    <w:p>
      <w:pPr>
        <w:ind w:right="60" w:firstLine="456"/>
        <w:spacing w:after="0" w:line="257" w:lineRule="auto"/>
        <w:rPr>
          <w:sz w:val="20"/>
          <w:szCs w:val="20"/>
          <w:color w:val="auto"/>
        </w:rPr>
      </w:pPr>
      <w:r>
        <w:rPr>
          <w:rFonts w:ascii="Arial" w:cs="Arial" w:eastAsia="Arial" w:hAnsi="Arial"/>
          <w:sz w:val="18"/>
          <w:szCs w:val="18"/>
          <w:color w:val="auto"/>
        </w:rPr>
        <w:t xml:space="preserve">Awards of RSUs were included in our annual equity grants to executive officers beginning in 2015. RSUs granted in 2015 and 2016 vest 33% per year, beginning on the first anniversary of the grant date. Net after-tax shares acquired by executive officers through the grant or exercise of all company equity incentive awards are subject to a 50% retention ratio until stock ownership guidelines are met. Awards of RSUs are generally forfeited upon termination of employment with the company prior to vesting, except for limited instances described in the </w:t>
      </w:r>
      <w:r>
        <w:rPr>
          <w:rFonts w:ascii="Arial" w:cs="Arial" w:eastAsia="Arial" w:hAnsi="Arial"/>
          <w:sz w:val="18"/>
          <w:szCs w:val="18"/>
          <w:i w:val="1"/>
          <w:iCs w:val="1"/>
          <w:color w:val="auto"/>
        </w:rPr>
        <w:t>Executive Compensation—Potential Payments upon Termination</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or Change of Control </w:t>
      </w:r>
      <w:r>
        <w:rPr>
          <w:rFonts w:ascii="Arial" w:cs="Arial" w:eastAsia="Arial" w:hAnsi="Arial"/>
          <w:sz w:val="18"/>
          <w:szCs w:val="18"/>
          <w:color w:val="auto"/>
        </w:rPr>
        <w:t>section below.</w:t>
      </w:r>
    </w:p>
    <w:p>
      <w:pPr>
        <w:spacing w:after="0" w:line="1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459" w:right="23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Additional Information Regarding 2016-2018 Performance Stock Unit Grants</w:t>
      </w:r>
    </w:p>
    <w:p>
      <w:pPr>
        <w:spacing w:after="0" w:line="117" w:lineRule="exact"/>
        <w:rPr>
          <w:sz w:val="20"/>
          <w:szCs w:val="20"/>
          <w:color w:val="auto"/>
        </w:rPr>
      </w:pPr>
    </w:p>
    <w:p>
      <w:pPr>
        <w:jc w:val="both"/>
        <w:ind w:right="240" w:firstLine="456"/>
        <w:spacing w:after="0" w:line="312" w:lineRule="auto"/>
        <w:rPr>
          <w:sz w:val="20"/>
          <w:szCs w:val="20"/>
          <w:color w:val="auto"/>
        </w:rPr>
      </w:pPr>
      <w:r>
        <w:rPr>
          <w:rFonts w:ascii="Arial" w:cs="Arial" w:eastAsia="Arial" w:hAnsi="Arial"/>
          <w:sz w:val="16"/>
          <w:szCs w:val="16"/>
          <w:color w:val="auto"/>
        </w:rPr>
        <w:t>Our Compensation Committee approved different performance measures for each of our PSU grants over the past three years, after considering with management and its independent compensation consultant at the time of each grant measures that would be meaningful indications of improved company financial performance, and after considering the strategic business portfolio alternatives that had been under review over the past few years.</w:t>
      </w:r>
    </w:p>
    <w:p>
      <w:pPr>
        <w:spacing w:after="0" w:line="147"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Awards of 2016-2018 PSUs are earned over a three-year period and vest according to company performance against two goals measured for our global mortgage insurance businesses and two goals measured for our U.S. life insurance businesses, as noted in the table below. The target number of PSUs noted above is fixed for each participant at the time of grant, and following the performance period any unvested PSUs will be forfeited. The metrics are independently weighted (25% each), such that performance at threshold for all performance measures would result in a 50% payout, and performance for all four performance measures at maximum would result in a 125% payout. The maximum was set at 125% of the target, versus our typical 200% of target, in an effort to preserve more shares available for issuance under our 2012 Omnibus Incentive Plan for one additional annual equity grant to our named executive officers. The Compensation Committee reserves the ability to use negative discretion upon payout of PSUs.</w:t>
      </w:r>
    </w:p>
    <w:p>
      <w:pPr>
        <w:spacing w:after="0" w:line="27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2016-2018 Performance Stock Unit Metrics and Goals</w:t>
      </w:r>
    </w:p>
    <w:p>
      <w:pPr>
        <w:spacing w:after="0" w:line="23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8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220" w:type="dxa"/>
            <w:vAlign w:val="bottom"/>
          </w:tcPr>
          <w:p>
            <w:pPr>
              <w:spacing w:after="0"/>
              <w:rPr>
                <w:sz w:val="14"/>
                <w:szCs w:val="14"/>
                <w:color w:val="auto"/>
              </w:rPr>
            </w:pPr>
          </w:p>
        </w:tc>
        <w:tc>
          <w:tcPr>
            <w:tcW w:w="1280" w:type="dxa"/>
            <w:vAlign w:val="bottom"/>
            <w:gridSpan w:val="2"/>
          </w:tcPr>
          <w:p>
            <w:pPr>
              <w:jc w:val="center"/>
              <w:ind w:right="840"/>
              <w:spacing w:after="0"/>
              <w:rPr>
                <w:sz w:val="20"/>
                <w:szCs w:val="20"/>
                <w:color w:val="auto"/>
              </w:rPr>
            </w:pPr>
            <w:r>
              <w:rPr>
                <w:rFonts w:ascii="Arial" w:cs="Arial" w:eastAsia="Arial" w:hAnsi="Arial"/>
                <w:sz w:val="14"/>
                <w:szCs w:val="14"/>
                <w:b w:val="1"/>
                <w:bCs w:val="1"/>
                <w:color w:val="auto"/>
                <w:w w:val="94"/>
              </w:rPr>
              <w:t>Weight</w:t>
            </w:r>
          </w:p>
        </w:tc>
        <w:tc>
          <w:tcPr>
            <w:tcW w:w="1460" w:type="dxa"/>
            <w:vAlign w:val="bottom"/>
            <w:gridSpan w:val="3"/>
          </w:tcPr>
          <w:p>
            <w:pPr>
              <w:spacing w:after="0"/>
              <w:rPr>
                <w:sz w:val="20"/>
                <w:szCs w:val="20"/>
                <w:color w:val="auto"/>
              </w:rPr>
            </w:pPr>
            <w:r>
              <w:rPr>
                <w:rFonts w:ascii="Arial" w:cs="Arial" w:eastAsia="Arial" w:hAnsi="Arial"/>
                <w:sz w:val="14"/>
                <w:szCs w:val="14"/>
                <w:b w:val="1"/>
                <w:bCs w:val="1"/>
                <w:color w:val="auto"/>
              </w:rPr>
              <w:t>Threshold</w:t>
            </w:r>
          </w:p>
        </w:tc>
        <w:tc>
          <w:tcPr>
            <w:tcW w:w="1300" w:type="dxa"/>
            <w:vAlign w:val="bottom"/>
            <w:gridSpan w:val="3"/>
          </w:tcPr>
          <w:p>
            <w:pPr>
              <w:ind w:left="40"/>
              <w:spacing w:after="0"/>
              <w:rPr>
                <w:sz w:val="20"/>
                <w:szCs w:val="20"/>
                <w:color w:val="auto"/>
              </w:rPr>
            </w:pPr>
            <w:r>
              <w:rPr>
                <w:rFonts w:ascii="Arial" w:cs="Arial" w:eastAsia="Arial" w:hAnsi="Arial"/>
                <w:sz w:val="14"/>
                <w:szCs w:val="14"/>
                <w:b w:val="1"/>
                <w:bCs w:val="1"/>
                <w:color w:val="auto"/>
              </w:rPr>
              <w:t>Target</w:t>
            </w:r>
          </w:p>
        </w:tc>
        <w:tc>
          <w:tcPr>
            <w:tcW w:w="860" w:type="dxa"/>
            <w:vAlign w:val="bottom"/>
            <w:gridSpan w:val="3"/>
          </w:tcPr>
          <w:p>
            <w:pPr>
              <w:ind w:left="20"/>
              <w:spacing w:after="0"/>
              <w:rPr>
                <w:sz w:val="20"/>
                <w:szCs w:val="20"/>
                <w:color w:val="auto"/>
              </w:rPr>
            </w:pPr>
            <w:r>
              <w:rPr>
                <w:rFonts w:ascii="Arial" w:cs="Arial" w:eastAsia="Arial" w:hAnsi="Arial"/>
                <w:sz w:val="14"/>
                <w:szCs w:val="14"/>
                <w:b w:val="1"/>
                <w:bCs w:val="1"/>
                <w:color w:val="auto"/>
              </w:rPr>
              <w:t>Maximum</w:t>
            </w:r>
          </w:p>
        </w:tc>
        <w:tc>
          <w:tcPr>
            <w:tcW w:w="0" w:type="dxa"/>
            <w:vAlign w:val="bottom"/>
          </w:tcPr>
          <w:p>
            <w:pPr>
              <w:spacing w:after="0"/>
              <w:rPr>
                <w:sz w:val="1"/>
                <w:szCs w:val="1"/>
                <w:color w:val="auto"/>
              </w:rPr>
            </w:pPr>
          </w:p>
        </w:tc>
      </w:tr>
      <w:tr>
        <w:trPr>
          <w:trHeight w:val="149"/>
        </w:trPr>
        <w:tc>
          <w:tcPr>
            <w:tcW w:w="56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Performance Measure</w:t>
            </w:r>
          </w:p>
        </w:tc>
        <w:tc>
          <w:tcPr>
            <w:tcW w:w="1280" w:type="dxa"/>
            <w:vAlign w:val="bottom"/>
            <w:gridSpan w:val="2"/>
          </w:tcPr>
          <w:p>
            <w:pPr>
              <w:jc w:val="center"/>
              <w:ind w:right="820"/>
              <w:spacing w:after="0" w:line="149" w:lineRule="exact"/>
              <w:rPr>
                <w:sz w:val="20"/>
                <w:szCs w:val="20"/>
                <w:color w:val="auto"/>
              </w:rPr>
            </w:pPr>
            <w:r>
              <w:rPr>
                <w:rFonts w:ascii="Arial" w:cs="Arial" w:eastAsia="Arial" w:hAnsi="Arial"/>
                <w:sz w:val="14"/>
                <w:szCs w:val="14"/>
                <w:b w:val="1"/>
                <w:bCs w:val="1"/>
                <w:color w:val="auto"/>
                <w:w w:val="99"/>
              </w:rPr>
              <w:t>(% of</w:t>
            </w:r>
          </w:p>
        </w:tc>
        <w:tc>
          <w:tcPr>
            <w:tcW w:w="120" w:type="dxa"/>
            <w:vAlign w:val="bottom"/>
          </w:tcPr>
          <w:p>
            <w:pPr>
              <w:spacing w:after="0"/>
              <w:rPr>
                <w:sz w:val="12"/>
                <w:szCs w:val="12"/>
                <w:color w:val="auto"/>
              </w:rPr>
            </w:pPr>
          </w:p>
        </w:tc>
        <w:tc>
          <w:tcPr>
            <w:tcW w:w="520" w:type="dxa"/>
            <w:vAlign w:val="bottom"/>
          </w:tcPr>
          <w:p>
            <w:pPr>
              <w:jc w:val="right"/>
              <w:ind w:right="74"/>
              <w:spacing w:after="0" w:line="149" w:lineRule="exact"/>
              <w:rPr>
                <w:sz w:val="20"/>
                <w:szCs w:val="20"/>
                <w:color w:val="auto"/>
              </w:rPr>
            </w:pPr>
            <w:r>
              <w:rPr>
                <w:rFonts w:ascii="Arial" w:cs="Arial" w:eastAsia="Arial" w:hAnsi="Arial"/>
                <w:sz w:val="14"/>
                <w:szCs w:val="14"/>
                <w:b w:val="1"/>
                <w:bCs w:val="1"/>
                <w:color w:val="auto"/>
              </w:rPr>
              <w:t>(50%</w:t>
            </w:r>
          </w:p>
        </w:tc>
        <w:tc>
          <w:tcPr>
            <w:tcW w:w="820" w:type="dxa"/>
            <w:vAlign w:val="bottom"/>
          </w:tcPr>
          <w:p>
            <w:pPr>
              <w:spacing w:after="0"/>
              <w:rPr>
                <w:sz w:val="12"/>
                <w:szCs w:val="12"/>
                <w:color w:val="auto"/>
              </w:rPr>
            </w:pPr>
          </w:p>
        </w:tc>
        <w:tc>
          <w:tcPr>
            <w:tcW w:w="48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(100%</w:t>
            </w: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ind w:right="34"/>
              <w:spacing w:after="0" w:line="149" w:lineRule="exact"/>
              <w:rPr>
                <w:sz w:val="20"/>
                <w:szCs w:val="20"/>
                <w:color w:val="auto"/>
              </w:rPr>
            </w:pPr>
            <w:r>
              <w:rPr>
                <w:rFonts w:ascii="Arial" w:cs="Arial" w:eastAsia="Arial" w:hAnsi="Arial"/>
                <w:sz w:val="14"/>
                <w:szCs w:val="14"/>
                <w:b w:val="1"/>
                <w:bCs w:val="1"/>
                <w:color w:val="auto"/>
                <w:w w:val="98"/>
              </w:rPr>
              <w:t>(125%</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5600" w:type="dxa"/>
            <w:vAlign w:val="bottom"/>
            <w:gridSpan w:val="3"/>
            <w:vMerge w:val="continue"/>
          </w:tcPr>
          <w:p>
            <w:pPr>
              <w:spacing w:after="0"/>
              <w:rPr>
                <w:sz w:val="14"/>
                <w:szCs w:val="14"/>
                <w:color w:val="auto"/>
              </w:rPr>
            </w:pPr>
          </w:p>
        </w:tc>
        <w:tc>
          <w:tcPr>
            <w:tcW w:w="1280" w:type="dxa"/>
            <w:vAlign w:val="bottom"/>
            <w:gridSpan w:val="2"/>
          </w:tcPr>
          <w:p>
            <w:pPr>
              <w:jc w:val="center"/>
              <w:ind w:right="820"/>
              <w:spacing w:after="0"/>
              <w:rPr>
                <w:sz w:val="20"/>
                <w:szCs w:val="20"/>
                <w:color w:val="auto"/>
              </w:rPr>
            </w:pPr>
            <w:r>
              <w:rPr>
                <w:rFonts w:ascii="Arial" w:cs="Arial" w:eastAsia="Arial" w:hAnsi="Arial"/>
                <w:sz w:val="14"/>
                <w:szCs w:val="14"/>
                <w:b w:val="1"/>
                <w:bCs w:val="1"/>
                <w:color w:val="auto"/>
                <w:w w:val="96"/>
              </w:rPr>
              <w:t>Target)</w:t>
            </w:r>
          </w:p>
        </w:tc>
        <w:tc>
          <w:tcPr>
            <w:tcW w:w="1460" w:type="dxa"/>
            <w:vAlign w:val="bottom"/>
            <w:gridSpan w:val="3"/>
          </w:tcPr>
          <w:p>
            <w:pPr>
              <w:ind w:left="80"/>
              <w:spacing w:after="0"/>
              <w:rPr>
                <w:sz w:val="20"/>
                <w:szCs w:val="20"/>
                <w:color w:val="auto"/>
              </w:rPr>
            </w:pPr>
            <w:r>
              <w:rPr>
                <w:rFonts w:ascii="Arial" w:cs="Arial" w:eastAsia="Arial" w:hAnsi="Arial"/>
                <w:sz w:val="14"/>
                <w:szCs w:val="14"/>
                <w:b w:val="1"/>
                <w:bCs w:val="1"/>
                <w:color w:val="auto"/>
              </w:rPr>
              <w:t>Payout)</w:t>
            </w:r>
          </w:p>
        </w:tc>
        <w:tc>
          <w:tcPr>
            <w:tcW w:w="1300" w:type="dxa"/>
            <w:vAlign w:val="bottom"/>
            <w:gridSpan w:val="3"/>
          </w:tcPr>
          <w:p>
            <w:pPr>
              <w:spacing w:after="0"/>
              <w:rPr>
                <w:sz w:val="20"/>
                <w:szCs w:val="20"/>
                <w:color w:val="auto"/>
              </w:rPr>
            </w:pPr>
            <w:r>
              <w:rPr>
                <w:rFonts w:ascii="Arial" w:cs="Arial" w:eastAsia="Arial" w:hAnsi="Arial"/>
                <w:sz w:val="14"/>
                <w:szCs w:val="14"/>
                <w:b w:val="1"/>
                <w:bCs w:val="1"/>
                <w:color w:val="auto"/>
              </w:rPr>
              <w:t>Payout)</w:t>
            </w:r>
          </w:p>
        </w:tc>
        <w:tc>
          <w:tcPr>
            <w:tcW w:w="860" w:type="dxa"/>
            <w:vAlign w:val="bottom"/>
            <w:gridSpan w:val="3"/>
          </w:tcPr>
          <w:p>
            <w:pPr>
              <w:ind w:left="100"/>
              <w:spacing w:after="0"/>
              <w:rPr>
                <w:sz w:val="20"/>
                <w:szCs w:val="20"/>
                <w:color w:val="auto"/>
              </w:rPr>
            </w:pPr>
            <w:r>
              <w:rPr>
                <w:rFonts w:ascii="Arial" w:cs="Arial" w:eastAsia="Arial" w:hAnsi="Arial"/>
                <w:sz w:val="14"/>
                <w:szCs w:val="14"/>
                <w:b w:val="1"/>
                <w:bCs w:val="1"/>
                <w:color w:val="auto"/>
              </w:rPr>
              <w:t>Payout)</w:t>
            </w:r>
          </w:p>
        </w:tc>
        <w:tc>
          <w:tcPr>
            <w:tcW w:w="0" w:type="dxa"/>
            <w:vAlign w:val="bottom"/>
          </w:tcPr>
          <w:p>
            <w:pPr>
              <w:spacing w:after="0"/>
              <w:rPr>
                <w:sz w:val="1"/>
                <w:szCs w:val="1"/>
                <w:color w:val="auto"/>
              </w:rPr>
            </w:pPr>
          </w:p>
        </w:tc>
      </w:tr>
      <w:tr>
        <w:trPr>
          <w:trHeight w:val="182"/>
        </w:trPr>
        <w:tc>
          <w:tcPr>
            <w:tcW w:w="800" w:type="dxa"/>
            <w:vAlign w:val="bottom"/>
            <w:tcBorders>
              <w:top w:val="single" w:sz="8" w:color="auto"/>
            </w:tcBorders>
            <w:shd w:val="clear" w:color="auto" w:fill="CCEEFF"/>
          </w:tcPr>
          <w:p>
            <w:pPr>
              <w:spacing w:after="0" w:line="182" w:lineRule="exact"/>
              <w:rPr>
                <w:sz w:val="20"/>
                <w:szCs w:val="20"/>
                <w:color w:val="auto"/>
              </w:rPr>
            </w:pPr>
            <w:r>
              <w:rPr>
                <w:rFonts w:ascii="Arial" w:cs="Arial" w:eastAsia="Arial" w:hAnsi="Arial"/>
                <w:sz w:val="18"/>
                <w:szCs w:val="18"/>
                <w:color w:val="auto"/>
                <w:w w:val="90"/>
              </w:rPr>
              <w:t>2016-2018</w:t>
            </w:r>
          </w:p>
        </w:tc>
        <w:tc>
          <w:tcPr>
            <w:tcW w:w="580" w:type="dxa"/>
            <w:vAlign w:val="bottom"/>
            <w:tcBorders>
              <w:top w:val="single" w:sz="8" w:color="auto"/>
            </w:tcBorders>
            <w:shd w:val="clear" w:color="auto" w:fill="CCEEFF"/>
          </w:tcPr>
          <w:p>
            <w:pPr>
              <w:ind w:left="40"/>
              <w:spacing w:after="0" w:line="182" w:lineRule="exact"/>
              <w:rPr>
                <w:sz w:val="20"/>
                <w:szCs w:val="20"/>
                <w:color w:val="auto"/>
              </w:rPr>
            </w:pPr>
            <w:r>
              <w:rPr>
                <w:rFonts w:ascii="Arial" w:cs="Arial" w:eastAsia="Arial" w:hAnsi="Arial"/>
                <w:sz w:val="17"/>
                <w:szCs w:val="17"/>
                <w:color w:val="auto"/>
                <w:w w:val="72"/>
              </w:rPr>
              <w:t>Mortgage</w:t>
            </w:r>
          </w:p>
        </w:tc>
        <w:tc>
          <w:tcPr>
            <w:tcW w:w="4220" w:type="dxa"/>
            <w:vAlign w:val="bottom"/>
            <w:tcBorders>
              <w:top w:val="single" w:sz="8" w:color="CCEEFF"/>
            </w:tcBorders>
            <w:shd w:val="clear" w:color="auto" w:fill="CCEEFF"/>
          </w:tcPr>
          <w:p>
            <w:pPr>
              <w:ind w:left="200"/>
              <w:spacing w:after="0" w:line="182" w:lineRule="exact"/>
              <w:rPr>
                <w:sz w:val="20"/>
                <w:szCs w:val="20"/>
                <w:color w:val="auto"/>
              </w:rPr>
            </w:pPr>
            <w:r>
              <w:rPr>
                <w:rFonts w:ascii="Arial" w:cs="Arial" w:eastAsia="Arial" w:hAnsi="Arial"/>
                <w:sz w:val="18"/>
                <w:szCs w:val="18"/>
                <w:color w:val="auto"/>
              </w:rPr>
              <w:t>Insurance Average Annual Adjusted</w:t>
            </w:r>
          </w:p>
        </w:tc>
        <w:tc>
          <w:tcPr>
            <w:tcW w:w="460" w:type="dxa"/>
            <w:vAlign w:val="bottom"/>
            <w:tcBorders>
              <w:top w:val="single" w:sz="8" w:color="auto"/>
            </w:tcBorders>
            <w:shd w:val="clear" w:color="auto" w:fill="CCEEFF"/>
          </w:tcPr>
          <w:p>
            <w:pPr>
              <w:spacing w:after="0"/>
              <w:rPr>
                <w:sz w:val="15"/>
                <w:szCs w:val="15"/>
                <w:color w:val="auto"/>
              </w:rPr>
            </w:pPr>
          </w:p>
        </w:tc>
        <w:tc>
          <w:tcPr>
            <w:tcW w:w="82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82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spacing w:after="0"/>
              <w:rPr>
                <w:sz w:val="15"/>
                <w:szCs w:val="15"/>
                <w:color w:val="auto"/>
              </w:rPr>
            </w:pPr>
          </w:p>
        </w:tc>
        <w:tc>
          <w:tcPr>
            <w:tcW w:w="320" w:type="dxa"/>
            <w:vAlign w:val="bottom"/>
            <w:tcBorders>
              <w:top w:val="single" w:sz="8" w:color="auto"/>
            </w:tcBorders>
            <w:shd w:val="clear" w:color="auto" w:fill="CCEEFF"/>
          </w:tcPr>
          <w:p>
            <w:pPr>
              <w:spacing w:after="0"/>
              <w:rPr>
                <w:sz w:val="15"/>
                <w:szCs w:val="15"/>
                <w:color w:val="auto"/>
              </w:rPr>
            </w:pPr>
          </w:p>
        </w:tc>
        <w:tc>
          <w:tcPr>
            <w:tcW w:w="82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540" w:type="dxa"/>
            <w:vAlign w:val="bottom"/>
            <w:tcBorders>
              <w:top w:val="single" w:sz="8" w:color="auto"/>
            </w:tcBorders>
            <w:shd w:val="clear" w:color="auto" w:fill="CCEEFF"/>
          </w:tcPr>
          <w:p>
            <w:pPr>
              <w:spacing w:after="0"/>
              <w:rPr>
                <w:sz w:val="15"/>
                <w:szCs w:val="15"/>
                <w:color w:val="auto"/>
              </w:rPr>
            </w:pPr>
          </w:p>
        </w:tc>
        <w:tc>
          <w:tcPr>
            <w:tcW w:w="200" w:type="dxa"/>
            <w:vAlign w:val="bottom"/>
            <w:tcBorders>
              <w:top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560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 xml:space="preserve">Operating Income ($MM) </w:t>
            </w:r>
            <w:r>
              <w:rPr>
                <w:rFonts w:ascii="Arial" w:cs="Arial" w:eastAsia="Arial" w:hAnsi="Arial"/>
                <w:sz w:val="15"/>
                <w:szCs w:val="15"/>
                <w:color w:val="auto"/>
              </w:rPr>
              <w:t>(1)</w:t>
            </w:r>
          </w:p>
        </w:tc>
        <w:tc>
          <w:tcPr>
            <w:tcW w:w="128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25%</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340" w:type="dxa"/>
            <w:vAlign w:val="bottom"/>
            <w:gridSpan w:val="2"/>
            <w:shd w:val="clear" w:color="auto" w:fill="CCEEFF"/>
          </w:tcPr>
          <w:p>
            <w:pPr>
              <w:jc w:val="right"/>
              <w:ind w:right="820"/>
              <w:spacing w:after="0"/>
              <w:rPr>
                <w:sz w:val="20"/>
                <w:szCs w:val="20"/>
                <w:color w:val="auto"/>
              </w:rPr>
            </w:pPr>
            <w:r>
              <w:rPr>
                <w:rFonts w:ascii="Arial" w:cs="Arial" w:eastAsia="Arial" w:hAnsi="Arial"/>
                <w:sz w:val="18"/>
                <w:szCs w:val="18"/>
                <w:color w:val="auto"/>
              </w:rPr>
              <w:t>300</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820"/>
              <w:spacing w:after="0"/>
              <w:rPr>
                <w:sz w:val="20"/>
                <w:szCs w:val="20"/>
                <w:color w:val="auto"/>
              </w:rPr>
            </w:pPr>
            <w:r>
              <w:rPr>
                <w:rFonts w:ascii="Arial" w:cs="Arial" w:eastAsia="Arial" w:hAnsi="Arial"/>
                <w:sz w:val="18"/>
                <w:szCs w:val="18"/>
                <w:color w:val="auto"/>
                <w:w w:val="99"/>
              </w:rPr>
              <w:t>410</w:t>
            </w:r>
          </w:p>
        </w:tc>
        <w:tc>
          <w:tcPr>
            <w:tcW w:w="120" w:type="dxa"/>
            <w:vAlign w:val="bottom"/>
            <w:shd w:val="clear" w:color="auto" w:fill="CCEEFF"/>
          </w:tcPr>
          <w:p>
            <w:pPr>
              <w:ind w:left="20"/>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510</w:t>
            </w:r>
          </w:p>
        </w:tc>
        <w:tc>
          <w:tcPr>
            <w:tcW w:w="0" w:type="dxa"/>
            <w:vAlign w:val="bottom"/>
          </w:tcPr>
          <w:p>
            <w:pPr>
              <w:spacing w:after="0"/>
              <w:rPr>
                <w:sz w:val="1"/>
                <w:szCs w:val="1"/>
                <w:color w:val="auto"/>
              </w:rPr>
            </w:pPr>
          </w:p>
        </w:tc>
      </w:tr>
      <w:tr>
        <w:trPr>
          <w:trHeight w:val="202"/>
        </w:trPr>
        <w:tc>
          <w:tcPr>
            <w:tcW w:w="800" w:type="dxa"/>
            <w:vAlign w:val="bottom"/>
          </w:tcPr>
          <w:p>
            <w:pPr>
              <w:spacing w:after="0" w:line="201" w:lineRule="exact"/>
              <w:rPr>
                <w:sz w:val="20"/>
                <w:szCs w:val="20"/>
                <w:color w:val="auto"/>
              </w:rPr>
            </w:pPr>
            <w:r>
              <w:rPr>
                <w:rFonts w:ascii="Arial" w:cs="Arial" w:eastAsia="Arial" w:hAnsi="Arial"/>
                <w:sz w:val="18"/>
                <w:szCs w:val="18"/>
                <w:color w:val="auto"/>
                <w:w w:val="90"/>
              </w:rPr>
              <w:t>2016-2018</w:t>
            </w:r>
          </w:p>
        </w:tc>
        <w:tc>
          <w:tcPr>
            <w:tcW w:w="4800" w:type="dxa"/>
            <w:vAlign w:val="bottom"/>
            <w:gridSpan w:val="2"/>
          </w:tcPr>
          <w:p>
            <w:pPr>
              <w:ind w:left="40"/>
              <w:spacing w:after="0" w:line="201" w:lineRule="exact"/>
              <w:rPr>
                <w:sz w:val="20"/>
                <w:szCs w:val="20"/>
                <w:color w:val="auto"/>
              </w:rPr>
            </w:pPr>
            <w:r>
              <w:rPr>
                <w:rFonts w:ascii="Arial" w:cs="Arial" w:eastAsia="Arial" w:hAnsi="Arial"/>
                <w:sz w:val="18"/>
                <w:szCs w:val="18"/>
                <w:color w:val="auto"/>
              </w:rPr>
              <w:t>Mortgage Insurance Average Annual Adjusted</w:t>
            </w:r>
          </w:p>
        </w:tc>
        <w:tc>
          <w:tcPr>
            <w:tcW w:w="4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600" w:type="dxa"/>
            <w:vAlign w:val="bottom"/>
            <w:gridSpan w:val="3"/>
          </w:tcPr>
          <w:p>
            <w:pPr>
              <w:ind w:left="180"/>
              <w:spacing w:after="0"/>
              <w:rPr>
                <w:sz w:val="20"/>
                <w:szCs w:val="20"/>
                <w:color w:val="auto"/>
              </w:rPr>
            </w:pPr>
            <w:r>
              <w:rPr>
                <w:rFonts w:ascii="Arial" w:cs="Arial" w:eastAsia="Arial" w:hAnsi="Arial"/>
                <w:sz w:val="18"/>
                <w:szCs w:val="18"/>
                <w:color w:val="auto"/>
              </w:rPr>
              <w:t xml:space="preserve">Operating ROE (unlevered) </w:t>
            </w:r>
            <w:r>
              <w:rPr>
                <w:rFonts w:ascii="Arial" w:cs="Arial" w:eastAsia="Arial" w:hAnsi="Arial"/>
                <w:sz w:val="15"/>
                <w:szCs w:val="15"/>
                <w:color w:val="auto"/>
              </w:rPr>
              <w:t>(2)</w:t>
            </w:r>
          </w:p>
        </w:tc>
        <w:tc>
          <w:tcPr>
            <w:tcW w:w="1280" w:type="dxa"/>
            <w:vAlign w:val="bottom"/>
            <w:gridSpan w:val="2"/>
          </w:tcPr>
          <w:p>
            <w:pPr>
              <w:jc w:val="right"/>
              <w:ind w:right="680"/>
              <w:spacing w:after="0"/>
              <w:rPr>
                <w:sz w:val="20"/>
                <w:szCs w:val="20"/>
                <w:color w:val="auto"/>
              </w:rPr>
            </w:pPr>
            <w:r>
              <w:rPr>
                <w:rFonts w:ascii="Arial" w:cs="Arial" w:eastAsia="Arial" w:hAnsi="Arial"/>
                <w:sz w:val="18"/>
                <w:szCs w:val="18"/>
                <w:color w:val="auto"/>
              </w:rPr>
              <w:t>25%</w:t>
            </w:r>
          </w:p>
        </w:tc>
        <w:tc>
          <w:tcPr>
            <w:tcW w:w="120" w:type="dxa"/>
            <w:vAlign w:val="bottom"/>
          </w:tcPr>
          <w:p>
            <w:pPr>
              <w:spacing w:after="0"/>
              <w:rPr>
                <w:sz w:val="20"/>
                <w:szCs w:val="20"/>
                <w:color w:val="auto"/>
              </w:rPr>
            </w:pPr>
          </w:p>
        </w:tc>
        <w:tc>
          <w:tcPr>
            <w:tcW w:w="1340" w:type="dxa"/>
            <w:vAlign w:val="bottom"/>
            <w:gridSpan w:val="2"/>
          </w:tcPr>
          <w:p>
            <w:pPr>
              <w:jc w:val="right"/>
              <w:ind w:right="680"/>
              <w:spacing w:after="0"/>
              <w:rPr>
                <w:sz w:val="20"/>
                <w:szCs w:val="20"/>
                <w:color w:val="auto"/>
              </w:rPr>
            </w:pPr>
            <w:r>
              <w:rPr>
                <w:rFonts w:ascii="Arial" w:cs="Arial" w:eastAsia="Arial" w:hAnsi="Arial"/>
                <w:sz w:val="18"/>
                <w:szCs w:val="18"/>
                <w:color w:val="auto"/>
              </w:rPr>
              <w:t>6.8%</w:t>
            </w:r>
          </w:p>
        </w:tc>
        <w:tc>
          <w:tcPr>
            <w:tcW w:w="160" w:type="dxa"/>
            <w:vAlign w:val="bottom"/>
          </w:tcPr>
          <w:p>
            <w:pPr>
              <w:spacing w:after="0"/>
              <w:rPr>
                <w:sz w:val="20"/>
                <w:szCs w:val="20"/>
                <w:color w:val="auto"/>
              </w:rPr>
            </w:pPr>
          </w:p>
        </w:tc>
        <w:tc>
          <w:tcPr>
            <w:tcW w:w="1140" w:type="dxa"/>
            <w:vAlign w:val="bottom"/>
            <w:gridSpan w:val="2"/>
          </w:tcPr>
          <w:p>
            <w:pPr>
              <w:jc w:val="right"/>
              <w:ind w:right="660"/>
              <w:spacing w:after="0"/>
              <w:rPr>
                <w:sz w:val="20"/>
                <w:szCs w:val="20"/>
                <w:color w:val="auto"/>
              </w:rPr>
            </w:pPr>
            <w:r>
              <w:rPr>
                <w:rFonts w:ascii="Arial" w:cs="Arial" w:eastAsia="Arial" w:hAnsi="Arial"/>
                <w:sz w:val="18"/>
                <w:szCs w:val="18"/>
                <w:color w:val="auto"/>
              </w:rPr>
              <w:t>8.8%</w:t>
            </w:r>
          </w:p>
        </w:tc>
        <w:tc>
          <w:tcPr>
            <w:tcW w:w="120" w:type="dxa"/>
            <w:vAlign w:val="bottom"/>
          </w:tcPr>
          <w:p>
            <w:pPr>
              <w:spacing w:after="0"/>
              <w:rPr>
                <w:sz w:val="20"/>
                <w:szCs w:val="20"/>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8"/>
                <w:szCs w:val="18"/>
                <w:color w:val="auto"/>
              </w:rPr>
              <w:t>10.6%</w:t>
            </w:r>
          </w:p>
        </w:tc>
        <w:tc>
          <w:tcPr>
            <w:tcW w:w="0" w:type="dxa"/>
            <w:vAlign w:val="bottom"/>
          </w:tcPr>
          <w:p>
            <w:pPr>
              <w:spacing w:after="0"/>
              <w:rPr>
                <w:sz w:val="1"/>
                <w:szCs w:val="1"/>
                <w:color w:val="auto"/>
              </w:rPr>
            </w:pPr>
          </w:p>
        </w:tc>
      </w:tr>
      <w:tr>
        <w:trPr>
          <w:trHeight w:val="216"/>
        </w:trPr>
        <w:tc>
          <w:tcPr>
            <w:tcW w:w="56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 xml:space="preserve">2018 U.S. Life Insurance Expense ($MM) </w:t>
            </w:r>
            <w:r>
              <w:rPr>
                <w:rFonts w:ascii="Arial" w:cs="Arial" w:eastAsia="Arial" w:hAnsi="Arial"/>
                <w:sz w:val="15"/>
                <w:szCs w:val="15"/>
                <w:color w:val="auto"/>
              </w:rPr>
              <w:t>(3)</w:t>
            </w:r>
          </w:p>
        </w:tc>
        <w:tc>
          <w:tcPr>
            <w:tcW w:w="128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25%</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340" w:type="dxa"/>
            <w:vAlign w:val="bottom"/>
            <w:gridSpan w:val="2"/>
            <w:shd w:val="clear" w:color="auto" w:fill="CCEEFF"/>
          </w:tcPr>
          <w:p>
            <w:pPr>
              <w:jc w:val="right"/>
              <w:ind w:right="820"/>
              <w:spacing w:after="0"/>
              <w:rPr>
                <w:sz w:val="20"/>
                <w:szCs w:val="20"/>
                <w:color w:val="auto"/>
              </w:rPr>
            </w:pPr>
            <w:r>
              <w:rPr>
                <w:rFonts w:ascii="Arial" w:cs="Arial" w:eastAsia="Arial" w:hAnsi="Arial"/>
                <w:sz w:val="18"/>
                <w:szCs w:val="18"/>
                <w:color w:val="auto"/>
              </w:rPr>
              <w:t>460</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820"/>
              <w:spacing w:after="0"/>
              <w:rPr>
                <w:sz w:val="20"/>
                <w:szCs w:val="20"/>
                <w:color w:val="auto"/>
              </w:rPr>
            </w:pPr>
            <w:r>
              <w:rPr>
                <w:rFonts w:ascii="Arial" w:cs="Arial" w:eastAsia="Arial" w:hAnsi="Arial"/>
                <w:sz w:val="18"/>
                <w:szCs w:val="18"/>
                <w:color w:val="auto"/>
                <w:w w:val="99"/>
              </w:rPr>
              <w:t>425</w:t>
            </w:r>
          </w:p>
        </w:tc>
        <w:tc>
          <w:tcPr>
            <w:tcW w:w="120" w:type="dxa"/>
            <w:vAlign w:val="bottom"/>
            <w:shd w:val="clear" w:color="auto" w:fill="CCEEFF"/>
          </w:tcPr>
          <w:p>
            <w:pPr>
              <w:ind w:left="20"/>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400</w:t>
            </w:r>
          </w:p>
        </w:tc>
        <w:tc>
          <w:tcPr>
            <w:tcW w:w="0" w:type="dxa"/>
            <w:vAlign w:val="bottom"/>
          </w:tcPr>
          <w:p>
            <w:pPr>
              <w:spacing w:after="0"/>
              <w:rPr>
                <w:sz w:val="1"/>
                <w:szCs w:val="1"/>
                <w:color w:val="auto"/>
              </w:rPr>
            </w:pPr>
          </w:p>
        </w:tc>
      </w:tr>
      <w:tr>
        <w:trPr>
          <w:trHeight w:val="230"/>
        </w:trPr>
        <w:tc>
          <w:tcPr>
            <w:tcW w:w="800" w:type="dxa"/>
            <w:vAlign w:val="bottom"/>
          </w:tcPr>
          <w:p>
            <w:pPr>
              <w:spacing w:after="0"/>
              <w:rPr>
                <w:sz w:val="20"/>
                <w:szCs w:val="20"/>
                <w:color w:val="auto"/>
              </w:rPr>
            </w:pPr>
            <w:r>
              <w:rPr>
                <w:rFonts w:ascii="Arial" w:cs="Arial" w:eastAsia="Arial" w:hAnsi="Arial"/>
                <w:sz w:val="18"/>
                <w:szCs w:val="18"/>
                <w:color w:val="auto"/>
                <w:w w:val="90"/>
              </w:rPr>
              <w:t>2016-2018</w:t>
            </w:r>
          </w:p>
        </w:tc>
        <w:tc>
          <w:tcPr>
            <w:tcW w:w="4800" w:type="dxa"/>
            <w:vAlign w:val="bottom"/>
            <w:gridSpan w:val="2"/>
          </w:tcPr>
          <w:p>
            <w:pPr>
              <w:ind w:left="40"/>
              <w:spacing w:after="0"/>
              <w:rPr>
                <w:sz w:val="20"/>
                <w:szCs w:val="20"/>
                <w:color w:val="auto"/>
              </w:rPr>
            </w:pPr>
            <w:r>
              <w:rPr>
                <w:rFonts w:ascii="Arial" w:cs="Arial" w:eastAsia="Arial" w:hAnsi="Arial"/>
                <w:sz w:val="18"/>
                <w:szCs w:val="18"/>
                <w:color w:val="auto"/>
              </w:rPr>
              <w:t xml:space="preserve">Cumulative LTC In-Force Rate Actions ($MM) </w:t>
            </w:r>
            <w:r>
              <w:rPr>
                <w:rFonts w:ascii="Arial" w:cs="Arial" w:eastAsia="Arial" w:hAnsi="Arial"/>
                <w:sz w:val="15"/>
                <w:szCs w:val="15"/>
                <w:color w:val="auto"/>
              </w:rPr>
              <w:t>(4)</w:t>
            </w:r>
          </w:p>
        </w:tc>
        <w:tc>
          <w:tcPr>
            <w:tcW w:w="1280" w:type="dxa"/>
            <w:vAlign w:val="bottom"/>
            <w:gridSpan w:val="2"/>
          </w:tcPr>
          <w:p>
            <w:pPr>
              <w:jc w:val="right"/>
              <w:ind w:right="680"/>
              <w:spacing w:after="0"/>
              <w:rPr>
                <w:sz w:val="20"/>
                <w:szCs w:val="20"/>
                <w:color w:val="auto"/>
              </w:rPr>
            </w:pPr>
            <w:r>
              <w:rPr>
                <w:rFonts w:ascii="Arial" w:cs="Arial" w:eastAsia="Arial" w:hAnsi="Arial"/>
                <w:sz w:val="18"/>
                <w:szCs w:val="18"/>
                <w:color w:val="auto"/>
              </w:rPr>
              <w:t>25%</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340" w:type="dxa"/>
            <w:vAlign w:val="bottom"/>
            <w:gridSpan w:val="2"/>
          </w:tcPr>
          <w:p>
            <w:pPr>
              <w:jc w:val="right"/>
              <w:ind w:right="820"/>
              <w:spacing w:after="0"/>
              <w:rPr>
                <w:sz w:val="20"/>
                <w:szCs w:val="20"/>
                <w:color w:val="auto"/>
              </w:rPr>
            </w:pPr>
            <w:r>
              <w:rPr>
                <w:rFonts w:ascii="Arial" w:cs="Arial" w:eastAsia="Arial" w:hAnsi="Arial"/>
                <w:sz w:val="18"/>
                <w:szCs w:val="18"/>
                <w:color w:val="auto"/>
              </w:rPr>
              <w:t>525</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820"/>
              <w:spacing w:after="0"/>
              <w:rPr>
                <w:sz w:val="20"/>
                <w:szCs w:val="20"/>
                <w:color w:val="auto"/>
              </w:rPr>
            </w:pPr>
            <w:r>
              <w:rPr>
                <w:rFonts w:ascii="Arial" w:cs="Arial" w:eastAsia="Arial" w:hAnsi="Arial"/>
                <w:sz w:val="18"/>
                <w:szCs w:val="18"/>
                <w:color w:val="auto"/>
                <w:w w:val="99"/>
              </w:rPr>
              <w:t>585</w:t>
            </w:r>
          </w:p>
        </w:tc>
        <w:tc>
          <w:tcPr>
            <w:tcW w:w="120" w:type="dxa"/>
            <w:vAlign w:val="bottom"/>
          </w:tcPr>
          <w:p>
            <w:pPr>
              <w:ind w:left="20"/>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200"/>
              <w:spacing w:after="0"/>
              <w:rPr>
                <w:sz w:val="20"/>
                <w:szCs w:val="20"/>
                <w:color w:val="auto"/>
              </w:rPr>
            </w:pPr>
            <w:r>
              <w:rPr>
                <w:rFonts w:ascii="Arial" w:cs="Arial" w:eastAsia="Arial" w:hAnsi="Arial"/>
                <w:sz w:val="18"/>
                <w:szCs w:val="18"/>
                <w:color w:val="auto"/>
              </w:rPr>
              <w:t>645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76835</wp:posOffset>
            </wp:positionV>
            <wp:extent cx="72898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40" w:lineRule="exact"/>
        <w:rPr>
          <w:sz w:val="20"/>
          <w:szCs w:val="20"/>
          <w:color w:val="auto"/>
        </w:rPr>
      </w:pPr>
    </w:p>
    <w:p>
      <w:pPr>
        <w:ind w:left="460" w:hanging="452"/>
        <w:spacing w:after="0" w:line="268" w:lineRule="auto"/>
        <w:tabs>
          <w:tab w:leader="none" w:pos="460" w:val="left"/>
        </w:tabs>
        <w:numPr>
          <w:ilvl w:val="0"/>
          <w:numId w:val="35"/>
        </w:numPr>
        <w:rPr>
          <w:rFonts w:ascii="Arial" w:cs="Arial" w:eastAsia="Arial" w:hAnsi="Arial"/>
          <w:sz w:val="14"/>
          <w:szCs w:val="14"/>
          <w:color w:val="auto"/>
        </w:rPr>
      </w:pPr>
      <w:r>
        <w:rPr>
          <w:rFonts w:ascii="Arial" w:cs="Arial" w:eastAsia="Arial" w:hAnsi="Arial"/>
          <w:sz w:val="17"/>
          <w:szCs w:val="17"/>
          <w:color w:val="auto"/>
        </w:rPr>
        <w:t>Sum of U.S., Canada and Australia mortgage insurance businesses’ U.S. GAAP annual income (loss) from continuing operations excluding the after-tax effects of income attributable to non-controlling interests, net investment gains (losses), goodwill impairments, gains (losses) on the sale of businesses, gains (losses) on the early extinguishment of debt, gains (losses) on insurance block transactions and infrequent or unusual non-operating income. Adjusted operating income is translated at 0.74 foreign exchange rates for Australia &amp; 0.77 for Canada and based on assumed ownership levels of 52.0% for Australia mortgage insurance business and 57.2% Canada mortgage insurance business.</w:t>
      </w:r>
    </w:p>
    <w:p>
      <w:pPr>
        <w:spacing w:after="0" w:line="3" w:lineRule="exact"/>
        <w:rPr>
          <w:rFonts w:ascii="Arial" w:cs="Arial" w:eastAsia="Arial" w:hAnsi="Arial"/>
          <w:sz w:val="14"/>
          <w:szCs w:val="14"/>
          <w:color w:val="auto"/>
        </w:rPr>
      </w:pPr>
    </w:p>
    <w:p>
      <w:pPr>
        <w:ind w:left="460" w:hanging="452"/>
        <w:spacing w:after="0" w:line="250" w:lineRule="auto"/>
        <w:tabs>
          <w:tab w:leader="none" w:pos="460" w:val="left"/>
        </w:tabs>
        <w:numPr>
          <w:ilvl w:val="0"/>
          <w:numId w:val="35"/>
        </w:numPr>
        <w:rPr>
          <w:rFonts w:ascii="Arial" w:cs="Arial" w:eastAsia="Arial" w:hAnsi="Arial"/>
          <w:sz w:val="15"/>
          <w:szCs w:val="15"/>
          <w:color w:val="auto"/>
        </w:rPr>
      </w:pPr>
      <w:r>
        <w:rPr>
          <w:rFonts w:ascii="Arial" w:cs="Arial" w:eastAsia="Arial" w:hAnsi="Arial"/>
          <w:sz w:val="18"/>
          <w:szCs w:val="18"/>
          <w:color w:val="auto"/>
        </w:rPr>
        <w:t>Annual adjusted operating income excluding our portion of interest expense related to debt using our ownership percentage of 57.2% for Canada and 52.0% for Australia, divided by average ending Genworth Financial, Inc.’s stockholders’ equity for U.S., Canada, and Australia, excluding accumulated other comprehensive income (loss) and our portion of debt.</w:t>
      </w:r>
    </w:p>
    <w:p>
      <w:pPr>
        <w:spacing w:after="0" w:line="1" w:lineRule="exact"/>
        <w:rPr>
          <w:rFonts w:ascii="Arial" w:cs="Arial" w:eastAsia="Arial" w:hAnsi="Arial"/>
          <w:sz w:val="15"/>
          <w:szCs w:val="15"/>
          <w:color w:val="auto"/>
        </w:rPr>
      </w:pPr>
    </w:p>
    <w:p>
      <w:pPr>
        <w:ind w:left="460" w:right="420" w:hanging="452"/>
        <w:spacing w:after="0" w:line="281" w:lineRule="auto"/>
        <w:tabs>
          <w:tab w:leader="none" w:pos="460" w:val="left"/>
        </w:tabs>
        <w:numPr>
          <w:ilvl w:val="0"/>
          <w:numId w:val="35"/>
        </w:numPr>
        <w:rPr>
          <w:rFonts w:ascii="Arial" w:cs="Arial" w:eastAsia="Arial" w:hAnsi="Arial"/>
          <w:sz w:val="14"/>
          <w:szCs w:val="14"/>
          <w:color w:val="auto"/>
        </w:rPr>
      </w:pPr>
      <w:r>
        <w:rPr>
          <w:rFonts w:ascii="Arial" w:cs="Arial" w:eastAsia="Arial" w:hAnsi="Arial"/>
          <w:sz w:val="16"/>
          <w:szCs w:val="16"/>
          <w:color w:val="auto"/>
        </w:rPr>
        <w:t>Target 2018 expenses are the gross Selling, General and Administrative expenses, including claim administration costs and software amortization, excluding certain costs for retention, actuarial staff augmentation, and costs or settlements associated with pending litigation. Expenses for an immediate annuities product offering and costs associated with strategic transactions will also be excluded from this measure.</w:t>
      </w:r>
    </w:p>
    <w:p>
      <w:pPr>
        <w:spacing w:after="0" w:line="2" w:lineRule="exact"/>
        <w:rPr>
          <w:rFonts w:ascii="Arial" w:cs="Arial" w:eastAsia="Arial" w:hAnsi="Arial"/>
          <w:sz w:val="14"/>
          <w:szCs w:val="14"/>
          <w:color w:val="auto"/>
        </w:rPr>
      </w:pPr>
    </w:p>
    <w:p>
      <w:pPr>
        <w:ind w:left="460" w:right="300" w:hanging="452"/>
        <w:spacing w:after="0" w:line="261" w:lineRule="auto"/>
        <w:tabs>
          <w:tab w:leader="none" w:pos="460" w:val="left"/>
        </w:tabs>
        <w:numPr>
          <w:ilvl w:val="0"/>
          <w:numId w:val="35"/>
        </w:numPr>
        <w:rPr>
          <w:rFonts w:ascii="Arial" w:cs="Arial" w:eastAsia="Arial" w:hAnsi="Arial"/>
          <w:sz w:val="15"/>
          <w:szCs w:val="15"/>
          <w:color w:val="auto"/>
        </w:rPr>
      </w:pPr>
      <w:r>
        <w:rPr>
          <w:rFonts w:ascii="Arial" w:cs="Arial" w:eastAsia="Arial" w:hAnsi="Arial"/>
          <w:sz w:val="18"/>
          <w:szCs w:val="18"/>
          <w:color w:val="auto"/>
        </w:rPr>
        <w:t>Gross incremental premium approvals which are considered as premium or reserve releases that are premium equivalent based on the state approval assumptions utilized in the 2015 Loss Recognition Projections.</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00"/>
          </w:cols>
          <w:pgMar w:left="240" w:top="459" w:right="25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Final Determination of 2014-2016 Performance Stock Units</w:t>
      </w:r>
    </w:p>
    <w:p>
      <w:pPr>
        <w:spacing w:after="0" w:line="117" w:lineRule="exact"/>
        <w:rPr>
          <w:sz w:val="20"/>
          <w:szCs w:val="20"/>
          <w:color w:val="auto"/>
        </w:rPr>
      </w:pPr>
    </w:p>
    <w:p>
      <w:pPr>
        <w:ind w:right="60" w:firstLine="456"/>
        <w:spacing w:after="0" w:line="257" w:lineRule="auto"/>
        <w:rPr>
          <w:sz w:val="20"/>
          <w:szCs w:val="20"/>
          <w:color w:val="auto"/>
        </w:rPr>
      </w:pPr>
      <w:r>
        <w:rPr>
          <w:rFonts w:ascii="Arial" w:cs="Arial" w:eastAsia="Arial" w:hAnsi="Arial"/>
          <w:sz w:val="18"/>
          <w:szCs w:val="18"/>
          <w:color w:val="auto"/>
        </w:rPr>
        <w:t>Final performance for our 2014-2016 PSUs was below threshold performance for both company metrics, resulting in cancellation of the award with no payout in the first quarter of 2017. Company performance was measured relative to threshold, target and maximum goals established for Company Operating ROE and Book Value Per Basic Share (each as defined below), and as measured for the final year of the three-year incentive plan (2016). The target number of PSUs was fixed for each participant at the time of grant, and the metrics were independently weighted (50% each). The performance goals and final results for the 2014-2016 PSUs are noted in the table below:</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2014-2016 Performance Stock Unit Metrics and Goals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0" w:type="dxa"/>
            <w:vAlign w:val="bottom"/>
          </w:tcPr>
          <w:p>
            <w:pPr>
              <w:spacing w:after="0"/>
              <w:rPr>
                <w:sz w:val="14"/>
                <w:szCs w:val="14"/>
                <w:color w:val="auto"/>
              </w:rPr>
            </w:pPr>
          </w:p>
        </w:tc>
        <w:tc>
          <w:tcPr>
            <w:tcW w:w="5000" w:type="dxa"/>
            <w:vAlign w:val="bottom"/>
          </w:tcPr>
          <w:p>
            <w:pPr>
              <w:spacing w:after="0"/>
              <w:rPr>
                <w:sz w:val="14"/>
                <w:szCs w:val="14"/>
                <w:color w:val="auto"/>
              </w:rPr>
            </w:pPr>
          </w:p>
        </w:tc>
        <w:tc>
          <w:tcPr>
            <w:tcW w:w="92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4"/>
              </w:rPr>
              <w:t>Weight</w:t>
            </w:r>
          </w:p>
        </w:tc>
        <w:tc>
          <w:tcPr>
            <w:tcW w:w="110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4"/>
              </w:rPr>
              <w:t>Threshold</w:t>
            </w:r>
          </w:p>
        </w:tc>
        <w:tc>
          <w:tcPr>
            <w:tcW w:w="7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3"/>
              </w:rPr>
              <w:t>Target</w:t>
            </w:r>
          </w:p>
        </w:tc>
        <w:tc>
          <w:tcPr>
            <w:tcW w:w="160" w:type="dxa"/>
            <w:vAlign w:val="bottom"/>
          </w:tcPr>
          <w:p>
            <w:pPr>
              <w:spacing w:after="0"/>
              <w:rPr>
                <w:sz w:val="14"/>
                <w:szCs w:val="14"/>
                <w:color w:val="auto"/>
              </w:rPr>
            </w:pPr>
          </w:p>
        </w:tc>
        <w:tc>
          <w:tcPr>
            <w:tcW w:w="110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9"/>
              </w:rPr>
              <w:t>Maximum</w:t>
            </w:r>
          </w:p>
        </w:tc>
        <w:tc>
          <w:tcPr>
            <w:tcW w:w="4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2016</w:t>
            </w:r>
          </w:p>
        </w:tc>
        <w:tc>
          <w:tcPr>
            <w:tcW w:w="520" w:type="dxa"/>
            <w:vAlign w:val="bottom"/>
          </w:tcPr>
          <w:p>
            <w:pPr>
              <w:spacing w:after="0"/>
              <w:rPr>
                <w:sz w:val="14"/>
                <w:szCs w:val="14"/>
                <w:color w:val="auto"/>
              </w:rPr>
            </w:pPr>
          </w:p>
        </w:tc>
        <w:tc>
          <w:tcPr>
            <w:tcW w:w="10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2014-2016 PSU</w:t>
            </w:r>
          </w:p>
        </w:tc>
        <w:tc>
          <w:tcPr>
            <w:tcW w:w="0" w:type="dxa"/>
            <w:vAlign w:val="bottom"/>
          </w:tcPr>
          <w:p>
            <w:pPr>
              <w:spacing w:after="0"/>
              <w:rPr>
                <w:sz w:val="1"/>
                <w:szCs w:val="1"/>
                <w:color w:val="auto"/>
              </w:rPr>
            </w:pPr>
          </w:p>
        </w:tc>
      </w:tr>
      <w:tr>
        <w:trPr>
          <w:trHeight w:val="149"/>
        </w:trPr>
        <w:tc>
          <w:tcPr>
            <w:tcW w:w="54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Metric</w:t>
            </w:r>
          </w:p>
        </w:tc>
        <w:tc>
          <w:tcPr>
            <w:tcW w:w="92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99"/>
              </w:rPr>
              <w:t>(% of</w:t>
            </w:r>
          </w:p>
        </w:tc>
        <w:tc>
          <w:tcPr>
            <w:tcW w:w="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7"/>
              </w:rPr>
              <w:t>(50%</w:t>
            </w:r>
          </w:p>
        </w:tc>
        <w:tc>
          <w:tcPr>
            <w:tcW w:w="460" w:type="dxa"/>
            <w:vAlign w:val="bottom"/>
          </w:tcPr>
          <w:p>
            <w:pPr>
              <w:spacing w:after="0"/>
              <w:rPr>
                <w:sz w:val="12"/>
                <w:szCs w:val="12"/>
                <w:color w:val="auto"/>
              </w:rPr>
            </w:pPr>
          </w:p>
        </w:tc>
        <w:tc>
          <w:tcPr>
            <w:tcW w:w="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8"/>
              </w:rPr>
              <w:t>(100%</w:t>
            </w:r>
          </w:p>
        </w:tc>
        <w:tc>
          <w:tcPr>
            <w:tcW w:w="300" w:type="dxa"/>
            <w:vAlign w:val="bottom"/>
          </w:tcPr>
          <w:p>
            <w:pPr>
              <w:spacing w:after="0"/>
              <w:rPr>
                <w:sz w:val="12"/>
                <w:szCs w:val="12"/>
                <w:color w:val="auto"/>
              </w:rPr>
            </w:pPr>
          </w:p>
        </w:tc>
        <w:tc>
          <w:tcPr>
            <w:tcW w:w="800" w:type="dxa"/>
            <w:vAlign w:val="bottom"/>
            <w:gridSpan w:val="2"/>
          </w:tcPr>
          <w:p>
            <w:pPr>
              <w:jc w:val="center"/>
              <w:ind w:left="88"/>
              <w:spacing w:after="0" w:line="149" w:lineRule="exact"/>
              <w:rPr>
                <w:sz w:val="20"/>
                <w:szCs w:val="20"/>
                <w:color w:val="auto"/>
              </w:rPr>
            </w:pPr>
            <w:r>
              <w:rPr>
                <w:rFonts w:ascii="Arial" w:cs="Arial" w:eastAsia="Arial" w:hAnsi="Arial"/>
                <w:sz w:val="14"/>
                <w:szCs w:val="14"/>
                <w:b w:val="1"/>
                <w:bCs w:val="1"/>
                <w:color w:val="auto"/>
                <w:w w:val="98"/>
              </w:rPr>
              <w:t>(200%</w:t>
            </w:r>
          </w:p>
        </w:tc>
        <w:tc>
          <w:tcPr>
            <w:tcW w:w="460" w:type="dxa"/>
            <w:vAlign w:val="bottom"/>
          </w:tcPr>
          <w:p>
            <w:pPr>
              <w:spacing w:after="0"/>
              <w:rPr>
                <w:sz w:val="12"/>
                <w:szCs w:val="12"/>
                <w:color w:val="auto"/>
              </w:rPr>
            </w:pPr>
          </w:p>
        </w:tc>
        <w:tc>
          <w:tcPr>
            <w:tcW w:w="420" w:type="dxa"/>
            <w:vAlign w:val="bottom"/>
            <w:vMerge w:val="continue"/>
          </w:tcPr>
          <w:p>
            <w:pPr>
              <w:spacing w:after="0"/>
              <w:rPr>
                <w:sz w:val="12"/>
                <w:szCs w:val="12"/>
                <w:color w:val="auto"/>
              </w:rPr>
            </w:pPr>
          </w:p>
        </w:tc>
        <w:tc>
          <w:tcPr>
            <w:tcW w:w="520" w:type="dxa"/>
            <w:vAlign w:val="bottom"/>
          </w:tcPr>
          <w:p>
            <w:pPr>
              <w:spacing w:after="0"/>
              <w:rPr>
                <w:sz w:val="12"/>
                <w:szCs w:val="12"/>
                <w:color w:val="auto"/>
              </w:rPr>
            </w:pPr>
          </w:p>
        </w:tc>
        <w:tc>
          <w:tcPr>
            <w:tcW w:w="10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5420" w:type="dxa"/>
            <w:vAlign w:val="bottom"/>
            <w:gridSpan w:val="2"/>
            <w:vMerge w:val="continue"/>
          </w:tcPr>
          <w:p>
            <w:pPr>
              <w:spacing w:after="0"/>
              <w:rPr>
                <w:sz w:val="14"/>
                <w:szCs w:val="14"/>
                <w:color w:val="auto"/>
              </w:rPr>
            </w:pPr>
          </w:p>
        </w:tc>
        <w:tc>
          <w:tcPr>
            <w:tcW w:w="92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6"/>
              </w:rPr>
              <w:t>Target)</w:t>
            </w:r>
          </w:p>
        </w:tc>
        <w:tc>
          <w:tcPr>
            <w:tcW w:w="110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3"/>
              </w:rPr>
              <w:t>Payout)</w:t>
            </w:r>
          </w:p>
        </w:tc>
        <w:tc>
          <w:tcPr>
            <w:tcW w:w="7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3"/>
              </w:rPr>
              <w:t>Payout)</w:t>
            </w:r>
          </w:p>
        </w:tc>
        <w:tc>
          <w:tcPr>
            <w:tcW w:w="160" w:type="dxa"/>
            <w:vAlign w:val="bottom"/>
          </w:tcPr>
          <w:p>
            <w:pPr>
              <w:spacing w:after="0"/>
              <w:rPr>
                <w:sz w:val="14"/>
                <w:szCs w:val="14"/>
                <w:color w:val="auto"/>
              </w:rPr>
            </w:pPr>
          </w:p>
        </w:tc>
        <w:tc>
          <w:tcPr>
            <w:tcW w:w="110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3"/>
              </w:rPr>
              <w:t>Payout)</w:t>
            </w:r>
          </w:p>
        </w:tc>
        <w:tc>
          <w:tcPr>
            <w:tcW w:w="940" w:type="dxa"/>
            <w:vAlign w:val="bottom"/>
            <w:gridSpan w:val="2"/>
          </w:tcPr>
          <w:p>
            <w:pPr>
              <w:jc w:val="right"/>
              <w:ind w:right="540"/>
              <w:spacing w:after="0"/>
              <w:rPr>
                <w:sz w:val="20"/>
                <w:szCs w:val="20"/>
                <w:color w:val="auto"/>
              </w:rPr>
            </w:pPr>
            <w:r>
              <w:rPr>
                <w:rFonts w:ascii="Arial" w:cs="Arial" w:eastAsia="Arial" w:hAnsi="Arial"/>
                <w:sz w:val="14"/>
                <w:szCs w:val="14"/>
                <w:b w:val="1"/>
                <w:bCs w:val="1"/>
                <w:color w:val="auto"/>
                <w:w w:val="88"/>
              </w:rPr>
              <w:t>Result</w:t>
            </w:r>
          </w:p>
        </w:tc>
        <w:tc>
          <w:tcPr>
            <w:tcW w:w="1000" w:type="dxa"/>
            <w:vAlign w:val="bottom"/>
          </w:tcPr>
          <w:p>
            <w:pPr>
              <w:jc w:val="center"/>
              <w:spacing w:after="0"/>
              <w:rPr>
                <w:sz w:val="20"/>
                <w:szCs w:val="20"/>
                <w:color w:val="auto"/>
              </w:rPr>
            </w:pPr>
            <w:r>
              <w:rPr>
                <w:rFonts w:ascii="Arial" w:cs="Arial" w:eastAsia="Arial" w:hAnsi="Arial"/>
                <w:sz w:val="14"/>
                <w:szCs w:val="14"/>
                <w:b w:val="1"/>
                <w:bCs w:val="1"/>
                <w:color w:val="auto"/>
                <w:w w:val="93"/>
              </w:rPr>
              <w:t>Payout Earned</w:t>
            </w:r>
          </w:p>
        </w:tc>
        <w:tc>
          <w:tcPr>
            <w:tcW w:w="0" w:type="dxa"/>
            <w:vAlign w:val="bottom"/>
          </w:tcPr>
          <w:p>
            <w:pPr>
              <w:spacing w:after="0"/>
              <w:rPr>
                <w:sz w:val="1"/>
                <w:szCs w:val="1"/>
                <w:color w:val="auto"/>
              </w:rPr>
            </w:pPr>
          </w:p>
        </w:tc>
      </w:tr>
      <w:tr>
        <w:trPr>
          <w:trHeight w:val="20"/>
        </w:trPr>
        <w:tc>
          <w:tcPr>
            <w:tcW w:w="420" w:type="dxa"/>
            <w:vAlign w:val="bottom"/>
            <w:shd w:val="clear" w:color="auto" w:fill="000000"/>
          </w:tcPr>
          <w:p>
            <w:pPr>
              <w:spacing w:after="0" w:line="20" w:lineRule="exact"/>
              <w:rPr>
                <w:sz w:val="1"/>
                <w:szCs w:val="1"/>
                <w:color w:val="auto"/>
              </w:rPr>
            </w:pPr>
          </w:p>
        </w:tc>
        <w:tc>
          <w:tcPr>
            <w:tcW w:w="5000" w:type="dxa"/>
            <w:vAlign w:val="bottom"/>
            <w:shd w:val="clear" w:color="auto" w:fill="CCEEFF"/>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160" w:type="dxa"/>
            <w:vAlign w:val="bottom"/>
            <w:vMerge w:val="restart"/>
            <w:shd w:val="clear" w:color="auto" w:fill="CCEEFF"/>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20" w:type="dxa"/>
            <w:vAlign w:val="bottom"/>
            <w:shd w:val="clear" w:color="auto" w:fill="CCEEFF"/>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542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 xml:space="preserve">Company Operating ROE </w:t>
            </w:r>
            <w:r>
              <w:rPr>
                <w:rFonts w:ascii="Arial" w:cs="Arial" w:eastAsia="Arial" w:hAnsi="Arial"/>
                <w:sz w:val="12"/>
                <w:szCs w:val="12"/>
                <w:color w:val="auto"/>
              </w:rPr>
              <w:t>(1)</w:t>
            </w:r>
          </w:p>
        </w:tc>
        <w:tc>
          <w:tcPr>
            <w:tcW w:w="920" w:type="dxa"/>
            <w:vAlign w:val="bottom"/>
            <w:gridSpan w:val="2"/>
            <w:shd w:val="clear" w:color="auto" w:fill="CCEEFF"/>
          </w:tcPr>
          <w:p>
            <w:pPr>
              <w:jc w:val="right"/>
              <w:ind w:right="340"/>
              <w:spacing w:after="0" w:line="142" w:lineRule="exact"/>
              <w:rPr>
                <w:sz w:val="20"/>
                <w:szCs w:val="20"/>
                <w:color w:val="auto"/>
              </w:rPr>
            </w:pPr>
            <w:r>
              <w:rPr>
                <w:rFonts w:ascii="Arial" w:cs="Arial" w:eastAsia="Arial" w:hAnsi="Arial"/>
                <w:sz w:val="14"/>
                <w:szCs w:val="14"/>
                <w:color w:val="auto"/>
              </w:rPr>
              <w:t>50%</w:t>
            </w:r>
          </w:p>
        </w:tc>
        <w:tc>
          <w:tcPr>
            <w:tcW w:w="1100" w:type="dxa"/>
            <w:vAlign w:val="bottom"/>
            <w:gridSpan w:val="2"/>
            <w:shd w:val="clear" w:color="auto" w:fill="CCEEFF"/>
          </w:tcPr>
          <w:p>
            <w:pPr>
              <w:jc w:val="right"/>
              <w:ind w:right="340"/>
              <w:spacing w:after="0" w:line="142" w:lineRule="exact"/>
              <w:rPr>
                <w:sz w:val="20"/>
                <w:szCs w:val="20"/>
                <w:color w:val="auto"/>
              </w:rPr>
            </w:pPr>
            <w:r>
              <w:rPr>
                <w:rFonts w:ascii="Arial" w:cs="Arial" w:eastAsia="Arial" w:hAnsi="Arial"/>
                <w:sz w:val="14"/>
                <w:szCs w:val="14"/>
                <w:color w:val="auto"/>
              </w:rPr>
              <w:t>6.75%</w:t>
            </w:r>
          </w:p>
        </w:tc>
        <w:tc>
          <w:tcPr>
            <w:tcW w:w="780" w:type="dxa"/>
            <w:vAlign w:val="bottom"/>
            <w:gridSpan w:val="2"/>
            <w:shd w:val="clear" w:color="auto" w:fill="CCEEFF"/>
          </w:tcPr>
          <w:p>
            <w:pPr>
              <w:jc w:val="right"/>
              <w:ind w:right="180"/>
              <w:spacing w:after="0" w:line="142" w:lineRule="exact"/>
              <w:rPr>
                <w:sz w:val="20"/>
                <w:szCs w:val="20"/>
                <w:color w:val="auto"/>
              </w:rPr>
            </w:pPr>
            <w:r>
              <w:rPr>
                <w:rFonts w:ascii="Arial" w:cs="Arial" w:eastAsia="Arial" w:hAnsi="Arial"/>
                <w:sz w:val="14"/>
                <w:szCs w:val="14"/>
                <w:color w:val="auto"/>
              </w:rPr>
              <w:t>8.0%</w:t>
            </w:r>
          </w:p>
        </w:tc>
        <w:tc>
          <w:tcPr>
            <w:tcW w:w="160" w:type="dxa"/>
            <w:vAlign w:val="bottom"/>
            <w:vMerge w:val="continue"/>
            <w:shd w:val="clear" w:color="auto" w:fill="CCEEFF"/>
          </w:tcPr>
          <w:p>
            <w:pPr>
              <w:spacing w:after="0"/>
              <w:rPr>
                <w:sz w:val="12"/>
                <w:szCs w:val="12"/>
                <w:color w:val="auto"/>
              </w:rPr>
            </w:pPr>
          </w:p>
        </w:tc>
        <w:tc>
          <w:tcPr>
            <w:tcW w:w="1100" w:type="dxa"/>
            <w:vAlign w:val="bottom"/>
            <w:gridSpan w:val="2"/>
            <w:shd w:val="clear" w:color="auto" w:fill="CCEEFF"/>
          </w:tcPr>
          <w:p>
            <w:pPr>
              <w:jc w:val="right"/>
              <w:ind w:right="340"/>
              <w:spacing w:after="0" w:line="142" w:lineRule="exact"/>
              <w:rPr>
                <w:sz w:val="20"/>
                <w:szCs w:val="20"/>
                <w:color w:val="auto"/>
              </w:rPr>
            </w:pPr>
            <w:r>
              <w:rPr>
                <w:rFonts w:ascii="Arial" w:cs="Arial" w:eastAsia="Arial" w:hAnsi="Arial"/>
                <w:sz w:val="14"/>
                <w:szCs w:val="14"/>
                <w:color w:val="auto"/>
              </w:rPr>
              <w:t>9.5%</w:t>
            </w:r>
          </w:p>
        </w:tc>
        <w:tc>
          <w:tcPr>
            <w:tcW w:w="940" w:type="dxa"/>
            <w:vAlign w:val="bottom"/>
            <w:gridSpan w:val="2"/>
            <w:shd w:val="clear" w:color="auto" w:fill="CCEEFF"/>
          </w:tcPr>
          <w:p>
            <w:pPr>
              <w:jc w:val="right"/>
              <w:ind w:right="360"/>
              <w:spacing w:after="0" w:line="142" w:lineRule="exact"/>
              <w:rPr>
                <w:sz w:val="20"/>
                <w:szCs w:val="20"/>
                <w:color w:val="auto"/>
              </w:rPr>
            </w:pPr>
            <w:r>
              <w:rPr>
                <w:rFonts w:ascii="Arial" w:cs="Arial" w:eastAsia="Arial" w:hAnsi="Arial"/>
                <w:sz w:val="14"/>
                <w:szCs w:val="14"/>
                <w:color w:val="auto"/>
              </w:rPr>
              <w:t>(3.2)%</w:t>
            </w:r>
          </w:p>
        </w:tc>
        <w:tc>
          <w:tcPr>
            <w:tcW w:w="1000" w:type="dxa"/>
            <w:vAlign w:val="bottom"/>
            <w:shd w:val="clear" w:color="auto" w:fill="CCEEFF"/>
          </w:tcPr>
          <w:p>
            <w:pPr>
              <w:jc w:val="center"/>
              <w:spacing w:after="0" w:line="142" w:lineRule="exact"/>
              <w:rPr>
                <w:sz w:val="20"/>
                <w:szCs w:val="20"/>
                <w:color w:val="auto"/>
              </w:rPr>
            </w:pPr>
            <w:r>
              <w:rPr>
                <w:rFonts w:ascii="Arial" w:cs="Arial" w:eastAsia="Arial" w:hAnsi="Arial"/>
                <w:sz w:val="14"/>
                <w:szCs w:val="14"/>
                <w:color w:val="auto"/>
                <w:w w:val="95"/>
              </w:rPr>
              <w:t>Below Threshold</w:t>
            </w:r>
          </w:p>
        </w:tc>
        <w:tc>
          <w:tcPr>
            <w:tcW w:w="0" w:type="dxa"/>
            <w:vAlign w:val="bottom"/>
          </w:tcPr>
          <w:p>
            <w:pPr>
              <w:spacing w:after="0"/>
              <w:rPr>
                <w:sz w:val="1"/>
                <w:szCs w:val="1"/>
                <w:color w:val="auto"/>
              </w:rPr>
            </w:pPr>
          </w:p>
        </w:tc>
      </w:tr>
      <w:tr>
        <w:trPr>
          <w:trHeight w:val="182"/>
        </w:trPr>
        <w:tc>
          <w:tcPr>
            <w:tcW w:w="5420" w:type="dxa"/>
            <w:vAlign w:val="bottom"/>
            <w:gridSpan w:val="2"/>
          </w:tcPr>
          <w:p>
            <w:pPr>
              <w:spacing w:after="0"/>
              <w:rPr>
                <w:sz w:val="20"/>
                <w:szCs w:val="20"/>
                <w:color w:val="auto"/>
              </w:rPr>
            </w:pPr>
            <w:r>
              <w:rPr>
                <w:rFonts w:ascii="Arial" w:cs="Arial" w:eastAsia="Arial" w:hAnsi="Arial"/>
                <w:sz w:val="14"/>
                <w:szCs w:val="14"/>
                <w:color w:val="auto"/>
              </w:rPr>
              <w:t xml:space="preserve">Book Value Per Basic Share </w:t>
            </w:r>
            <w:r>
              <w:rPr>
                <w:rFonts w:ascii="Arial" w:cs="Arial" w:eastAsia="Arial" w:hAnsi="Arial"/>
                <w:sz w:val="12"/>
                <w:szCs w:val="12"/>
                <w:color w:val="auto"/>
              </w:rPr>
              <w:t>(2)</w:t>
            </w:r>
          </w:p>
        </w:tc>
        <w:tc>
          <w:tcPr>
            <w:tcW w:w="920" w:type="dxa"/>
            <w:vAlign w:val="bottom"/>
            <w:gridSpan w:val="2"/>
          </w:tcPr>
          <w:p>
            <w:pPr>
              <w:jc w:val="right"/>
              <w:ind w:right="340"/>
              <w:spacing w:after="0"/>
              <w:rPr>
                <w:sz w:val="20"/>
                <w:szCs w:val="20"/>
                <w:color w:val="auto"/>
              </w:rPr>
            </w:pPr>
            <w:r>
              <w:rPr>
                <w:rFonts w:ascii="Arial" w:cs="Arial" w:eastAsia="Arial" w:hAnsi="Arial"/>
                <w:sz w:val="14"/>
                <w:szCs w:val="14"/>
                <w:color w:val="auto"/>
              </w:rPr>
              <w:t>50%</w:t>
            </w:r>
          </w:p>
        </w:tc>
        <w:tc>
          <w:tcPr>
            <w:tcW w:w="1100" w:type="dxa"/>
            <w:vAlign w:val="bottom"/>
            <w:gridSpan w:val="2"/>
          </w:tcPr>
          <w:p>
            <w:pPr>
              <w:jc w:val="right"/>
              <w:ind w:right="460"/>
              <w:spacing w:after="0"/>
              <w:rPr>
                <w:sz w:val="20"/>
                <w:szCs w:val="20"/>
                <w:color w:val="auto"/>
              </w:rPr>
            </w:pPr>
            <w:r>
              <w:rPr>
                <w:rFonts w:ascii="Arial" w:cs="Arial" w:eastAsia="Arial" w:hAnsi="Arial"/>
                <w:sz w:val="14"/>
                <w:szCs w:val="14"/>
                <w:color w:val="auto"/>
              </w:rPr>
              <w:t>$   26.50</w:t>
            </w:r>
          </w:p>
        </w:tc>
        <w:tc>
          <w:tcPr>
            <w:tcW w:w="780" w:type="dxa"/>
            <w:vAlign w:val="bottom"/>
            <w:gridSpan w:val="2"/>
          </w:tcPr>
          <w:p>
            <w:pPr>
              <w:jc w:val="right"/>
              <w:ind w:right="300"/>
              <w:spacing w:after="0"/>
              <w:rPr>
                <w:sz w:val="20"/>
                <w:szCs w:val="20"/>
                <w:color w:val="auto"/>
              </w:rPr>
            </w:pPr>
            <w:r>
              <w:rPr>
                <w:rFonts w:ascii="Arial" w:cs="Arial" w:eastAsia="Arial" w:hAnsi="Arial"/>
                <w:sz w:val="14"/>
                <w:szCs w:val="14"/>
                <w:color w:val="auto"/>
                <w:w w:val="98"/>
              </w:rPr>
              <w:t>$ 27.50</w:t>
            </w:r>
          </w:p>
        </w:tc>
        <w:tc>
          <w:tcPr>
            <w:tcW w:w="1260" w:type="dxa"/>
            <w:vAlign w:val="bottom"/>
            <w:gridSpan w:val="3"/>
          </w:tcPr>
          <w:p>
            <w:pPr>
              <w:jc w:val="right"/>
              <w:ind w:right="460"/>
              <w:spacing w:after="0"/>
              <w:rPr>
                <w:sz w:val="20"/>
                <w:szCs w:val="20"/>
                <w:color w:val="auto"/>
              </w:rPr>
            </w:pPr>
            <w:r>
              <w:rPr>
                <w:rFonts w:ascii="Arial" w:cs="Arial" w:eastAsia="Arial" w:hAnsi="Arial"/>
                <w:sz w:val="14"/>
                <w:szCs w:val="14"/>
                <w:color w:val="auto"/>
              </w:rPr>
              <w:t>$    28.50</w:t>
            </w:r>
          </w:p>
        </w:tc>
        <w:tc>
          <w:tcPr>
            <w:tcW w:w="940" w:type="dxa"/>
            <w:vAlign w:val="bottom"/>
            <w:gridSpan w:val="2"/>
          </w:tcPr>
          <w:p>
            <w:pPr>
              <w:jc w:val="right"/>
              <w:ind w:right="520"/>
              <w:spacing w:after="0"/>
              <w:rPr>
                <w:sz w:val="20"/>
                <w:szCs w:val="20"/>
                <w:color w:val="auto"/>
              </w:rPr>
            </w:pPr>
            <w:r>
              <w:rPr>
                <w:rFonts w:ascii="Arial" w:cs="Arial" w:eastAsia="Arial" w:hAnsi="Arial"/>
                <w:sz w:val="14"/>
                <w:szCs w:val="14"/>
                <w:color w:val="auto"/>
                <w:w w:val="93"/>
              </w:rPr>
              <w:t>$19.16</w:t>
            </w:r>
          </w:p>
        </w:tc>
        <w:tc>
          <w:tcPr>
            <w:tcW w:w="1000" w:type="dxa"/>
            <w:vAlign w:val="bottom"/>
          </w:tcPr>
          <w:p>
            <w:pPr>
              <w:jc w:val="center"/>
              <w:spacing w:after="0"/>
              <w:rPr>
                <w:sz w:val="20"/>
                <w:szCs w:val="20"/>
                <w:color w:val="auto"/>
              </w:rPr>
            </w:pPr>
            <w:r>
              <w:rPr>
                <w:rFonts w:ascii="Arial" w:cs="Arial" w:eastAsia="Arial" w:hAnsi="Arial"/>
                <w:sz w:val="14"/>
                <w:szCs w:val="14"/>
                <w:color w:val="auto"/>
                <w:w w:val="95"/>
              </w:rPr>
              <w:t>Below Threshold</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898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1" w:lineRule="exact"/>
        <w:rPr>
          <w:sz w:val="20"/>
          <w:szCs w:val="20"/>
          <w:color w:val="auto"/>
        </w:rPr>
      </w:pPr>
    </w:p>
    <w:p>
      <w:pPr>
        <w:ind w:left="460" w:right="160" w:hanging="452"/>
        <w:spacing w:after="0" w:line="256" w:lineRule="auto"/>
        <w:tabs>
          <w:tab w:leader="none" w:pos="460" w:val="left"/>
        </w:tabs>
        <w:numPr>
          <w:ilvl w:val="0"/>
          <w:numId w:val="36"/>
        </w:numPr>
        <w:rPr>
          <w:rFonts w:ascii="Arial" w:cs="Arial" w:eastAsia="Arial" w:hAnsi="Arial"/>
          <w:sz w:val="15"/>
          <w:szCs w:val="15"/>
          <w:color w:val="auto"/>
        </w:rPr>
      </w:pPr>
      <w:r>
        <w:rPr>
          <w:rFonts w:ascii="Arial" w:cs="Arial" w:eastAsia="Arial" w:hAnsi="Arial"/>
          <w:sz w:val="18"/>
          <w:szCs w:val="18"/>
          <w:color w:val="auto"/>
        </w:rPr>
        <w:t>Company Operating ROE equals adjusted operating income (loss) for the prior twelve months ended, divided by our average ending stockholders’ equity, excluding accumulated other comprehensive income (loss) in our average ending stockholders’ equity, for the most recent five quarters ending December 31, 2016.</w:t>
      </w:r>
    </w:p>
    <w:p>
      <w:pPr>
        <w:ind w:left="460" w:right="740" w:hanging="452"/>
        <w:spacing w:after="0" w:line="261" w:lineRule="auto"/>
        <w:tabs>
          <w:tab w:leader="none" w:pos="460" w:val="left"/>
        </w:tabs>
        <w:numPr>
          <w:ilvl w:val="0"/>
          <w:numId w:val="36"/>
        </w:numPr>
        <w:rPr>
          <w:rFonts w:ascii="Arial" w:cs="Arial" w:eastAsia="Arial" w:hAnsi="Arial"/>
          <w:sz w:val="15"/>
          <w:szCs w:val="15"/>
          <w:color w:val="auto"/>
        </w:rPr>
      </w:pPr>
      <w:r>
        <w:rPr>
          <w:rFonts w:ascii="Arial" w:cs="Arial" w:eastAsia="Arial" w:hAnsi="Arial"/>
          <w:sz w:val="18"/>
          <w:szCs w:val="18"/>
          <w:color w:val="auto"/>
        </w:rPr>
        <w:t>Book Value Per Basic Share equals equity excluding accumulated other comprehensive income (loss) and noncontrolling interests, divided by Genworth’s common shares outstanding at the end of the period.</w:t>
      </w:r>
    </w:p>
    <w:p>
      <w:pPr>
        <w:spacing w:after="0" w:line="291" w:lineRule="exact"/>
        <w:rPr>
          <w:rFonts w:ascii="Arial" w:cs="Arial" w:eastAsia="Arial" w:hAnsi="Arial"/>
          <w:sz w:val="15"/>
          <w:szCs w:val="15"/>
          <w:color w:val="auto"/>
        </w:rPr>
      </w:pPr>
    </w:p>
    <w:p>
      <w:pPr>
        <w:ind w:left="460"/>
        <w:spacing w:after="0"/>
        <w:rPr>
          <w:rFonts w:ascii="Arial" w:cs="Arial" w:eastAsia="Arial" w:hAnsi="Arial"/>
          <w:sz w:val="15"/>
          <w:szCs w:val="15"/>
          <w:color w:val="auto"/>
        </w:rPr>
      </w:pPr>
      <w:r>
        <w:rPr>
          <w:rFonts w:ascii="Arial" w:cs="Arial" w:eastAsia="Arial" w:hAnsi="Arial"/>
          <w:sz w:val="18"/>
          <w:szCs w:val="18"/>
          <w:u w:val="single" w:color="auto"/>
          <w:color w:val="auto"/>
        </w:rPr>
        <w:t>Additional Information Regarding 2015-2017 Performance Stock Units</w:t>
      </w:r>
    </w:p>
    <w:p>
      <w:pPr>
        <w:spacing w:after="0" w:line="117" w:lineRule="exact"/>
        <w:rPr>
          <w:sz w:val="20"/>
          <w:szCs w:val="20"/>
          <w:color w:val="auto"/>
        </w:rPr>
      </w:pPr>
    </w:p>
    <w:p>
      <w:pPr>
        <w:ind w:right="100" w:firstLine="456"/>
        <w:spacing w:after="0" w:line="255" w:lineRule="auto"/>
        <w:rPr>
          <w:sz w:val="20"/>
          <w:szCs w:val="20"/>
          <w:color w:val="auto"/>
        </w:rPr>
      </w:pPr>
      <w:r>
        <w:rPr>
          <w:rFonts w:ascii="Arial" w:cs="Arial" w:eastAsia="Arial" w:hAnsi="Arial"/>
          <w:sz w:val="18"/>
          <w:szCs w:val="18"/>
          <w:color w:val="auto"/>
        </w:rPr>
        <w:t>Our 2015-2017 PSUs vest according to company performance relative to achievement of threshold, target and maximum goals established for the ratio of our stock price to our book value (the Book Value Multiple), each at the end of the three-year performance period. The Book Value Multiple goals for the 2015-2017 PSUs emphasize our objective of re-building long-term stockholder value, while maintaining flexibility for strategic business portfolio alternatives. The target number of PSUs is fixed for each participant at the time of grant, and following the performance period any unvested PSUs will be forfeited. Performance below the threshold goal established will result in no payouts, and each participant could earn up to 200% of his or her target amount for performance that meets or exceeds the maximum goals established. The Compensation Committee reserves the ability to use negative discretion upon payout of PSUs.</w:t>
      </w:r>
    </w:p>
    <w:p>
      <w:pPr>
        <w:spacing w:after="0" w:line="189" w:lineRule="exact"/>
        <w:rPr>
          <w:sz w:val="20"/>
          <w:szCs w:val="20"/>
          <w:color w:val="auto"/>
        </w:rPr>
      </w:pPr>
    </w:p>
    <w:p>
      <w:pPr>
        <w:ind w:right="80" w:firstLine="456"/>
        <w:spacing w:after="0" w:line="276" w:lineRule="auto"/>
        <w:rPr>
          <w:sz w:val="20"/>
          <w:szCs w:val="20"/>
          <w:color w:val="auto"/>
        </w:rPr>
      </w:pPr>
      <w:r>
        <w:rPr>
          <w:rFonts w:ascii="Arial" w:cs="Arial" w:eastAsia="Arial" w:hAnsi="Arial"/>
          <w:sz w:val="17"/>
          <w:szCs w:val="17"/>
          <w:color w:val="auto"/>
        </w:rPr>
        <w:t>Performance relative to the 2015-2017 PSUs will be significantly influenced by our stock price at the end of the performance period as the stock price is the numerator in the Book Value Multiple calculation. Although it is difficult to accurately predict performance under this award at this point, based on our Book Value Per Basic Share as of December 31, 2016, we can estimate the stock price needed to achieve threshold, target and maximum performance levels relative to the goals established for these awards. Based on our 2016 year-end Book Value Per Basic Share of $19.16, and our December 31, 2016 closing stock price of $3.81, the Book Value Multiple is trending significantly below threshold levels of performance.</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2015-2017 Performance Stock Unit Metrics and Goals</w:t>
      </w:r>
    </w:p>
    <w:p>
      <w:pPr>
        <w:spacing w:after="0" w:line="23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41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Metric</w:t>
            </w:r>
          </w:p>
        </w:tc>
        <w:tc>
          <w:tcPr>
            <w:tcW w:w="1780" w:type="dxa"/>
            <w:vAlign w:val="bottom"/>
            <w:gridSpan w:val="2"/>
          </w:tcPr>
          <w:p>
            <w:pPr>
              <w:jc w:val="center"/>
              <w:ind w:right="940"/>
              <w:spacing w:after="0"/>
              <w:rPr>
                <w:sz w:val="20"/>
                <w:szCs w:val="20"/>
                <w:color w:val="auto"/>
              </w:rPr>
            </w:pPr>
            <w:r>
              <w:rPr>
                <w:rFonts w:ascii="Arial" w:cs="Arial" w:eastAsia="Arial" w:hAnsi="Arial"/>
                <w:sz w:val="14"/>
                <w:szCs w:val="14"/>
                <w:b w:val="1"/>
                <w:bCs w:val="1"/>
                <w:color w:val="auto"/>
                <w:w w:val="94"/>
              </w:rPr>
              <w:t>Weight</w:t>
            </w:r>
          </w:p>
        </w:tc>
        <w:tc>
          <w:tcPr>
            <w:tcW w:w="1740" w:type="dxa"/>
            <w:vAlign w:val="bottom"/>
            <w:gridSpan w:val="2"/>
          </w:tcPr>
          <w:p>
            <w:pPr>
              <w:jc w:val="right"/>
              <w:ind w:right="1000"/>
              <w:spacing w:after="0"/>
              <w:rPr>
                <w:sz w:val="20"/>
                <w:szCs w:val="20"/>
                <w:color w:val="auto"/>
              </w:rPr>
            </w:pPr>
            <w:r>
              <w:rPr>
                <w:rFonts w:ascii="Arial" w:cs="Arial" w:eastAsia="Arial" w:hAnsi="Arial"/>
                <w:sz w:val="14"/>
                <w:szCs w:val="14"/>
                <w:b w:val="1"/>
                <w:bCs w:val="1"/>
                <w:color w:val="auto"/>
              </w:rPr>
              <w:t>Threshold</w:t>
            </w:r>
          </w:p>
        </w:tc>
        <w:tc>
          <w:tcPr>
            <w:tcW w:w="1820" w:type="dxa"/>
            <w:vAlign w:val="bottom"/>
            <w:gridSpan w:val="2"/>
          </w:tcPr>
          <w:p>
            <w:pPr>
              <w:ind w:left="280"/>
              <w:spacing w:after="0"/>
              <w:rPr>
                <w:sz w:val="20"/>
                <w:szCs w:val="20"/>
                <w:color w:val="auto"/>
              </w:rPr>
            </w:pPr>
            <w:r>
              <w:rPr>
                <w:rFonts w:ascii="Arial" w:cs="Arial" w:eastAsia="Arial" w:hAnsi="Arial"/>
                <w:sz w:val="14"/>
                <w:szCs w:val="14"/>
                <w:b w:val="1"/>
                <w:bCs w:val="1"/>
                <w:color w:val="auto"/>
              </w:rPr>
              <w:t>Target</w:t>
            </w:r>
          </w:p>
        </w:tc>
        <w:tc>
          <w:tcPr>
            <w:tcW w:w="98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rPr>
              <w:t>Maximum</w:t>
            </w:r>
          </w:p>
        </w:tc>
        <w:tc>
          <w:tcPr>
            <w:tcW w:w="0" w:type="dxa"/>
            <w:vAlign w:val="bottom"/>
          </w:tcPr>
          <w:p>
            <w:pPr>
              <w:spacing w:after="0"/>
              <w:rPr>
                <w:sz w:val="1"/>
                <w:szCs w:val="1"/>
                <w:color w:val="auto"/>
              </w:rPr>
            </w:pPr>
          </w:p>
        </w:tc>
      </w:tr>
      <w:tr>
        <w:trPr>
          <w:trHeight w:val="158"/>
        </w:trPr>
        <w:tc>
          <w:tcPr>
            <w:tcW w:w="4180" w:type="dxa"/>
            <w:vAlign w:val="bottom"/>
            <w:gridSpan w:val="2"/>
            <w:vMerge w:val="continue"/>
          </w:tcPr>
          <w:p>
            <w:pPr>
              <w:spacing w:after="0"/>
              <w:rPr>
                <w:sz w:val="13"/>
                <w:szCs w:val="13"/>
                <w:color w:val="auto"/>
              </w:rPr>
            </w:pPr>
          </w:p>
        </w:tc>
        <w:tc>
          <w:tcPr>
            <w:tcW w:w="1780" w:type="dxa"/>
            <w:vAlign w:val="bottom"/>
            <w:gridSpan w:val="2"/>
          </w:tcPr>
          <w:p>
            <w:pPr>
              <w:jc w:val="center"/>
              <w:ind w:right="940"/>
              <w:spacing w:after="0" w:line="158" w:lineRule="exact"/>
              <w:rPr>
                <w:sz w:val="20"/>
                <w:szCs w:val="20"/>
                <w:color w:val="auto"/>
              </w:rPr>
            </w:pPr>
            <w:r>
              <w:rPr>
                <w:rFonts w:ascii="Arial" w:cs="Arial" w:eastAsia="Arial" w:hAnsi="Arial"/>
                <w:sz w:val="14"/>
                <w:szCs w:val="14"/>
                <w:b w:val="1"/>
                <w:bCs w:val="1"/>
                <w:color w:val="auto"/>
                <w:w w:val="98"/>
              </w:rPr>
              <w:t>(% of Target)</w:t>
            </w:r>
          </w:p>
        </w:tc>
        <w:tc>
          <w:tcPr>
            <w:tcW w:w="1740" w:type="dxa"/>
            <w:vAlign w:val="bottom"/>
            <w:gridSpan w:val="2"/>
          </w:tcPr>
          <w:p>
            <w:pPr>
              <w:jc w:val="right"/>
              <w:ind w:right="880"/>
              <w:spacing w:after="0" w:line="158" w:lineRule="exact"/>
              <w:rPr>
                <w:sz w:val="20"/>
                <w:szCs w:val="20"/>
                <w:color w:val="auto"/>
              </w:rPr>
            </w:pPr>
            <w:r>
              <w:rPr>
                <w:rFonts w:ascii="Arial" w:cs="Arial" w:eastAsia="Arial" w:hAnsi="Arial"/>
                <w:sz w:val="14"/>
                <w:szCs w:val="14"/>
                <w:b w:val="1"/>
                <w:bCs w:val="1"/>
                <w:color w:val="auto"/>
                <w:w w:val="95"/>
              </w:rPr>
              <w:t>(50% Payout)</w:t>
            </w:r>
          </w:p>
        </w:tc>
        <w:tc>
          <w:tcPr>
            <w:tcW w:w="1820" w:type="dxa"/>
            <w:vAlign w:val="bottom"/>
            <w:gridSpan w:val="2"/>
          </w:tcPr>
          <w:p>
            <w:pPr>
              <w:jc w:val="right"/>
              <w:ind w:right="880"/>
              <w:spacing w:after="0" w:line="158" w:lineRule="exact"/>
              <w:rPr>
                <w:sz w:val="20"/>
                <w:szCs w:val="20"/>
                <w:color w:val="auto"/>
              </w:rPr>
            </w:pPr>
            <w:r>
              <w:rPr>
                <w:rFonts w:ascii="Arial" w:cs="Arial" w:eastAsia="Arial" w:hAnsi="Arial"/>
                <w:sz w:val="14"/>
                <w:szCs w:val="14"/>
                <w:b w:val="1"/>
                <w:bCs w:val="1"/>
                <w:color w:val="auto"/>
                <w:w w:val="96"/>
              </w:rPr>
              <w:t>(100% Payout)</w:t>
            </w:r>
          </w:p>
        </w:tc>
        <w:tc>
          <w:tcPr>
            <w:tcW w:w="980" w:type="dxa"/>
            <w:vAlign w:val="bottom"/>
            <w:gridSpan w:val="2"/>
          </w:tcPr>
          <w:p>
            <w:pPr>
              <w:jc w:val="right"/>
              <w:ind w:right="60"/>
              <w:spacing w:after="0" w:line="158" w:lineRule="exact"/>
              <w:rPr>
                <w:sz w:val="20"/>
                <w:szCs w:val="20"/>
                <w:color w:val="auto"/>
              </w:rPr>
            </w:pPr>
            <w:r>
              <w:rPr>
                <w:rFonts w:ascii="Arial" w:cs="Arial" w:eastAsia="Arial" w:hAnsi="Arial"/>
                <w:sz w:val="14"/>
                <w:szCs w:val="14"/>
                <w:b w:val="1"/>
                <w:bCs w:val="1"/>
                <w:color w:val="auto"/>
                <w:w w:val="94"/>
              </w:rPr>
              <w:t>(200% Payout)</w:t>
            </w:r>
          </w:p>
        </w:tc>
        <w:tc>
          <w:tcPr>
            <w:tcW w:w="0" w:type="dxa"/>
            <w:vAlign w:val="bottom"/>
          </w:tcPr>
          <w:p>
            <w:pPr>
              <w:spacing w:after="0"/>
              <w:rPr>
                <w:sz w:val="1"/>
                <w:szCs w:val="1"/>
                <w:color w:val="auto"/>
              </w:rPr>
            </w:pPr>
          </w:p>
        </w:tc>
      </w:tr>
      <w:tr>
        <w:trPr>
          <w:trHeight w:val="20"/>
        </w:trPr>
        <w:tc>
          <w:tcPr>
            <w:tcW w:w="420" w:type="dxa"/>
            <w:vAlign w:val="bottom"/>
            <w:tcBorders>
              <w:bottom w:val="single" w:sz="8" w:color="CCEEFF"/>
            </w:tcBorders>
            <w:shd w:val="clear" w:color="auto" w:fill="000000"/>
          </w:tcPr>
          <w:p>
            <w:pPr>
              <w:spacing w:after="0" w:line="20" w:lineRule="exact"/>
              <w:rPr>
                <w:sz w:val="1"/>
                <w:szCs w:val="1"/>
                <w:color w:val="auto"/>
              </w:rPr>
            </w:pPr>
          </w:p>
        </w:tc>
        <w:tc>
          <w:tcPr>
            <w:tcW w:w="3760" w:type="dxa"/>
            <w:vAlign w:val="bottom"/>
            <w:tcBorders>
              <w:bottom w:val="single" w:sz="8" w:color="CCEEFF"/>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CCEEFF"/>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CCEEFF"/>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CCEEFF"/>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180" w:type="dxa"/>
            <w:vAlign w:val="bottom"/>
            <w:gridSpan w:val="2"/>
            <w:shd w:val="clear" w:color="auto" w:fill="CCEEFF"/>
          </w:tcPr>
          <w:p>
            <w:pPr>
              <w:spacing w:after="0" w:line="203" w:lineRule="exact"/>
              <w:rPr>
                <w:sz w:val="20"/>
                <w:szCs w:val="20"/>
                <w:color w:val="auto"/>
              </w:rPr>
            </w:pPr>
            <w:r>
              <w:rPr>
                <w:rFonts w:ascii="Arial" w:cs="Arial" w:eastAsia="Arial" w:hAnsi="Arial"/>
                <w:sz w:val="18"/>
                <w:szCs w:val="18"/>
                <w:color w:val="auto"/>
              </w:rPr>
              <w:t xml:space="preserve">Book Value Multiple </w:t>
            </w:r>
            <w:r>
              <w:rPr>
                <w:rFonts w:ascii="Arial" w:cs="Arial" w:eastAsia="Arial" w:hAnsi="Arial"/>
                <w:sz w:val="15"/>
                <w:szCs w:val="15"/>
                <w:color w:val="auto"/>
              </w:rPr>
              <w:t>(1)</w:t>
            </w:r>
          </w:p>
        </w:tc>
        <w:tc>
          <w:tcPr>
            <w:tcW w:w="1780" w:type="dxa"/>
            <w:vAlign w:val="bottom"/>
            <w:gridSpan w:val="2"/>
            <w:shd w:val="clear" w:color="auto" w:fill="CCEEFF"/>
          </w:tcPr>
          <w:p>
            <w:pPr>
              <w:jc w:val="right"/>
              <w:ind w:right="800"/>
              <w:spacing w:after="0" w:line="203" w:lineRule="exact"/>
              <w:rPr>
                <w:sz w:val="20"/>
                <w:szCs w:val="20"/>
                <w:color w:val="auto"/>
              </w:rPr>
            </w:pPr>
            <w:r>
              <w:rPr>
                <w:rFonts w:ascii="Arial" w:cs="Arial" w:eastAsia="Arial" w:hAnsi="Arial"/>
                <w:sz w:val="18"/>
                <w:szCs w:val="18"/>
                <w:color w:val="auto"/>
              </w:rPr>
              <w:t>100%</w:t>
            </w:r>
          </w:p>
        </w:tc>
        <w:tc>
          <w:tcPr>
            <w:tcW w:w="86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0.50</w:t>
            </w:r>
          </w:p>
        </w:tc>
        <w:tc>
          <w:tcPr>
            <w:tcW w:w="8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0.65</w:t>
            </w:r>
          </w:p>
        </w:tc>
        <w:tc>
          <w:tcPr>
            <w:tcW w:w="8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0.80</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5" w:lineRule="exact"/>
        <w:rPr>
          <w:sz w:val="20"/>
          <w:szCs w:val="20"/>
          <w:color w:val="auto"/>
        </w:rPr>
      </w:pPr>
    </w:p>
    <w:p>
      <w:pPr>
        <w:ind w:left="580" w:right="20" w:hanging="572"/>
        <w:spacing w:after="0" w:line="286" w:lineRule="auto"/>
        <w:tabs>
          <w:tab w:leader="none" w:pos="580" w:val="left"/>
        </w:tabs>
        <w:numPr>
          <w:ilvl w:val="0"/>
          <w:numId w:val="37"/>
        </w:numPr>
        <w:rPr>
          <w:rFonts w:ascii="Arial" w:cs="Arial" w:eastAsia="Arial" w:hAnsi="Arial"/>
          <w:sz w:val="14"/>
          <w:szCs w:val="14"/>
          <w:color w:val="auto"/>
        </w:rPr>
      </w:pPr>
      <w:r>
        <w:rPr>
          <w:rFonts w:ascii="Arial" w:cs="Arial" w:eastAsia="Arial" w:hAnsi="Arial"/>
          <w:sz w:val="17"/>
          <w:szCs w:val="17"/>
          <w:color w:val="auto"/>
        </w:rPr>
        <w:t>The average daily closing price of Genworth’s common stock for the period beginning one business day following Genworth’s third quarter of 2017 earnings announcement through and including five business days following Genworth’s fourth quarter of 2017 earnings announcement, divided by the two-point average of the company’s Book Value Per Basic Share as of the close of the third quarter of 2017 and close</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459" w:right="2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580" w:right="460"/>
        <w:spacing w:after="0" w:line="277" w:lineRule="auto"/>
        <w:rPr>
          <w:sz w:val="20"/>
          <w:szCs w:val="20"/>
          <w:color w:val="auto"/>
        </w:rPr>
      </w:pPr>
      <w:r>
        <w:rPr>
          <w:rFonts w:ascii="Arial" w:cs="Arial" w:eastAsia="Arial" w:hAnsi="Arial"/>
          <w:sz w:val="18"/>
          <w:szCs w:val="18"/>
          <w:color w:val="auto"/>
        </w:rPr>
        <w:t>of the fourth quarter of 2017. Book Value Per Basic Share equals Genworth’s stockholders’ equity, excluding accumulated other comprehensive income (loss), divided by Genworth’s common shares outstanding at the end of the period.</w:t>
      </w:r>
    </w:p>
    <w:p>
      <w:pPr>
        <w:spacing w:after="0" w:line="279"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Additional Information Regarding Prior Awards of SARs</w:t>
      </w:r>
    </w:p>
    <w:p>
      <w:pPr>
        <w:spacing w:after="0" w:line="117" w:lineRule="exact"/>
        <w:rPr>
          <w:sz w:val="20"/>
          <w:szCs w:val="20"/>
          <w:color w:val="auto"/>
        </w:rPr>
      </w:pPr>
    </w:p>
    <w:p>
      <w:pPr>
        <w:ind w:right="80" w:firstLine="456"/>
        <w:spacing w:after="0" w:line="276" w:lineRule="auto"/>
        <w:rPr>
          <w:sz w:val="20"/>
          <w:szCs w:val="20"/>
          <w:color w:val="auto"/>
        </w:rPr>
      </w:pPr>
      <w:r>
        <w:rPr>
          <w:rFonts w:ascii="Arial" w:cs="Arial" w:eastAsia="Arial" w:hAnsi="Arial"/>
          <w:sz w:val="17"/>
          <w:szCs w:val="17"/>
          <w:color w:val="auto"/>
        </w:rPr>
        <w:t>Awards of SARs were included in our annual equity grants prior to 2016. SARs granted in February 2014 vest 25% per year, while SARs granted in 2015 vest 33% per year, each beginning on the first anniversary of the grant date. Beginning with our 2011 annual equity grant, all grants of SARs have been in the form of Capped SARs, which include a limit on the maximum value per share upon exercise, in order to reduce accounting expense through a reduced grant date fair value. The Capped SAR awards made in 2011 through 2015 have a maximum share value of $75.00, which allows us to realize significant expense savings without materially diminishing the incentive and reward for long-term stock price appreciation.</w:t>
      </w:r>
    </w:p>
    <w:p>
      <w:pPr>
        <w:spacing w:after="0" w:line="173" w:lineRule="exact"/>
        <w:rPr>
          <w:sz w:val="20"/>
          <w:szCs w:val="20"/>
          <w:color w:val="auto"/>
        </w:rPr>
      </w:pPr>
    </w:p>
    <w:p>
      <w:pPr>
        <w:jc w:val="both"/>
        <w:ind w:right="120" w:firstLine="456"/>
        <w:spacing w:after="0" w:line="288" w:lineRule="auto"/>
        <w:rPr>
          <w:sz w:val="20"/>
          <w:szCs w:val="20"/>
          <w:color w:val="auto"/>
        </w:rPr>
      </w:pPr>
      <w:r>
        <w:rPr>
          <w:rFonts w:ascii="Arial" w:cs="Arial" w:eastAsia="Arial" w:hAnsi="Arial"/>
          <w:sz w:val="16"/>
          <w:szCs w:val="16"/>
          <w:color w:val="auto"/>
        </w:rPr>
        <w:t xml:space="preserve">Awards of SARs are generally forfeited upon termination of employment with the company prior to vesting, except for limited instances described in the </w:t>
      </w:r>
      <w:r>
        <w:rPr>
          <w:rFonts w:ascii="Arial" w:cs="Arial" w:eastAsia="Arial" w:hAnsi="Arial"/>
          <w:sz w:val="16"/>
          <w:szCs w:val="16"/>
          <w:i w:val="1"/>
          <w:iCs w:val="1"/>
          <w:color w:val="auto"/>
        </w:rPr>
        <w:t>Executive Compensation—Potential Payments upon Termination or Change of Control</w:t>
      </w:r>
      <w:r>
        <w:rPr>
          <w:rFonts w:ascii="Arial" w:cs="Arial" w:eastAsia="Arial" w:hAnsi="Arial"/>
          <w:sz w:val="16"/>
          <w:szCs w:val="16"/>
          <w:color w:val="auto"/>
        </w:rPr>
        <w:t xml:space="preserve"> section below. Net after-tax shares acquired by executive officers through the grant or exercise of all company equity incentive awards are subject to a 50% retention ratio until stock ownership guidelines are met.</w:t>
      </w:r>
    </w:p>
    <w:p>
      <w:pPr>
        <w:ind w:right="60"/>
        <w:spacing w:after="0" w:line="255" w:lineRule="auto"/>
        <w:rPr>
          <w:sz w:val="20"/>
          <w:szCs w:val="20"/>
          <w:color w:val="auto"/>
        </w:rPr>
      </w:pPr>
      <w:r>
        <w:rPr>
          <w:rFonts w:ascii="Arial" w:cs="Arial" w:eastAsia="Arial" w:hAnsi="Arial"/>
          <w:sz w:val="18"/>
          <w:szCs w:val="18"/>
          <w:color w:val="auto"/>
        </w:rPr>
        <w:t xml:space="preserve">Additionally, shares acquired through the exercise of stock options (if outstanding from prior grant practices) or SARs are further subject to the company’s nine-month net hold policy (see the </w:t>
      </w:r>
      <w:r>
        <w:rPr>
          <w:rFonts w:ascii="Arial" w:cs="Arial" w:eastAsia="Arial" w:hAnsi="Arial"/>
          <w:sz w:val="18"/>
          <w:szCs w:val="18"/>
          <w:i w:val="1"/>
          <w:iCs w:val="1"/>
          <w:color w:val="auto"/>
        </w:rPr>
        <w:t>Other Key Compensation and Governance Policies—Executive Officer Stock Ownership Guidelines, Retention Ratio and</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Net Hold Policy </w:t>
      </w:r>
      <w:r>
        <w:rPr>
          <w:rFonts w:ascii="Arial" w:cs="Arial" w:eastAsia="Arial" w:hAnsi="Arial"/>
          <w:sz w:val="18"/>
          <w:szCs w:val="18"/>
          <w:color w:val="auto"/>
        </w:rPr>
        <w:t>section below).</w:t>
      </w:r>
    </w:p>
    <w:p>
      <w:pPr>
        <w:spacing w:after="0" w:line="2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Other Compensation and Benefits Programs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Prior Compensation for Ms. Groh</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Ms. Groh was appointed Executive Vice President and CFO effective October 15, 2015. At the time of our annual long-term equity grants in the first</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quarter of 2015, Ms. Groh was not an executive officer of the company. Her 2015 annual long-term equity awards reflected a unique approach we used in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2015 for certain key non-executive officers that emphasized long-term retention through a combination of RSUs and deferred cash (referred to hereafter as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“Cash-In-Lieu Of Equity”). Under this structure, Ms. Groh was awarded $116,500 in Cash-In-Lieu of Equity, which vests 50% each on the first and second</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anniversaries of the grant date, and 15,550 RSUs, which vest 50% each on the third and fourth anniversaries of the grant date. Payout of the portion of</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Ms. Groh’s Cash-In-Lieu of Equity award that vested in 2016 is reflected in the Bonus column of the 2016 Summary Compensation Table</w:t>
      </w:r>
      <w:r>
        <w:rPr>
          <w:rFonts w:ascii="Arial" w:cs="Arial" w:eastAsia="Arial" w:hAnsi="Arial"/>
          <w:sz w:val="16"/>
          <w:szCs w:val="16"/>
          <w:i w:val="1"/>
          <w:iCs w:val="1"/>
          <w:color w:val="auto"/>
        </w:rPr>
        <w:t>.</w:t>
      </w:r>
      <w:r>
        <w:rPr>
          <w:rFonts w:ascii="Arial" w:cs="Arial" w:eastAsia="Arial" w:hAnsi="Arial"/>
          <w:sz w:val="16"/>
          <w:szCs w:val="16"/>
          <w:color w:val="auto"/>
        </w:rPr>
        <w:t xml:space="preserve"> Awards of RSUs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Cash-In-Lieu of Equity are generally forfeited upon termination of employment with the company prior to vesting, except for limited instances described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in the </w:t>
      </w:r>
      <w:r>
        <w:rPr>
          <w:rFonts w:ascii="Arial" w:cs="Arial" w:eastAsia="Arial" w:hAnsi="Arial"/>
          <w:sz w:val="18"/>
          <w:szCs w:val="18"/>
          <w:i w:val="1"/>
          <w:iCs w:val="1"/>
          <w:color w:val="auto"/>
        </w:rPr>
        <w:t>Executive Compensation—Potential Payments upon Termination or Change of Control</w:t>
      </w:r>
      <w:r>
        <w:rPr>
          <w:rFonts w:ascii="Arial" w:cs="Arial" w:eastAsia="Arial" w:hAnsi="Arial"/>
          <w:sz w:val="18"/>
          <w:szCs w:val="18"/>
          <w:color w:val="auto"/>
        </w:rPr>
        <w:t xml:space="preserve"> section below.</w:t>
      </w:r>
    </w:p>
    <w:p>
      <w:pPr>
        <w:spacing w:after="0" w:line="211"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Additionally, prior to her appointment as CFO, Ms. Groh had been awarded two cash-based retention incentive awards of $600,000, the first which became payable on September 30, 2016, and is reflected in the Bonus column of the 2016 Summary Compensation Table. The second cash-based retention incentive becomes payable on May 31, 2017. The retention incentives are payable if Ms. Groh is still employed by the company on such dates, or earlier upon limited circumstances, including a termination of employment without cause, termination due to a layoff, termination in connection with the sale of a business unit to which she is assigned, or death.</w:t>
      </w:r>
    </w:p>
    <w:p>
      <w:pPr>
        <w:spacing w:after="0" w:line="296"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Retention Incentive Awards For Messrs. Schneider, Sheehan and Bobitz</w:t>
      </w:r>
    </w:p>
    <w:p>
      <w:pPr>
        <w:spacing w:after="0" w:line="117" w:lineRule="exact"/>
        <w:rPr>
          <w:sz w:val="20"/>
          <w:szCs w:val="20"/>
          <w:color w:val="auto"/>
        </w:rPr>
      </w:pPr>
    </w:p>
    <w:p>
      <w:pPr>
        <w:jc w:val="both"/>
        <w:ind w:firstLine="456"/>
        <w:spacing w:after="0" w:line="286" w:lineRule="auto"/>
        <w:rPr>
          <w:sz w:val="20"/>
          <w:szCs w:val="20"/>
          <w:color w:val="auto"/>
        </w:rPr>
      </w:pPr>
      <w:r>
        <w:rPr>
          <w:rFonts w:ascii="Arial" w:cs="Arial" w:eastAsia="Arial" w:hAnsi="Arial"/>
          <w:sz w:val="17"/>
          <w:szCs w:val="17"/>
          <w:color w:val="auto"/>
        </w:rPr>
        <w:t>On October 14, 2015, the Compensation Committee approved cash-based retention incentive awards of $2,000,000 to Mr. Schneider and Mr. Sheehan, and a cash-based retention incentive award of $425,000 to Mr. Bobitz, each of whom have demonstrated sustained performance and leadership in their critical roles, and whom were considered by the Compensation Committee as critical to retain through the company’s strategic</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00"/>
          </w:cols>
          <w:pgMar w:left="240" w:top="459" w:right="25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review period. The cash-based retention incentives include certain restrictive covenants, including non-solicitation of customers, clients or employees during employment and for 12 months following any future separation of service from the company. The incentives for Mr. Schneider and Mr. Sheehan became payable 50% on December 31, 2016 (these payments are reflected in the Bonus column of the 2016 Summary Compensation Table), and the remaining 50% is payable on December 31, 2017, provided they are still employed by the company on such dates, or earlier under certain limited circumstances, including a termination of employment without “cause” or for “good reason” (as such terms are defined in the company’s 2015 Key Employee Severance Plan), death or disability. The cash-based retention incentive for Mr. Bobitz was payable 100% on December 31, 2016, and is reflected in the Bonus column of the 2016 Summary Compensation Table.</w:t>
      </w:r>
    </w:p>
    <w:p>
      <w:pPr>
        <w:spacing w:after="0" w:line="189" w:lineRule="exact"/>
        <w:rPr>
          <w:sz w:val="20"/>
          <w:szCs w:val="20"/>
          <w:color w:val="auto"/>
        </w:rPr>
      </w:pPr>
    </w:p>
    <w:p>
      <w:pPr>
        <w:ind w:right="100" w:firstLine="456"/>
        <w:spacing w:after="0" w:line="264" w:lineRule="auto"/>
        <w:rPr>
          <w:sz w:val="20"/>
          <w:szCs w:val="20"/>
          <w:color w:val="auto"/>
        </w:rPr>
      </w:pPr>
      <w:r>
        <w:rPr>
          <w:rFonts w:ascii="Arial" w:cs="Arial" w:eastAsia="Arial" w:hAnsi="Arial"/>
          <w:sz w:val="18"/>
          <w:szCs w:val="18"/>
          <w:color w:val="auto"/>
        </w:rPr>
        <w:t>Subsequently, on September 15, 2016, the Compensation Committee awarded an additional cash-based retention incentive of $425,000 to Mr. Bobitz, which will become payable 100% on June 1, 2018, provided he is still employed by the company (or its successor) on such date, or earlier under certain limited circumstances, including a termination of employment without “cause,” death or disability.</w:t>
      </w:r>
    </w:p>
    <w:p>
      <w:pPr>
        <w:spacing w:after="0" w:line="28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Severance Benefits—Involuntary Termination without a Change of Control</w:t>
      </w:r>
    </w:p>
    <w:p>
      <w:pPr>
        <w:spacing w:after="0" w:line="117" w:lineRule="exact"/>
        <w:rPr>
          <w:sz w:val="20"/>
          <w:szCs w:val="20"/>
          <w:color w:val="auto"/>
        </w:rPr>
      </w:pPr>
    </w:p>
    <w:p>
      <w:pPr>
        <w:ind w:right="80" w:firstLine="456"/>
        <w:spacing w:after="0" w:line="290" w:lineRule="auto"/>
        <w:rPr>
          <w:sz w:val="20"/>
          <w:szCs w:val="20"/>
          <w:color w:val="auto"/>
        </w:rPr>
      </w:pPr>
      <w:r>
        <w:rPr>
          <w:rFonts w:ascii="Arial" w:cs="Arial" w:eastAsia="Arial" w:hAnsi="Arial"/>
          <w:sz w:val="16"/>
          <w:szCs w:val="16"/>
          <w:color w:val="auto"/>
        </w:rPr>
        <w:t>The Compensation Committee annually reviews the provisions and participants of executive-level severance benefits in order to monitor competitiveness and appropriate levels of benefits to meet the plan objectives. After such a review, the company adopted the 2015 Key Employee Severance Plan (the “2015 Severance Plan”), effective as of January 1, 2015, in order to offer competitive termination benefits, and promote retention of a selected group of key employees, including the company’s named executive officers, and to provide key protections to the company in the form of restrictive covenants. Payments and benefits payable to the named executive officers under the 2015 Severance Plan are generally similar to or less than payments and benefits payable under a predecessor plan, which expired by its terms on December 31, 2014, primarily due to the designation of certain named executive officers to a lower benefit tier level than under the prior plan. In addition, restrictive covenant provisions applicable to named executive officers receiving payments under the 2015 Severance Plan have been strengthened, including the addition of a 12-month non-compete provision.</w:t>
      </w:r>
    </w:p>
    <w:p>
      <w:pPr>
        <w:spacing w:after="0" w:line="166" w:lineRule="exact"/>
        <w:rPr>
          <w:sz w:val="20"/>
          <w:szCs w:val="20"/>
          <w:color w:val="auto"/>
        </w:rPr>
      </w:pPr>
    </w:p>
    <w:p>
      <w:pPr>
        <w:ind w:right="180" w:firstLine="456"/>
        <w:spacing w:after="0" w:line="264" w:lineRule="auto"/>
        <w:rPr>
          <w:sz w:val="20"/>
          <w:szCs w:val="20"/>
          <w:color w:val="auto"/>
        </w:rPr>
      </w:pPr>
      <w:r>
        <w:rPr>
          <w:rFonts w:ascii="Arial" w:cs="Arial" w:eastAsia="Arial" w:hAnsi="Arial"/>
          <w:sz w:val="18"/>
          <w:szCs w:val="18"/>
          <w:color w:val="auto"/>
        </w:rPr>
        <w:t xml:space="preserve">The specific terms of the 2015 Severance Plan, and the potential payments and benefits upon a termination of employment without “cause” or by the executive for “good reason” for each of our named executive officers are described more fully in the </w:t>
      </w:r>
      <w:r>
        <w:rPr>
          <w:rFonts w:ascii="Arial" w:cs="Arial" w:eastAsia="Arial" w:hAnsi="Arial"/>
          <w:sz w:val="18"/>
          <w:szCs w:val="18"/>
          <w:i w:val="1"/>
          <w:iCs w:val="1"/>
          <w:color w:val="auto"/>
        </w:rPr>
        <w:t>Executive Compensation—Potential Payments upon</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Termination or Change of Control </w:t>
      </w:r>
      <w:r>
        <w:rPr>
          <w:rFonts w:ascii="Arial" w:cs="Arial" w:eastAsia="Arial" w:hAnsi="Arial"/>
          <w:sz w:val="18"/>
          <w:szCs w:val="18"/>
          <w:color w:val="auto"/>
        </w:rPr>
        <w:t>section below.</w:t>
      </w:r>
    </w:p>
    <w:p>
      <w:pPr>
        <w:spacing w:after="0" w:line="28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Severance Benefits—Involuntary Termination Following a Change of Control</w:t>
      </w:r>
    </w:p>
    <w:p>
      <w:pPr>
        <w:spacing w:after="0" w:line="117" w:lineRule="exact"/>
        <w:rPr>
          <w:sz w:val="20"/>
          <w:szCs w:val="20"/>
          <w:color w:val="auto"/>
        </w:rPr>
      </w:pPr>
    </w:p>
    <w:p>
      <w:pPr>
        <w:ind w:right="80" w:firstLine="456"/>
        <w:spacing w:after="0" w:line="264" w:lineRule="auto"/>
        <w:rPr>
          <w:sz w:val="20"/>
          <w:szCs w:val="20"/>
          <w:color w:val="auto"/>
        </w:rPr>
      </w:pPr>
      <w:r>
        <w:rPr>
          <w:rFonts w:ascii="Arial" w:cs="Arial" w:eastAsia="Arial" w:hAnsi="Arial"/>
          <w:sz w:val="18"/>
          <w:szCs w:val="18"/>
          <w:color w:val="auto"/>
        </w:rPr>
        <w:t>We maintain change of control severance benefits for a select group of key executives, including our named executive officers, in the event that the executive’s employment is terminated without “cause” or by the executive for “good reason” within two years following a change of control of the company (each a “Qualified Termination”).</w:t>
      </w:r>
    </w:p>
    <w:p>
      <w:pPr>
        <w:spacing w:after="0" w:line="181" w:lineRule="exact"/>
        <w:rPr>
          <w:sz w:val="20"/>
          <w:szCs w:val="20"/>
          <w:color w:val="auto"/>
        </w:rPr>
      </w:pPr>
    </w:p>
    <w:p>
      <w:pPr>
        <w:ind w:firstLine="456"/>
        <w:spacing w:after="0" w:line="297" w:lineRule="auto"/>
        <w:rPr>
          <w:sz w:val="20"/>
          <w:szCs w:val="20"/>
          <w:color w:val="auto"/>
        </w:rPr>
      </w:pPr>
      <w:r>
        <w:rPr>
          <w:rFonts w:ascii="Arial" w:cs="Arial" w:eastAsia="Arial" w:hAnsi="Arial"/>
          <w:sz w:val="16"/>
          <w:szCs w:val="16"/>
          <w:color w:val="auto"/>
        </w:rPr>
        <w:t>The change of control severance benefits are intended to keep participating key leaders “neutral” to the possibility of corporate transactions in the best interests of stockholders by removing the fear of job loss and other distractions that may result from potential, rumored or actual changes of control of the company. All benefits under our change of control plan are “double-trigger” benefits, meaning that no compensation will be paid to participants solely upon the occurrence of a change of control so as to not create an unintended incentive. We believe that this structure is appropriate for employees whose jobs are in fact terminated in such a transaction, without providing a windfall to those who continue employment following the transaction.</w:t>
      </w:r>
    </w:p>
    <w:p>
      <w:pPr>
        <w:spacing w:after="0" w:line="158" w:lineRule="exact"/>
        <w:rPr>
          <w:sz w:val="20"/>
          <w:szCs w:val="20"/>
          <w:color w:val="auto"/>
        </w:rPr>
      </w:pPr>
    </w:p>
    <w:p>
      <w:pPr>
        <w:ind w:right="140" w:firstLine="456"/>
        <w:spacing w:after="0" w:line="264" w:lineRule="auto"/>
        <w:rPr>
          <w:sz w:val="20"/>
          <w:szCs w:val="20"/>
          <w:color w:val="auto"/>
        </w:rPr>
      </w:pPr>
      <w:r>
        <w:rPr>
          <w:rFonts w:ascii="Arial" w:cs="Arial" w:eastAsia="Arial" w:hAnsi="Arial"/>
          <w:sz w:val="18"/>
          <w:szCs w:val="18"/>
          <w:color w:val="auto"/>
        </w:rPr>
        <w:t>The Compensation Committee annually reviews the provisions and participants of our change of control plans to monitor competitiveness and appropriate levels of benefits to meet the plan objectives. The Compensation Committee adopted a new 2014 Change of Control Plan (the “2014 Change of Control Plan”) in</w:t>
      </w:r>
    </w:p>
    <w:p>
      <w:pPr>
        <w:spacing w:after="0" w:line="1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360"/>
          </w:cols>
          <w:pgMar w:left="240" w:top="459" w:right="29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spacing w:after="0" w:line="297" w:lineRule="auto"/>
        <w:rPr>
          <w:sz w:val="20"/>
          <w:szCs w:val="20"/>
          <w:color w:val="auto"/>
        </w:rPr>
      </w:pPr>
      <w:r>
        <w:rPr>
          <w:rFonts w:ascii="Arial" w:cs="Arial" w:eastAsia="Arial" w:hAnsi="Arial"/>
          <w:sz w:val="16"/>
          <w:szCs w:val="16"/>
          <w:color w:val="auto"/>
        </w:rPr>
        <w:t>order to replace and consolidate certain predecessor plans. The 2014 Change of Control Plan was adopted by the Compensation Committee on December 17, 2014, and the predecessor plans were cancelled and eliminated at that time. The 2014 Change of Control Plan completely eliminates excise tax gross-up payments for all participants, provides for reduced payments and benefits to the named executive officers as compared to those under the predecessor plans, and strengthens restrictive covenant provisions applicable to any participants receiving payments. If an executive becomes eligible to receive benefits under the 2014 Change of Control Plan, he or she will not be eligible to receive benefits under the 2015 Severance Plan.</w:t>
      </w:r>
    </w:p>
    <w:p>
      <w:pPr>
        <w:spacing w:after="0" w:line="158" w:lineRule="exact"/>
        <w:rPr>
          <w:sz w:val="20"/>
          <w:szCs w:val="20"/>
          <w:color w:val="auto"/>
        </w:rPr>
      </w:pPr>
    </w:p>
    <w:p>
      <w:pPr>
        <w:ind w:right="260" w:firstLine="456"/>
        <w:spacing w:after="0" w:line="342" w:lineRule="auto"/>
        <w:rPr>
          <w:sz w:val="20"/>
          <w:szCs w:val="20"/>
          <w:color w:val="auto"/>
        </w:rPr>
      </w:pPr>
      <w:r>
        <w:rPr>
          <w:rFonts w:ascii="Arial" w:cs="Arial" w:eastAsia="Arial" w:hAnsi="Arial"/>
          <w:sz w:val="16"/>
          <w:szCs w:val="16"/>
          <w:color w:val="auto"/>
        </w:rPr>
        <w:t xml:space="preserve">The specific terms of the 2014 Change of Control Plan, and the potential payments and benefits upon a Qualified Termination for each of our named executive officers are described more fully in the </w:t>
      </w:r>
      <w:r>
        <w:rPr>
          <w:rFonts w:ascii="Arial" w:cs="Arial" w:eastAsia="Arial" w:hAnsi="Arial"/>
          <w:sz w:val="16"/>
          <w:szCs w:val="16"/>
          <w:i w:val="1"/>
          <w:iCs w:val="1"/>
          <w:color w:val="auto"/>
        </w:rPr>
        <w:t>Executive Compensation—Potential Payments upon Termination or Change of Control</w:t>
      </w:r>
      <w:r>
        <w:rPr>
          <w:rFonts w:ascii="Arial" w:cs="Arial" w:eastAsia="Arial" w:hAnsi="Arial"/>
          <w:sz w:val="16"/>
          <w:szCs w:val="16"/>
          <w:color w:val="auto"/>
        </w:rPr>
        <w:t xml:space="preserve"> section below.</w:t>
      </w:r>
    </w:p>
    <w:p>
      <w:pPr>
        <w:spacing w:after="0" w:line="232"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Retirement Benefits</w:t>
      </w:r>
    </w:p>
    <w:p>
      <w:pPr>
        <w:spacing w:after="0" w:line="117"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Retirement benefits also fulfill an important role within our overall executive compensation program because they provide a competitive financial security component that supports attraction and retention of talent. We maintain the Retirement and Savings Plan, a tax-qualified, defined contribution plan in which our U.S. employees, including our named executive officers, are eligible to participate. The Retirement and Savings Plan has two features: the “401(k) Savings Feature,” in which participants can defer savings on a pre-tax basis and receive company matching contributions, subject to certain Internal Revenue Service (“IRS”) limits, and a “Retirement Account Feature,” which includes only company contributions made annually based on a schedule of completed years of service and age. In addition, we offered the following non-qualified retirement and deferred compensation plans in 2015 that were available to certain of our named executive officers:</w:t>
      </w:r>
    </w:p>
    <w:p>
      <w:pPr>
        <w:spacing w:after="0" w:line="95" w:lineRule="exact"/>
        <w:rPr>
          <w:sz w:val="20"/>
          <w:szCs w:val="20"/>
          <w:color w:val="auto"/>
        </w:rPr>
      </w:pPr>
    </w:p>
    <w:p>
      <w:pPr>
        <w:ind w:left="900" w:right="720" w:hanging="325"/>
        <w:spacing w:after="0" w:line="277" w:lineRule="auto"/>
        <w:tabs>
          <w:tab w:leader="none" w:pos="9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Genworth Financial, Inc. Supplemental Executive Retirement Plan (the “SERP”), which is a defined benefit plan that was closed to new participants after December 31, 2009;</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Genworth Financial, Inc. Retirement and Savings Restoration Plan (the “Restoration Plan”), which is a defined contribution plan; and</w:t>
      </w:r>
    </w:p>
    <w:p>
      <w:pPr>
        <w:spacing w:after="0" w:line="130" w:lineRule="exact"/>
        <w:rPr>
          <w:rFonts w:ascii="Arial" w:cs="Arial" w:eastAsia="Arial" w:hAnsi="Arial"/>
          <w:sz w:val="18"/>
          <w:szCs w:val="18"/>
          <w:color w:val="auto"/>
        </w:rPr>
      </w:pPr>
    </w:p>
    <w:p>
      <w:pPr>
        <w:ind w:left="900" w:right="640" w:hanging="325"/>
        <w:spacing w:after="0" w:line="277" w:lineRule="auto"/>
        <w:tabs>
          <w:tab w:leader="none" w:pos="9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Genworth Financial, Inc. Deferred Compensation Plan (the “Deferred Compensation Plan”), which was closed to new contributions after December 31, 2015.</w:t>
      </w:r>
    </w:p>
    <w:p>
      <w:pPr>
        <w:spacing w:after="0" w:line="170"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 xml:space="preserve">We continually assess our benefit offerings and seek to align benefit offerings with competitive market levels. It is important to us to keep our benefit design and costs competitive with our peers so that we can continue to attract and retain talent while managing our expenses. In 2015, we approved certain changes to our retirement benefit plans, including the Retirement and Savings Plan, the SERP, the Restoration Plan and the Deferred Compensation Plan in order to make the plans more closely align with current market practices and reduce our expenses. Each of the above non-qualified retirement plans, including the 2015 amendments thereto, is described in more detail in the </w:t>
      </w:r>
      <w:r>
        <w:rPr>
          <w:rFonts w:ascii="Arial" w:cs="Arial" w:eastAsia="Arial" w:hAnsi="Arial"/>
          <w:sz w:val="18"/>
          <w:szCs w:val="18"/>
          <w:i w:val="1"/>
          <w:iCs w:val="1"/>
          <w:color w:val="auto"/>
        </w:rPr>
        <w:t>Executive Compensation—Pension Benefits</w:t>
      </w:r>
      <w:r>
        <w:rPr>
          <w:rFonts w:ascii="Arial" w:cs="Arial" w:eastAsia="Arial" w:hAnsi="Arial"/>
          <w:sz w:val="18"/>
          <w:szCs w:val="18"/>
          <w:color w:val="auto"/>
        </w:rPr>
        <w:t xml:space="preserve"> and </w:t>
      </w:r>
      <w:r>
        <w:rPr>
          <w:rFonts w:ascii="Arial" w:cs="Arial" w:eastAsia="Arial" w:hAnsi="Arial"/>
          <w:sz w:val="18"/>
          <w:szCs w:val="18"/>
          <w:i w:val="1"/>
          <w:iCs w:val="1"/>
          <w:color w:val="auto"/>
        </w:rPr>
        <w:t>Non-Qualified Deferred Compensation</w:t>
      </w:r>
      <w:r>
        <w:rPr>
          <w:rFonts w:ascii="Arial" w:cs="Arial" w:eastAsia="Arial" w:hAnsi="Arial"/>
          <w:sz w:val="18"/>
          <w:szCs w:val="18"/>
          <w:color w:val="auto"/>
        </w:rPr>
        <w:t xml:space="preserve"> sections below.</w:t>
      </w:r>
    </w:p>
    <w:p>
      <w:pPr>
        <w:spacing w:after="0" w:line="301"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Other Benefits and Perquisites</w:t>
      </w:r>
    </w:p>
    <w:p>
      <w:pPr>
        <w:spacing w:after="0" w:line="117" w:lineRule="exact"/>
        <w:rPr>
          <w:sz w:val="20"/>
          <w:szCs w:val="20"/>
          <w:color w:val="auto"/>
        </w:rPr>
      </w:pPr>
    </w:p>
    <w:p>
      <w:pPr>
        <w:ind w:right="100" w:firstLine="456"/>
        <w:spacing w:after="0" w:line="255" w:lineRule="auto"/>
        <w:rPr>
          <w:sz w:val="20"/>
          <w:szCs w:val="20"/>
          <w:color w:val="auto"/>
        </w:rPr>
      </w:pPr>
      <w:r>
        <w:rPr>
          <w:rFonts w:ascii="Arial" w:cs="Arial" w:eastAsia="Arial" w:hAnsi="Arial"/>
          <w:sz w:val="18"/>
          <w:szCs w:val="18"/>
          <w:color w:val="auto"/>
        </w:rPr>
        <w:t>We regularly review the benefits and perquisites provided to our named executive officers to ensure that our programs align with our overall principles of providing competitive compensation and benefits that maximize the interests of our stockholders. We provide executive officers with an individually-owned universal life insurance policy (the “Leadership Life Program”) available to all of our U.S.-based executives, an enhanced company-owned life insurance program (the “Executive Life Program”) and a limited number of perquisites intended to keep executive officers healthy and focused on company business with minimal distraction. The perquisites provided to named executive officers are the opportunity to receive financial planning services and annual physical examinations.</w:t>
      </w:r>
    </w:p>
    <w:p>
      <w:pPr>
        <w:spacing w:after="0" w:line="1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459" w:right="2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40" w:firstLine="456"/>
        <w:spacing w:after="0" w:line="264" w:lineRule="auto"/>
        <w:rPr>
          <w:sz w:val="20"/>
          <w:szCs w:val="20"/>
          <w:color w:val="auto"/>
        </w:rPr>
      </w:pPr>
      <w:r>
        <w:rPr>
          <w:rFonts w:ascii="Arial" w:cs="Arial" w:eastAsia="Arial" w:hAnsi="Arial"/>
          <w:sz w:val="18"/>
          <w:szCs w:val="18"/>
          <w:color w:val="auto"/>
        </w:rPr>
        <w:t xml:space="preserve">We also provide certain benefits in the event of death, total disability or sale of a business unit to a successor employer. Amounts payable to named executive officers in those limited circumstances are described in more detail in the </w:t>
      </w:r>
      <w:r>
        <w:rPr>
          <w:rFonts w:ascii="Arial" w:cs="Arial" w:eastAsia="Arial" w:hAnsi="Arial"/>
          <w:sz w:val="18"/>
          <w:szCs w:val="18"/>
          <w:i w:val="1"/>
          <w:iCs w:val="1"/>
          <w:color w:val="auto"/>
        </w:rPr>
        <w:t>Executive Compensation—Potential Payments upon Termination or</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Change of Control </w:t>
      </w:r>
      <w:r>
        <w:rPr>
          <w:rFonts w:ascii="Arial" w:cs="Arial" w:eastAsia="Arial" w:hAnsi="Arial"/>
          <w:sz w:val="18"/>
          <w:szCs w:val="18"/>
          <w:color w:val="auto"/>
        </w:rPr>
        <w:t>section below.</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Key Compensation and Governance Policies</w:t>
      </w:r>
    </w:p>
    <w:p>
      <w:pPr>
        <w:spacing w:after="0" w:line="121" w:lineRule="exact"/>
        <w:rPr>
          <w:sz w:val="20"/>
          <w:szCs w:val="20"/>
          <w:color w:val="auto"/>
        </w:rPr>
      </w:pPr>
    </w:p>
    <w:p>
      <w:pPr>
        <w:ind w:right="420" w:firstLine="456"/>
        <w:spacing w:after="0" w:line="277" w:lineRule="auto"/>
        <w:rPr>
          <w:sz w:val="20"/>
          <w:szCs w:val="20"/>
          <w:color w:val="auto"/>
        </w:rPr>
      </w:pPr>
      <w:r>
        <w:rPr>
          <w:rFonts w:ascii="Arial" w:cs="Arial" w:eastAsia="Arial" w:hAnsi="Arial"/>
          <w:sz w:val="18"/>
          <w:szCs w:val="18"/>
          <w:color w:val="auto"/>
        </w:rPr>
        <w:t>In addition to our compensation programs described above, the company maintains the following policies and practices intended to strengthen the overall long-term stockholder alignment and governance of our compensation programs.</w:t>
      </w:r>
    </w:p>
    <w:p>
      <w:pPr>
        <w:spacing w:after="0" w:line="27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Executive Officer Stock Ownership Guidelines, Retention Ratio and Net Hold Policy</w:t>
      </w:r>
    </w:p>
    <w:p>
      <w:pPr>
        <w:spacing w:after="0" w:line="117" w:lineRule="exact"/>
        <w:rPr>
          <w:sz w:val="20"/>
          <w:szCs w:val="20"/>
          <w:color w:val="auto"/>
        </w:rPr>
      </w:pPr>
    </w:p>
    <w:p>
      <w:pPr>
        <w:ind w:right="80" w:firstLine="456"/>
        <w:spacing w:after="0" w:line="342" w:lineRule="auto"/>
        <w:rPr>
          <w:sz w:val="20"/>
          <w:szCs w:val="20"/>
          <w:color w:val="auto"/>
        </w:rPr>
      </w:pPr>
      <w:r>
        <w:rPr>
          <w:rFonts w:ascii="Arial" w:cs="Arial" w:eastAsia="Arial" w:hAnsi="Arial"/>
          <w:sz w:val="16"/>
          <w:szCs w:val="16"/>
          <w:color w:val="auto"/>
        </w:rPr>
        <w:t>The company maintains stock ownership guidelines for the amount of common stock that must be held by the company’s executive officers. The stock ownership guidelines specify the value of company stock, as a multiple of the executive officer’s base salary, which must be held by each executive officer.</w:t>
      </w:r>
    </w:p>
    <w:p>
      <w:pPr>
        <w:spacing w:after="0" w:line="143" w:lineRule="exact"/>
        <w:rPr>
          <w:sz w:val="20"/>
          <w:szCs w:val="20"/>
          <w:color w:val="auto"/>
        </w:rPr>
      </w:pPr>
    </w:p>
    <w:tbl>
      <w:tblPr>
        <w:tblLayout w:type="fixed"/>
        <w:tblInd w:w="1840" w:type="dxa"/>
        <w:tblCellMar>
          <w:top w:w="0" w:type="dxa"/>
          <w:left w:w="0" w:type="dxa"/>
          <w:bottom w:w="0" w:type="dxa"/>
          <w:right w:w="0" w:type="dxa"/>
        </w:tblCellMar>
      </w:tblPr>
      <w:tr>
        <w:trPr>
          <w:trHeight w:val="185"/>
        </w:trPr>
        <w:tc>
          <w:tcPr>
            <w:tcW w:w="6820" w:type="dxa"/>
            <w:vAlign w:val="bottom"/>
            <w:gridSpan w:val="2"/>
          </w:tcPr>
          <w:p>
            <w:pPr>
              <w:spacing w:after="0"/>
              <w:rPr>
                <w:sz w:val="20"/>
                <w:szCs w:val="20"/>
                <w:color w:val="auto"/>
              </w:rPr>
            </w:pPr>
            <w:r>
              <w:rPr>
                <w:rFonts w:ascii="Arial" w:cs="Arial" w:eastAsia="Arial" w:hAnsi="Arial"/>
                <w:sz w:val="14"/>
                <w:szCs w:val="14"/>
                <w:b w:val="1"/>
                <w:bCs w:val="1"/>
                <w:color w:val="auto"/>
              </w:rPr>
              <w:t>Position</w:t>
            </w:r>
          </w:p>
        </w:tc>
        <w:tc>
          <w:tcPr>
            <w:tcW w:w="940" w:type="dxa"/>
            <w:vAlign w:val="bottom"/>
            <w:gridSpan w:val="2"/>
          </w:tcPr>
          <w:p>
            <w:pPr>
              <w:ind w:left="160"/>
              <w:spacing w:after="0"/>
              <w:rPr>
                <w:sz w:val="20"/>
                <w:szCs w:val="20"/>
                <w:color w:val="auto"/>
              </w:rPr>
            </w:pPr>
            <w:r>
              <w:rPr>
                <w:rFonts w:ascii="Arial" w:cs="Arial" w:eastAsia="Arial" w:hAnsi="Arial"/>
                <w:sz w:val="14"/>
                <w:szCs w:val="14"/>
                <w:b w:val="1"/>
                <w:bCs w:val="1"/>
                <w:color w:val="auto"/>
              </w:rPr>
              <w:t>Multiple</w:t>
            </w:r>
          </w:p>
        </w:tc>
      </w:tr>
      <w:tr>
        <w:trPr>
          <w:trHeight w:val="210"/>
        </w:trPr>
        <w:tc>
          <w:tcPr>
            <w:tcW w:w="5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CEO</w:t>
            </w:r>
          </w:p>
        </w:tc>
        <w:tc>
          <w:tcPr>
            <w:tcW w:w="632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ind w:left="180"/>
              <w:spacing w:after="0"/>
              <w:rPr>
                <w:sz w:val="20"/>
                <w:szCs w:val="20"/>
                <w:color w:val="auto"/>
              </w:rPr>
            </w:pPr>
            <w:r>
              <w:rPr>
                <w:rFonts w:ascii="Arial" w:cs="Arial" w:eastAsia="Arial" w:hAnsi="Arial"/>
                <w:sz w:val="18"/>
                <w:szCs w:val="18"/>
                <w:color w:val="auto"/>
                <w:w w:val="87"/>
              </w:rPr>
              <w:t>7x Salary</w:t>
            </w:r>
          </w:p>
        </w:tc>
        <w:tc>
          <w:tcPr>
            <w:tcW w:w="80" w:type="dxa"/>
            <w:vAlign w:val="bottom"/>
            <w:tcBorders>
              <w:top w:val="single" w:sz="8" w:color="CCEEFF"/>
            </w:tcBorders>
            <w:shd w:val="clear" w:color="auto" w:fill="CCEEFF"/>
          </w:tcPr>
          <w:p>
            <w:pPr>
              <w:spacing w:after="0"/>
              <w:rPr>
                <w:sz w:val="18"/>
                <w:szCs w:val="18"/>
                <w:color w:val="auto"/>
              </w:rPr>
            </w:pPr>
          </w:p>
        </w:tc>
      </w:tr>
      <w:tr>
        <w:trPr>
          <w:trHeight w:val="216"/>
        </w:trPr>
        <w:tc>
          <w:tcPr>
            <w:tcW w:w="6820" w:type="dxa"/>
            <w:vAlign w:val="bottom"/>
            <w:gridSpan w:val="2"/>
          </w:tcPr>
          <w:p>
            <w:pPr>
              <w:spacing w:after="0"/>
              <w:rPr>
                <w:sz w:val="20"/>
                <w:szCs w:val="20"/>
                <w:color w:val="auto"/>
              </w:rPr>
            </w:pPr>
            <w:r>
              <w:rPr>
                <w:rFonts w:ascii="Arial" w:cs="Arial" w:eastAsia="Arial" w:hAnsi="Arial"/>
                <w:sz w:val="18"/>
                <w:szCs w:val="18"/>
                <w:color w:val="auto"/>
              </w:rPr>
              <w:t>CFO, CIO and COO</w:t>
            </w:r>
          </w:p>
        </w:tc>
        <w:tc>
          <w:tcPr>
            <w:tcW w:w="940" w:type="dxa"/>
            <w:vAlign w:val="bottom"/>
            <w:gridSpan w:val="2"/>
          </w:tcPr>
          <w:p>
            <w:pPr>
              <w:ind w:left="180"/>
              <w:spacing w:after="0"/>
              <w:rPr>
                <w:sz w:val="20"/>
                <w:szCs w:val="20"/>
                <w:color w:val="auto"/>
              </w:rPr>
            </w:pPr>
            <w:r>
              <w:rPr>
                <w:rFonts w:ascii="Arial" w:cs="Arial" w:eastAsia="Arial" w:hAnsi="Arial"/>
                <w:sz w:val="18"/>
                <w:szCs w:val="18"/>
                <w:color w:val="auto"/>
                <w:w w:val="98"/>
              </w:rPr>
              <w:t>3x Salary</w:t>
            </w:r>
          </w:p>
        </w:tc>
      </w:tr>
      <w:tr>
        <w:trPr>
          <w:trHeight w:val="216"/>
        </w:trPr>
        <w:tc>
          <w:tcPr>
            <w:tcW w:w="6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Executive Vice Presidents and Senior Vice Presidents</w:t>
            </w:r>
          </w:p>
        </w:tc>
        <w:tc>
          <w:tcPr>
            <w:tcW w:w="9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w w:val="98"/>
              </w:rPr>
              <w:t>2x Salary</w:t>
            </w:r>
          </w:p>
        </w:tc>
      </w:tr>
    </w:tbl>
    <w:p>
      <w:pPr>
        <w:spacing w:after="0" w:line="202" w:lineRule="exact"/>
        <w:rPr>
          <w:sz w:val="20"/>
          <w:szCs w:val="20"/>
          <w:color w:val="auto"/>
        </w:rPr>
      </w:pPr>
    </w:p>
    <w:p>
      <w:pPr>
        <w:ind w:right="100" w:firstLine="456"/>
        <w:spacing w:after="0" w:line="302" w:lineRule="auto"/>
        <w:rPr>
          <w:sz w:val="20"/>
          <w:szCs w:val="20"/>
          <w:color w:val="auto"/>
        </w:rPr>
      </w:pPr>
      <w:r>
        <w:rPr>
          <w:rFonts w:ascii="Arial" w:cs="Arial" w:eastAsia="Arial" w:hAnsi="Arial"/>
          <w:sz w:val="16"/>
          <w:szCs w:val="16"/>
          <w:color w:val="auto"/>
        </w:rPr>
        <w:t>The ownership multiple is used to calculate a target number of shares for each designated executive officer as of January 1 of each year (or, in the case of a newly-designated executive officer, as of the date such executive officer first becomes subject to the ownership guidelines). The target number of shares is individually determined by multiplying the executive officer’s then-current annual base salary by the applicable multiple, and dividing the result by the average closing price of the company’s common stock during the 60 trading days immediately preceding the measurement date.</w:t>
      </w:r>
    </w:p>
    <w:p>
      <w:pPr>
        <w:spacing w:after="0" w:line="154" w:lineRule="exact"/>
        <w:rPr>
          <w:sz w:val="20"/>
          <w:szCs w:val="20"/>
          <w:color w:val="auto"/>
        </w:rPr>
      </w:pPr>
    </w:p>
    <w:p>
      <w:pPr>
        <w:ind w:right="60" w:firstLine="456"/>
        <w:spacing w:after="0" w:line="257" w:lineRule="auto"/>
        <w:rPr>
          <w:sz w:val="20"/>
          <w:szCs w:val="20"/>
          <w:color w:val="auto"/>
        </w:rPr>
      </w:pPr>
      <w:r>
        <w:rPr>
          <w:rFonts w:ascii="Arial" w:cs="Arial" w:eastAsia="Arial" w:hAnsi="Arial"/>
          <w:sz w:val="18"/>
          <w:szCs w:val="18"/>
          <w:color w:val="auto"/>
        </w:rPr>
        <w:t>Compliance with the stock ownership requirements is also measured as of January 1 of each year. In the event that an executive officer has not reached the required level of stock ownership as of any measurement date, the executive officer will be subject to a 50% retention ratio that requires the executive officer to retain (and not sell or transfer) at least 50% of the after-tax “profit” shares resulting from the grant or exercise of all company equity incentive awards until the next measurement date. Decreases in overall stock price between measurement dates, therefore, will cause an increase in the number of shares that must be held in order to meet the ownership guideline.</w:t>
      </w:r>
    </w:p>
    <w:p>
      <w:pPr>
        <w:spacing w:after="0" w:line="188"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In order to meet this stock ownership requirement, an executive officer may count (i) all shares of common stock owned by the executive officer, including common stock held in the company’s Retirement and Savings Plan, (ii) any outstanding RSUs, but excluding any unvested RSUs that vest based on achievement of performance goals (such as PSUs), and (iii) a number of shares representing the aggregate “spread value” of vested and in-the-money stock options and SARs (with such number being calculated as of January 1 of each year on a pre-tax basis, based on the 60 trading day average closing price of the company’s common stock on such date). Decreases in overall stock price between measurement dates, therefore, reduced the number of shares deemed to be owned relative to the goal and the resulting reduced ownership levels do not necessarily represent a disposition of shares between measurement dates. Furthermore, none of our named executive officers sold shares in 2015 or in 2016.</w:t>
      </w:r>
    </w:p>
    <w:p>
      <w:pPr>
        <w:spacing w:after="0" w:line="11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00"/>
          </w:cols>
          <w:pgMar w:left="240" w:top="459" w:right="25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20" w:firstLine="456"/>
        <w:spacing w:after="0" w:line="277" w:lineRule="auto"/>
        <w:rPr>
          <w:sz w:val="20"/>
          <w:szCs w:val="20"/>
          <w:color w:val="auto"/>
        </w:rPr>
      </w:pPr>
      <w:r>
        <w:rPr>
          <w:rFonts w:ascii="Arial" w:cs="Arial" w:eastAsia="Arial" w:hAnsi="Arial"/>
          <w:sz w:val="18"/>
          <w:szCs w:val="18"/>
          <w:color w:val="auto"/>
        </w:rPr>
        <w:t>The following table shows the number of shares of common stock considered to be held, and the applicable stock ownership requirements, for each of our named executive officers as of January 1, 2017:</w:t>
      </w:r>
    </w:p>
    <w:p>
      <w:pPr>
        <w:spacing w:after="0" w:line="177"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156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1580" w:type="dxa"/>
            <w:vAlign w:val="bottom"/>
            <w:gridSpan w:val="2"/>
          </w:tcPr>
          <w:p>
            <w:pPr>
              <w:jc w:val="center"/>
              <w:ind w:right="760"/>
              <w:spacing w:after="0"/>
              <w:rPr>
                <w:sz w:val="20"/>
                <w:szCs w:val="20"/>
                <w:color w:val="auto"/>
              </w:rPr>
            </w:pPr>
            <w:r>
              <w:rPr>
                <w:rFonts w:ascii="Arial" w:cs="Arial" w:eastAsia="Arial" w:hAnsi="Arial"/>
                <w:sz w:val="14"/>
                <w:szCs w:val="14"/>
                <w:b w:val="1"/>
                <w:bCs w:val="1"/>
                <w:color w:val="auto"/>
                <w:w w:val="89"/>
              </w:rPr>
              <w:t>Stock</w:t>
            </w:r>
          </w:p>
        </w:tc>
        <w:tc>
          <w:tcPr>
            <w:tcW w:w="10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560" w:type="dxa"/>
            <w:vAlign w:val="bottom"/>
          </w:tcPr>
          <w:p>
            <w:pPr>
              <w:spacing w:after="0"/>
              <w:rPr>
                <w:sz w:val="12"/>
                <w:szCs w:val="12"/>
                <w:color w:val="auto"/>
              </w:rPr>
            </w:pPr>
          </w:p>
        </w:tc>
        <w:tc>
          <w:tcPr>
            <w:tcW w:w="2760" w:type="dxa"/>
            <w:vAlign w:val="bottom"/>
          </w:tcPr>
          <w:p>
            <w:pPr>
              <w:spacing w:after="0"/>
              <w:rPr>
                <w:sz w:val="12"/>
                <w:szCs w:val="12"/>
                <w:color w:val="auto"/>
              </w:rPr>
            </w:pPr>
          </w:p>
        </w:tc>
        <w:tc>
          <w:tcPr>
            <w:tcW w:w="1580" w:type="dxa"/>
            <w:vAlign w:val="bottom"/>
            <w:gridSpan w:val="2"/>
          </w:tcPr>
          <w:p>
            <w:pPr>
              <w:jc w:val="center"/>
              <w:ind w:right="740"/>
              <w:spacing w:after="0" w:line="149" w:lineRule="exact"/>
              <w:rPr>
                <w:sz w:val="20"/>
                <w:szCs w:val="20"/>
                <w:color w:val="auto"/>
              </w:rPr>
            </w:pPr>
            <w:r>
              <w:rPr>
                <w:rFonts w:ascii="Arial" w:cs="Arial" w:eastAsia="Arial" w:hAnsi="Arial"/>
                <w:sz w:val="14"/>
                <w:szCs w:val="14"/>
                <w:b w:val="1"/>
                <w:bCs w:val="1"/>
                <w:color w:val="auto"/>
                <w:w w:val="93"/>
              </w:rPr>
              <w:t>Requirement</w:t>
            </w:r>
          </w:p>
        </w:tc>
        <w:tc>
          <w:tcPr>
            <w:tcW w:w="1800" w:type="dxa"/>
            <w:vAlign w:val="bottom"/>
            <w:gridSpan w:val="2"/>
            <w:vMerge w:val="restart"/>
          </w:tcPr>
          <w:p>
            <w:pPr>
              <w:jc w:val="center"/>
              <w:ind w:right="760"/>
              <w:spacing w:after="0"/>
              <w:rPr>
                <w:sz w:val="20"/>
                <w:szCs w:val="20"/>
                <w:color w:val="auto"/>
              </w:rPr>
            </w:pPr>
            <w:r>
              <w:rPr>
                <w:rFonts w:ascii="Arial" w:cs="Arial" w:eastAsia="Arial" w:hAnsi="Arial"/>
                <w:sz w:val="14"/>
                <w:szCs w:val="14"/>
                <w:b w:val="1"/>
                <w:bCs w:val="1"/>
                <w:color w:val="auto"/>
                <w:w w:val="97"/>
              </w:rPr>
              <w:t>Number of</w:t>
            </w:r>
          </w:p>
        </w:tc>
        <w:tc>
          <w:tcPr>
            <w:tcW w:w="9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560" w:type="dxa"/>
            <w:vAlign w:val="bottom"/>
          </w:tcPr>
          <w:p>
            <w:pPr>
              <w:spacing w:after="0"/>
              <w:rPr>
                <w:sz w:val="12"/>
                <w:szCs w:val="12"/>
                <w:color w:val="auto"/>
              </w:rPr>
            </w:pPr>
          </w:p>
        </w:tc>
        <w:tc>
          <w:tcPr>
            <w:tcW w:w="2760" w:type="dxa"/>
            <w:vAlign w:val="bottom"/>
          </w:tcPr>
          <w:p>
            <w:pPr>
              <w:spacing w:after="0"/>
              <w:rPr>
                <w:sz w:val="12"/>
                <w:szCs w:val="12"/>
                <w:color w:val="auto"/>
              </w:rPr>
            </w:pPr>
          </w:p>
        </w:tc>
        <w:tc>
          <w:tcPr>
            <w:tcW w:w="1580" w:type="dxa"/>
            <w:vAlign w:val="bottom"/>
            <w:gridSpan w:val="2"/>
          </w:tcPr>
          <w:p>
            <w:pPr>
              <w:jc w:val="center"/>
              <w:ind w:right="740"/>
              <w:spacing w:after="0" w:line="149" w:lineRule="exact"/>
              <w:rPr>
                <w:sz w:val="20"/>
                <w:szCs w:val="20"/>
                <w:color w:val="auto"/>
              </w:rPr>
            </w:pPr>
            <w:r>
              <w:rPr>
                <w:rFonts w:ascii="Arial" w:cs="Arial" w:eastAsia="Arial" w:hAnsi="Arial"/>
                <w:sz w:val="14"/>
                <w:szCs w:val="14"/>
                <w:b w:val="1"/>
                <w:bCs w:val="1"/>
                <w:color w:val="auto"/>
                <w:w w:val="85"/>
              </w:rPr>
              <w:t>as of</w:t>
            </w:r>
          </w:p>
        </w:tc>
        <w:tc>
          <w:tcPr>
            <w:tcW w:w="1800" w:type="dxa"/>
            <w:vAlign w:val="bottom"/>
            <w:gridSpan w:val="2"/>
            <w:vMerge w:val="continue"/>
          </w:tcPr>
          <w:p>
            <w:pPr>
              <w:spacing w:after="0"/>
              <w:rPr>
                <w:sz w:val="12"/>
                <w:szCs w:val="12"/>
                <w:color w:val="auto"/>
              </w:rPr>
            </w:pPr>
          </w:p>
        </w:tc>
        <w:tc>
          <w:tcPr>
            <w:tcW w:w="9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000" w:type="dxa"/>
            <w:vAlign w:val="bottom"/>
            <w:gridSpan w:val="2"/>
            <w:vMerge w:val="restart"/>
          </w:tcPr>
          <w:p>
            <w:pPr>
              <w:jc w:val="right"/>
              <w:ind w:right="60"/>
              <w:spacing w:after="0"/>
              <w:rPr>
                <w:sz w:val="20"/>
                <w:szCs w:val="20"/>
                <w:color w:val="auto"/>
              </w:rPr>
            </w:pPr>
            <w:r>
              <w:rPr>
                <w:rFonts w:ascii="Arial" w:cs="Arial" w:eastAsia="Arial" w:hAnsi="Arial"/>
                <w:sz w:val="14"/>
                <w:szCs w:val="14"/>
                <w:b w:val="1"/>
                <w:bCs w:val="1"/>
                <w:color w:val="auto"/>
                <w:w w:val="92"/>
              </w:rPr>
              <w:t>Subject to 50%</w:t>
            </w:r>
          </w:p>
        </w:tc>
        <w:tc>
          <w:tcPr>
            <w:tcW w:w="0" w:type="dxa"/>
            <w:vAlign w:val="bottom"/>
          </w:tcPr>
          <w:p>
            <w:pPr>
              <w:spacing w:after="0"/>
              <w:rPr>
                <w:sz w:val="1"/>
                <w:szCs w:val="1"/>
                <w:color w:val="auto"/>
              </w:rPr>
            </w:pPr>
          </w:p>
        </w:tc>
      </w:tr>
      <w:tr>
        <w:trPr>
          <w:trHeight w:val="149"/>
        </w:trPr>
        <w:tc>
          <w:tcPr>
            <w:tcW w:w="1560" w:type="dxa"/>
            <w:vAlign w:val="bottom"/>
          </w:tcPr>
          <w:p>
            <w:pPr>
              <w:spacing w:after="0"/>
              <w:rPr>
                <w:sz w:val="12"/>
                <w:szCs w:val="12"/>
                <w:color w:val="auto"/>
              </w:rPr>
            </w:pPr>
          </w:p>
        </w:tc>
        <w:tc>
          <w:tcPr>
            <w:tcW w:w="2760" w:type="dxa"/>
            <w:vAlign w:val="bottom"/>
          </w:tcPr>
          <w:p>
            <w:pPr>
              <w:spacing w:after="0"/>
              <w:rPr>
                <w:sz w:val="12"/>
                <w:szCs w:val="12"/>
                <w:color w:val="auto"/>
              </w:rPr>
            </w:pPr>
          </w:p>
        </w:tc>
        <w:tc>
          <w:tcPr>
            <w:tcW w:w="1580" w:type="dxa"/>
            <w:vAlign w:val="bottom"/>
            <w:gridSpan w:val="2"/>
          </w:tcPr>
          <w:p>
            <w:pPr>
              <w:jc w:val="center"/>
              <w:ind w:right="760"/>
              <w:spacing w:after="0" w:line="149" w:lineRule="exact"/>
              <w:rPr>
                <w:sz w:val="20"/>
                <w:szCs w:val="20"/>
                <w:color w:val="auto"/>
              </w:rPr>
            </w:pPr>
            <w:r>
              <w:rPr>
                <w:rFonts w:ascii="Arial" w:cs="Arial" w:eastAsia="Arial" w:hAnsi="Arial"/>
                <w:sz w:val="14"/>
                <w:szCs w:val="14"/>
                <w:b w:val="1"/>
                <w:bCs w:val="1"/>
                <w:color w:val="auto"/>
                <w:w w:val="95"/>
              </w:rPr>
              <w:t>January 1,</w:t>
            </w:r>
          </w:p>
        </w:tc>
        <w:tc>
          <w:tcPr>
            <w:tcW w:w="1800" w:type="dxa"/>
            <w:vAlign w:val="bottom"/>
            <w:gridSpan w:val="2"/>
          </w:tcPr>
          <w:p>
            <w:pPr>
              <w:jc w:val="center"/>
              <w:ind w:right="740"/>
              <w:spacing w:after="0" w:line="149" w:lineRule="exact"/>
              <w:rPr>
                <w:sz w:val="20"/>
                <w:szCs w:val="20"/>
                <w:color w:val="auto"/>
              </w:rPr>
            </w:pPr>
            <w:r>
              <w:rPr>
                <w:rFonts w:ascii="Arial" w:cs="Arial" w:eastAsia="Arial" w:hAnsi="Arial"/>
                <w:sz w:val="14"/>
                <w:szCs w:val="14"/>
                <w:b w:val="1"/>
                <w:bCs w:val="1"/>
                <w:color w:val="auto"/>
                <w:w w:val="89"/>
              </w:rPr>
              <w:t>Shares Deemed</w:t>
            </w:r>
          </w:p>
        </w:tc>
        <w:tc>
          <w:tcPr>
            <w:tcW w:w="1800" w:type="dxa"/>
            <w:vAlign w:val="bottom"/>
            <w:gridSpan w:val="2"/>
            <w:vMerge w:val="restart"/>
          </w:tcPr>
          <w:p>
            <w:pPr>
              <w:jc w:val="center"/>
              <w:ind w:right="820"/>
              <w:spacing w:after="0"/>
              <w:rPr>
                <w:sz w:val="20"/>
                <w:szCs w:val="20"/>
                <w:color w:val="auto"/>
              </w:rPr>
            </w:pPr>
            <w:r>
              <w:rPr>
                <w:rFonts w:ascii="Arial" w:cs="Arial" w:eastAsia="Arial" w:hAnsi="Arial"/>
                <w:sz w:val="14"/>
                <w:szCs w:val="14"/>
                <w:b w:val="1"/>
                <w:bCs w:val="1"/>
                <w:color w:val="auto"/>
                <w:w w:val="90"/>
              </w:rPr>
              <w:t>Stock Held as a</w:t>
            </w:r>
          </w:p>
        </w:tc>
        <w:tc>
          <w:tcPr>
            <w:tcW w:w="10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560" w:type="dxa"/>
            <w:vAlign w:val="bottom"/>
          </w:tcPr>
          <w:p>
            <w:pPr>
              <w:spacing w:after="0"/>
              <w:rPr>
                <w:sz w:val="12"/>
                <w:szCs w:val="12"/>
                <w:color w:val="auto"/>
              </w:rPr>
            </w:pPr>
          </w:p>
        </w:tc>
        <w:tc>
          <w:tcPr>
            <w:tcW w:w="2760" w:type="dxa"/>
            <w:vAlign w:val="bottom"/>
          </w:tcPr>
          <w:p>
            <w:pPr>
              <w:spacing w:after="0"/>
              <w:rPr>
                <w:sz w:val="12"/>
                <w:szCs w:val="12"/>
                <w:color w:val="auto"/>
              </w:rPr>
            </w:pPr>
          </w:p>
        </w:tc>
        <w:tc>
          <w:tcPr>
            <w:tcW w:w="1580" w:type="dxa"/>
            <w:vAlign w:val="bottom"/>
            <w:gridSpan w:val="2"/>
          </w:tcPr>
          <w:p>
            <w:pPr>
              <w:jc w:val="center"/>
              <w:ind w:right="740"/>
              <w:spacing w:after="0" w:line="149" w:lineRule="exact"/>
              <w:rPr>
                <w:sz w:val="20"/>
                <w:szCs w:val="20"/>
                <w:color w:val="auto"/>
              </w:rPr>
            </w:pPr>
            <w:r>
              <w:rPr>
                <w:rFonts w:ascii="Arial" w:cs="Arial" w:eastAsia="Arial" w:hAnsi="Arial"/>
                <w:sz w:val="14"/>
                <w:szCs w:val="14"/>
                <w:b w:val="1"/>
                <w:bCs w:val="1"/>
                <w:color w:val="auto"/>
                <w:w w:val="90"/>
              </w:rPr>
              <w:t>2017, based</w:t>
            </w:r>
          </w:p>
        </w:tc>
        <w:tc>
          <w:tcPr>
            <w:tcW w:w="1800" w:type="dxa"/>
            <w:vAlign w:val="bottom"/>
            <w:gridSpan w:val="2"/>
          </w:tcPr>
          <w:p>
            <w:pPr>
              <w:jc w:val="center"/>
              <w:ind w:right="740"/>
              <w:spacing w:after="0" w:line="149" w:lineRule="exact"/>
              <w:rPr>
                <w:sz w:val="20"/>
                <w:szCs w:val="20"/>
                <w:color w:val="auto"/>
              </w:rPr>
            </w:pPr>
            <w:r>
              <w:rPr>
                <w:rFonts w:ascii="Arial" w:cs="Arial" w:eastAsia="Arial" w:hAnsi="Arial"/>
                <w:sz w:val="14"/>
                <w:szCs w:val="14"/>
                <w:b w:val="1"/>
                <w:bCs w:val="1"/>
                <w:color w:val="auto"/>
                <w:w w:val="92"/>
              </w:rPr>
              <w:t>Held as of</w:t>
            </w:r>
          </w:p>
        </w:tc>
        <w:tc>
          <w:tcPr>
            <w:tcW w:w="1800" w:type="dxa"/>
            <w:vAlign w:val="bottom"/>
            <w:gridSpan w:val="2"/>
            <w:vMerge w:val="continue"/>
          </w:tcPr>
          <w:p>
            <w:pPr>
              <w:spacing w:after="0"/>
              <w:rPr>
                <w:sz w:val="12"/>
                <w:szCs w:val="12"/>
                <w:color w:val="auto"/>
              </w:rPr>
            </w:pPr>
          </w:p>
        </w:tc>
        <w:tc>
          <w:tcPr>
            <w:tcW w:w="100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4"/>
              </w:rPr>
              <w:t>Net Share</w:t>
            </w:r>
          </w:p>
        </w:tc>
        <w:tc>
          <w:tcPr>
            <w:tcW w:w="0" w:type="dxa"/>
            <w:vAlign w:val="bottom"/>
          </w:tcPr>
          <w:p>
            <w:pPr>
              <w:spacing w:after="0"/>
              <w:rPr>
                <w:sz w:val="1"/>
                <w:szCs w:val="1"/>
                <w:color w:val="auto"/>
              </w:rPr>
            </w:pPr>
          </w:p>
        </w:tc>
      </w:tr>
      <w:tr>
        <w:trPr>
          <w:trHeight w:val="149"/>
        </w:trPr>
        <w:tc>
          <w:tcPr>
            <w:tcW w:w="1560" w:type="dxa"/>
            <w:vAlign w:val="bottom"/>
          </w:tcPr>
          <w:p>
            <w:pPr>
              <w:spacing w:after="0"/>
              <w:rPr>
                <w:sz w:val="12"/>
                <w:szCs w:val="12"/>
                <w:color w:val="auto"/>
              </w:rPr>
            </w:pPr>
          </w:p>
        </w:tc>
        <w:tc>
          <w:tcPr>
            <w:tcW w:w="2760" w:type="dxa"/>
            <w:vAlign w:val="bottom"/>
          </w:tcPr>
          <w:p>
            <w:pPr>
              <w:spacing w:after="0"/>
              <w:rPr>
                <w:sz w:val="12"/>
                <w:szCs w:val="12"/>
                <w:color w:val="auto"/>
              </w:rPr>
            </w:pPr>
          </w:p>
        </w:tc>
        <w:tc>
          <w:tcPr>
            <w:tcW w:w="1580" w:type="dxa"/>
            <w:vAlign w:val="bottom"/>
            <w:gridSpan w:val="2"/>
          </w:tcPr>
          <w:p>
            <w:pPr>
              <w:jc w:val="center"/>
              <w:ind w:right="740"/>
              <w:spacing w:after="0" w:line="149" w:lineRule="exact"/>
              <w:rPr>
                <w:sz w:val="20"/>
                <w:szCs w:val="20"/>
                <w:color w:val="auto"/>
              </w:rPr>
            </w:pPr>
            <w:r>
              <w:rPr>
                <w:rFonts w:ascii="Arial" w:cs="Arial" w:eastAsia="Arial" w:hAnsi="Arial"/>
                <w:sz w:val="14"/>
                <w:szCs w:val="14"/>
                <w:b w:val="1"/>
                <w:bCs w:val="1"/>
                <w:color w:val="auto"/>
                <w:w w:val="93"/>
              </w:rPr>
              <w:t>on</w:t>
            </w:r>
          </w:p>
        </w:tc>
        <w:tc>
          <w:tcPr>
            <w:tcW w:w="1800" w:type="dxa"/>
            <w:vAlign w:val="bottom"/>
            <w:gridSpan w:val="2"/>
          </w:tcPr>
          <w:p>
            <w:pPr>
              <w:jc w:val="center"/>
              <w:ind w:right="740"/>
              <w:spacing w:after="0" w:line="149" w:lineRule="exact"/>
              <w:rPr>
                <w:sz w:val="20"/>
                <w:szCs w:val="20"/>
                <w:color w:val="auto"/>
              </w:rPr>
            </w:pPr>
            <w:r>
              <w:rPr>
                <w:rFonts w:ascii="Arial" w:cs="Arial" w:eastAsia="Arial" w:hAnsi="Arial"/>
                <w:sz w:val="14"/>
                <w:szCs w:val="14"/>
                <w:b w:val="1"/>
                <w:bCs w:val="1"/>
                <w:color w:val="auto"/>
                <w:w w:val="94"/>
              </w:rPr>
              <w:t>January 1, 2017,</w:t>
            </w:r>
          </w:p>
        </w:tc>
        <w:tc>
          <w:tcPr>
            <w:tcW w:w="1800" w:type="dxa"/>
            <w:vAlign w:val="bottom"/>
            <w:gridSpan w:val="2"/>
          </w:tcPr>
          <w:p>
            <w:pPr>
              <w:jc w:val="center"/>
              <w:ind w:right="820"/>
              <w:spacing w:after="0" w:line="149" w:lineRule="exact"/>
              <w:rPr>
                <w:sz w:val="20"/>
                <w:szCs w:val="20"/>
                <w:color w:val="auto"/>
              </w:rPr>
            </w:pPr>
            <w:r>
              <w:rPr>
                <w:rFonts w:ascii="Arial" w:cs="Arial" w:eastAsia="Arial" w:hAnsi="Arial"/>
                <w:sz w:val="14"/>
                <w:szCs w:val="14"/>
                <w:b w:val="1"/>
                <w:bCs w:val="1"/>
                <w:color w:val="auto"/>
              </w:rPr>
              <w:t>% of</w:t>
            </w:r>
          </w:p>
        </w:tc>
        <w:tc>
          <w:tcPr>
            <w:tcW w:w="1000" w:type="dxa"/>
            <w:vAlign w:val="bottom"/>
            <w:gridSpan w:val="2"/>
          </w:tcPr>
          <w:p>
            <w:pPr>
              <w:jc w:val="center"/>
              <w:ind w:right="40"/>
              <w:spacing w:after="0" w:line="149" w:lineRule="exact"/>
              <w:rPr>
                <w:sz w:val="20"/>
                <w:szCs w:val="20"/>
                <w:color w:val="auto"/>
              </w:rPr>
            </w:pPr>
            <w:r>
              <w:rPr>
                <w:rFonts w:ascii="Arial" w:cs="Arial" w:eastAsia="Arial" w:hAnsi="Arial"/>
                <w:sz w:val="14"/>
                <w:szCs w:val="14"/>
                <w:b w:val="1"/>
                <w:bCs w:val="1"/>
                <w:color w:val="auto"/>
                <w:w w:val="92"/>
              </w:rPr>
              <w:t>Retention</w:t>
            </w:r>
          </w:p>
        </w:tc>
        <w:tc>
          <w:tcPr>
            <w:tcW w:w="0" w:type="dxa"/>
            <w:vAlign w:val="bottom"/>
          </w:tcPr>
          <w:p>
            <w:pPr>
              <w:spacing w:after="0"/>
              <w:rPr>
                <w:sz w:val="1"/>
                <w:szCs w:val="1"/>
                <w:color w:val="auto"/>
              </w:rPr>
            </w:pPr>
          </w:p>
        </w:tc>
      </w:tr>
      <w:tr>
        <w:trPr>
          <w:trHeight w:val="149"/>
        </w:trPr>
        <w:tc>
          <w:tcPr>
            <w:tcW w:w="1560" w:type="dxa"/>
            <w:vAlign w:val="bottom"/>
          </w:tcPr>
          <w:p>
            <w:pPr>
              <w:spacing w:after="0"/>
              <w:rPr>
                <w:sz w:val="12"/>
                <w:szCs w:val="12"/>
                <w:color w:val="auto"/>
              </w:rPr>
            </w:pPr>
          </w:p>
        </w:tc>
        <w:tc>
          <w:tcPr>
            <w:tcW w:w="2760" w:type="dxa"/>
            <w:vAlign w:val="bottom"/>
          </w:tcPr>
          <w:p>
            <w:pPr>
              <w:spacing w:after="0"/>
              <w:rPr>
                <w:sz w:val="12"/>
                <w:szCs w:val="12"/>
                <w:color w:val="auto"/>
              </w:rPr>
            </w:pPr>
          </w:p>
        </w:tc>
        <w:tc>
          <w:tcPr>
            <w:tcW w:w="1580" w:type="dxa"/>
            <w:vAlign w:val="bottom"/>
            <w:gridSpan w:val="2"/>
          </w:tcPr>
          <w:p>
            <w:pPr>
              <w:jc w:val="center"/>
              <w:ind w:right="740"/>
              <w:spacing w:after="0" w:line="149" w:lineRule="exact"/>
              <w:rPr>
                <w:sz w:val="20"/>
                <w:szCs w:val="20"/>
                <w:color w:val="auto"/>
              </w:rPr>
            </w:pPr>
            <w:r>
              <w:rPr>
                <w:rFonts w:ascii="Arial" w:cs="Arial" w:eastAsia="Arial" w:hAnsi="Arial"/>
                <w:sz w:val="14"/>
                <w:szCs w:val="14"/>
                <w:b w:val="1"/>
                <w:bCs w:val="1"/>
                <w:color w:val="auto"/>
                <w:w w:val="90"/>
              </w:rPr>
              <w:t>$4.37 stock</w:t>
            </w:r>
          </w:p>
        </w:tc>
        <w:tc>
          <w:tcPr>
            <w:tcW w:w="1800" w:type="dxa"/>
            <w:vAlign w:val="bottom"/>
            <w:gridSpan w:val="2"/>
          </w:tcPr>
          <w:p>
            <w:pPr>
              <w:jc w:val="center"/>
              <w:ind w:right="740"/>
              <w:spacing w:after="0" w:line="149" w:lineRule="exact"/>
              <w:rPr>
                <w:sz w:val="20"/>
                <w:szCs w:val="20"/>
                <w:color w:val="auto"/>
              </w:rPr>
            </w:pPr>
            <w:r>
              <w:rPr>
                <w:rFonts w:ascii="Arial" w:cs="Arial" w:eastAsia="Arial" w:hAnsi="Arial"/>
                <w:sz w:val="14"/>
                <w:szCs w:val="14"/>
                <w:b w:val="1"/>
                <w:bCs w:val="1"/>
                <w:color w:val="auto"/>
                <w:w w:val="89"/>
              </w:rPr>
              <w:t>based on $4.37</w:t>
            </w:r>
          </w:p>
        </w:tc>
        <w:tc>
          <w:tcPr>
            <w:tcW w:w="1800" w:type="dxa"/>
            <w:vAlign w:val="bottom"/>
            <w:gridSpan w:val="2"/>
          </w:tcPr>
          <w:p>
            <w:pPr>
              <w:jc w:val="center"/>
              <w:ind w:right="820"/>
              <w:spacing w:after="0" w:line="149" w:lineRule="exact"/>
              <w:rPr>
                <w:sz w:val="20"/>
                <w:szCs w:val="20"/>
                <w:color w:val="auto"/>
              </w:rPr>
            </w:pPr>
            <w:r>
              <w:rPr>
                <w:rFonts w:ascii="Arial" w:cs="Arial" w:eastAsia="Arial" w:hAnsi="Arial"/>
                <w:sz w:val="14"/>
                <w:szCs w:val="14"/>
                <w:b w:val="1"/>
                <w:bCs w:val="1"/>
                <w:color w:val="auto"/>
                <w:w w:val="90"/>
              </w:rPr>
              <w:t>Guidelines as</w:t>
            </w:r>
          </w:p>
        </w:tc>
        <w:tc>
          <w:tcPr>
            <w:tcW w:w="1000" w:type="dxa"/>
            <w:vAlign w:val="bottom"/>
            <w:gridSpan w:val="2"/>
          </w:tcPr>
          <w:p>
            <w:pPr>
              <w:jc w:val="center"/>
              <w:ind w:right="40"/>
              <w:spacing w:after="0" w:line="149" w:lineRule="exact"/>
              <w:rPr>
                <w:sz w:val="20"/>
                <w:szCs w:val="20"/>
                <w:color w:val="auto"/>
              </w:rPr>
            </w:pPr>
            <w:r>
              <w:rPr>
                <w:rFonts w:ascii="Arial" w:cs="Arial" w:eastAsia="Arial" w:hAnsi="Arial"/>
                <w:sz w:val="14"/>
                <w:szCs w:val="14"/>
                <w:b w:val="1"/>
                <w:bCs w:val="1"/>
                <w:color w:val="auto"/>
                <w:w w:val="97"/>
              </w:rPr>
              <w:t>Ratio For</w:t>
            </w:r>
          </w:p>
        </w:tc>
        <w:tc>
          <w:tcPr>
            <w:tcW w:w="0" w:type="dxa"/>
            <w:vAlign w:val="bottom"/>
          </w:tcPr>
          <w:p>
            <w:pPr>
              <w:spacing w:after="0"/>
              <w:rPr>
                <w:sz w:val="1"/>
                <w:szCs w:val="1"/>
                <w:color w:val="auto"/>
              </w:rPr>
            </w:pPr>
          </w:p>
        </w:tc>
      </w:tr>
      <w:tr>
        <w:trPr>
          <w:trHeight w:val="149"/>
        </w:trPr>
        <w:tc>
          <w:tcPr>
            <w:tcW w:w="1560" w:type="dxa"/>
            <w:vAlign w:val="bottom"/>
            <w:vMerge w:val="restart"/>
          </w:tcPr>
          <w:p>
            <w:pPr>
              <w:spacing w:after="0"/>
              <w:rPr>
                <w:sz w:val="20"/>
                <w:szCs w:val="20"/>
                <w:color w:val="auto"/>
              </w:rPr>
            </w:pPr>
            <w:r>
              <w:rPr>
                <w:rFonts w:ascii="Arial" w:cs="Arial" w:eastAsia="Arial" w:hAnsi="Arial"/>
                <w:sz w:val="14"/>
                <w:szCs w:val="14"/>
                <w:b w:val="1"/>
                <w:bCs w:val="1"/>
                <w:color w:val="auto"/>
                <w:w w:val="93"/>
              </w:rPr>
              <w:t>Named Executive Officer</w:t>
            </w:r>
          </w:p>
        </w:tc>
        <w:tc>
          <w:tcPr>
            <w:tcW w:w="2760" w:type="dxa"/>
            <w:vAlign w:val="bottom"/>
          </w:tcPr>
          <w:p>
            <w:pPr>
              <w:spacing w:after="0"/>
              <w:rPr>
                <w:sz w:val="12"/>
                <w:szCs w:val="12"/>
                <w:color w:val="auto"/>
              </w:rPr>
            </w:pPr>
          </w:p>
        </w:tc>
        <w:tc>
          <w:tcPr>
            <w:tcW w:w="1580" w:type="dxa"/>
            <w:vAlign w:val="bottom"/>
            <w:gridSpan w:val="2"/>
          </w:tcPr>
          <w:p>
            <w:pPr>
              <w:jc w:val="center"/>
              <w:ind w:right="740"/>
              <w:spacing w:after="0" w:line="149" w:lineRule="exact"/>
              <w:rPr>
                <w:sz w:val="20"/>
                <w:szCs w:val="20"/>
                <w:color w:val="auto"/>
              </w:rPr>
            </w:pPr>
            <w:r>
              <w:rPr>
                <w:rFonts w:ascii="Arial" w:cs="Arial" w:eastAsia="Arial" w:hAnsi="Arial"/>
                <w:sz w:val="14"/>
                <w:szCs w:val="14"/>
                <w:b w:val="1"/>
                <w:bCs w:val="1"/>
                <w:color w:val="auto"/>
                <w:w w:val="95"/>
              </w:rPr>
              <w:t>price</w:t>
            </w:r>
          </w:p>
        </w:tc>
        <w:tc>
          <w:tcPr>
            <w:tcW w:w="1800" w:type="dxa"/>
            <w:vAlign w:val="bottom"/>
            <w:gridSpan w:val="2"/>
          </w:tcPr>
          <w:p>
            <w:pPr>
              <w:jc w:val="center"/>
              <w:ind w:right="760"/>
              <w:spacing w:after="0" w:line="149" w:lineRule="exact"/>
              <w:rPr>
                <w:sz w:val="20"/>
                <w:szCs w:val="20"/>
                <w:color w:val="auto"/>
              </w:rPr>
            </w:pPr>
            <w:r>
              <w:rPr>
                <w:rFonts w:ascii="Arial" w:cs="Arial" w:eastAsia="Arial" w:hAnsi="Arial"/>
                <w:sz w:val="14"/>
                <w:szCs w:val="14"/>
                <w:b w:val="1"/>
                <w:bCs w:val="1"/>
                <w:color w:val="auto"/>
                <w:w w:val="91"/>
              </w:rPr>
              <w:t>stock price</w:t>
            </w:r>
          </w:p>
        </w:tc>
        <w:tc>
          <w:tcPr>
            <w:tcW w:w="1800" w:type="dxa"/>
            <w:vAlign w:val="bottom"/>
            <w:gridSpan w:val="2"/>
          </w:tcPr>
          <w:p>
            <w:pPr>
              <w:jc w:val="center"/>
              <w:ind w:right="820"/>
              <w:spacing w:after="0" w:line="149" w:lineRule="exact"/>
              <w:rPr>
                <w:sz w:val="20"/>
                <w:szCs w:val="20"/>
                <w:color w:val="auto"/>
              </w:rPr>
            </w:pPr>
            <w:r>
              <w:rPr>
                <w:rFonts w:ascii="Arial" w:cs="Arial" w:eastAsia="Arial" w:hAnsi="Arial"/>
                <w:sz w:val="14"/>
                <w:szCs w:val="14"/>
                <w:b w:val="1"/>
                <w:bCs w:val="1"/>
                <w:color w:val="auto"/>
                <w:w w:val="94"/>
              </w:rPr>
              <w:t>of January 1,</w:t>
            </w:r>
          </w:p>
        </w:tc>
        <w:tc>
          <w:tcPr>
            <w:tcW w:w="1000" w:type="dxa"/>
            <w:vAlign w:val="bottom"/>
            <w:gridSpan w:val="2"/>
          </w:tcPr>
          <w:p>
            <w:pPr>
              <w:jc w:val="center"/>
              <w:ind w:right="40"/>
              <w:spacing w:after="0" w:line="149" w:lineRule="exact"/>
              <w:rPr>
                <w:sz w:val="20"/>
                <w:szCs w:val="20"/>
                <w:color w:val="auto"/>
              </w:rPr>
            </w:pPr>
            <w:r>
              <w:rPr>
                <w:rFonts w:ascii="Arial" w:cs="Arial" w:eastAsia="Arial" w:hAnsi="Arial"/>
                <w:sz w:val="14"/>
                <w:szCs w:val="14"/>
                <w:b w:val="1"/>
                <w:bCs w:val="1"/>
                <w:color w:val="auto"/>
                <w:w w:val="96"/>
              </w:rPr>
              <w:t>Duration of</w:t>
            </w:r>
          </w:p>
        </w:tc>
        <w:tc>
          <w:tcPr>
            <w:tcW w:w="0" w:type="dxa"/>
            <w:vAlign w:val="bottom"/>
          </w:tcPr>
          <w:p>
            <w:pPr>
              <w:spacing w:after="0"/>
              <w:rPr>
                <w:sz w:val="1"/>
                <w:szCs w:val="1"/>
                <w:color w:val="auto"/>
              </w:rPr>
            </w:pPr>
          </w:p>
        </w:tc>
      </w:tr>
      <w:tr>
        <w:trPr>
          <w:trHeight w:val="171"/>
        </w:trPr>
        <w:tc>
          <w:tcPr>
            <w:tcW w:w="1560" w:type="dxa"/>
            <w:vAlign w:val="bottom"/>
            <w:tcBorders>
              <w:bottom w:val="single" w:sz="8" w:color="auto"/>
            </w:tcBorders>
            <w:vMerge w:val="continue"/>
          </w:tcPr>
          <w:p>
            <w:pPr>
              <w:spacing w:after="0"/>
              <w:rPr>
                <w:sz w:val="14"/>
                <w:szCs w:val="14"/>
                <w:color w:val="auto"/>
              </w:rPr>
            </w:pPr>
          </w:p>
        </w:tc>
        <w:tc>
          <w:tcPr>
            <w:tcW w:w="2760" w:type="dxa"/>
            <w:vAlign w:val="bottom"/>
            <w:tcBorders>
              <w:bottom w:val="single" w:sz="8" w:color="CCEEFF"/>
            </w:tcBorders>
          </w:tcPr>
          <w:p>
            <w:pPr>
              <w:spacing w:after="0"/>
              <w:rPr>
                <w:sz w:val="14"/>
                <w:szCs w:val="14"/>
                <w:color w:val="auto"/>
              </w:rPr>
            </w:pP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average (#)</w:t>
            </w:r>
          </w:p>
        </w:tc>
        <w:tc>
          <w:tcPr>
            <w:tcW w:w="760" w:type="dxa"/>
            <w:vAlign w:val="bottom"/>
            <w:tcBorders>
              <w:bottom w:val="single" w:sz="8" w:color="CCEEFF"/>
            </w:tcBorders>
          </w:tcPr>
          <w:p>
            <w:pPr>
              <w:spacing w:after="0"/>
              <w:rPr>
                <w:sz w:val="14"/>
                <w:szCs w:val="14"/>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average (#)</w:t>
            </w:r>
          </w:p>
        </w:tc>
        <w:tc>
          <w:tcPr>
            <w:tcW w:w="760" w:type="dxa"/>
            <w:vAlign w:val="bottom"/>
            <w:tcBorders>
              <w:bottom w:val="single" w:sz="8" w:color="CCEEFF"/>
            </w:tcBorders>
          </w:tcPr>
          <w:p>
            <w:pPr>
              <w:spacing w:after="0"/>
              <w:rPr>
                <w:sz w:val="14"/>
                <w:szCs w:val="14"/>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2017</w:t>
            </w:r>
          </w:p>
        </w:tc>
        <w:tc>
          <w:tcPr>
            <w:tcW w:w="840" w:type="dxa"/>
            <w:vAlign w:val="bottom"/>
            <w:tcBorders>
              <w:bottom w:val="single" w:sz="8" w:color="CCEEFF"/>
            </w:tcBorders>
          </w:tcPr>
          <w:p>
            <w:pPr>
              <w:spacing w:after="0"/>
              <w:rPr>
                <w:sz w:val="14"/>
                <w:szCs w:val="14"/>
                <w:color w:val="auto"/>
              </w:rPr>
            </w:pPr>
          </w:p>
        </w:tc>
        <w:tc>
          <w:tcPr>
            <w:tcW w:w="9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2017</w:t>
            </w:r>
          </w:p>
        </w:tc>
        <w:tc>
          <w:tcPr>
            <w:tcW w:w="6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rPr>
              <w:t xml:space="preserve">Mr. McInerney </w:t>
            </w:r>
            <w:r>
              <w:rPr>
                <w:rFonts w:ascii="Arial" w:cs="Arial" w:eastAsia="Arial" w:hAnsi="Arial"/>
                <w:sz w:val="15"/>
                <w:szCs w:val="15"/>
                <w:color w:val="auto"/>
              </w:rPr>
              <w:t>(1)</w:t>
            </w:r>
          </w:p>
        </w:tc>
        <w:tc>
          <w:tcPr>
            <w:tcW w:w="27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1,600,183</w:t>
            </w:r>
          </w:p>
        </w:tc>
        <w:tc>
          <w:tcPr>
            <w:tcW w:w="7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164,602</w:t>
            </w:r>
          </w:p>
        </w:tc>
        <w:tc>
          <w:tcPr>
            <w:tcW w:w="760" w:type="dxa"/>
            <w:vAlign w:val="bottom"/>
            <w:shd w:val="clear" w:color="auto" w:fill="CCEEFF"/>
          </w:tcPr>
          <w:p>
            <w:pPr>
              <w:spacing w:after="0"/>
              <w:rPr>
                <w:sz w:val="18"/>
                <w:szCs w:val="18"/>
                <w:color w:val="auto"/>
              </w:rPr>
            </w:pPr>
          </w:p>
        </w:tc>
        <w:tc>
          <w:tcPr>
            <w:tcW w:w="180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10%</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Yes</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60" w:type="dxa"/>
            <w:vAlign w:val="bottom"/>
          </w:tcPr>
          <w:p>
            <w:pPr>
              <w:spacing w:after="0"/>
              <w:rPr>
                <w:sz w:val="20"/>
                <w:szCs w:val="20"/>
                <w:color w:val="auto"/>
              </w:rPr>
            </w:pPr>
            <w:r>
              <w:rPr>
                <w:rFonts w:ascii="Arial" w:cs="Arial" w:eastAsia="Arial" w:hAnsi="Arial"/>
                <w:sz w:val="18"/>
                <w:szCs w:val="18"/>
                <w:color w:val="auto"/>
              </w:rPr>
              <w:t>Ms. Groh</w:t>
            </w:r>
          </w:p>
        </w:tc>
        <w:tc>
          <w:tcPr>
            <w:tcW w:w="3580" w:type="dxa"/>
            <w:vAlign w:val="bottom"/>
            <w:gridSpan w:val="2"/>
          </w:tcPr>
          <w:p>
            <w:pPr>
              <w:jc w:val="right"/>
              <w:spacing w:after="0"/>
              <w:rPr>
                <w:sz w:val="20"/>
                <w:szCs w:val="20"/>
                <w:color w:val="auto"/>
              </w:rPr>
            </w:pPr>
            <w:r>
              <w:rPr>
                <w:rFonts w:ascii="Arial" w:cs="Arial" w:eastAsia="Arial" w:hAnsi="Arial"/>
                <w:sz w:val="18"/>
                <w:szCs w:val="18"/>
                <w:color w:val="auto"/>
              </w:rPr>
              <w:t>377,186</w:t>
            </w:r>
          </w:p>
        </w:tc>
        <w:tc>
          <w:tcPr>
            <w:tcW w:w="76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233,604</w:t>
            </w:r>
          </w:p>
        </w:tc>
        <w:tc>
          <w:tcPr>
            <w:tcW w:w="760" w:type="dxa"/>
            <w:vAlign w:val="bottom"/>
          </w:tcPr>
          <w:p>
            <w:pPr>
              <w:spacing w:after="0"/>
              <w:rPr>
                <w:sz w:val="18"/>
                <w:szCs w:val="18"/>
                <w:color w:val="auto"/>
              </w:rPr>
            </w:pPr>
          </w:p>
        </w:tc>
        <w:tc>
          <w:tcPr>
            <w:tcW w:w="1800" w:type="dxa"/>
            <w:vAlign w:val="bottom"/>
            <w:gridSpan w:val="2"/>
          </w:tcPr>
          <w:p>
            <w:pPr>
              <w:jc w:val="right"/>
              <w:ind w:right="680"/>
              <w:spacing w:after="0"/>
              <w:rPr>
                <w:sz w:val="20"/>
                <w:szCs w:val="20"/>
                <w:color w:val="auto"/>
              </w:rPr>
            </w:pPr>
            <w:r>
              <w:rPr>
                <w:rFonts w:ascii="Arial" w:cs="Arial" w:eastAsia="Arial" w:hAnsi="Arial"/>
                <w:sz w:val="18"/>
                <w:szCs w:val="18"/>
                <w:color w:val="auto"/>
              </w:rPr>
              <w:t>62%</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Yes</w:t>
            </w:r>
          </w:p>
        </w:tc>
        <w:tc>
          <w:tcPr>
            <w:tcW w:w="0" w:type="dxa"/>
            <w:vAlign w:val="bottom"/>
          </w:tcPr>
          <w:p>
            <w:pPr>
              <w:spacing w:after="0"/>
              <w:rPr>
                <w:sz w:val="1"/>
                <w:szCs w:val="1"/>
                <w:color w:val="auto"/>
              </w:rPr>
            </w:pPr>
          </w:p>
        </w:tc>
      </w:tr>
      <w:tr>
        <w:trPr>
          <w:trHeight w:val="216"/>
        </w:trPr>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rPr>
              <w:t>Mr. Schneider</w:t>
            </w:r>
          </w:p>
        </w:tc>
        <w:tc>
          <w:tcPr>
            <w:tcW w:w="3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497,200</w:t>
            </w:r>
          </w:p>
        </w:tc>
        <w:tc>
          <w:tcPr>
            <w:tcW w:w="7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509,790</w:t>
            </w:r>
          </w:p>
        </w:tc>
        <w:tc>
          <w:tcPr>
            <w:tcW w:w="760" w:type="dxa"/>
            <w:vAlign w:val="bottom"/>
            <w:shd w:val="clear" w:color="auto" w:fill="CCEEFF"/>
          </w:tcPr>
          <w:p>
            <w:pPr>
              <w:spacing w:after="0"/>
              <w:rPr>
                <w:sz w:val="18"/>
                <w:szCs w:val="18"/>
                <w:color w:val="auto"/>
              </w:rPr>
            </w:pPr>
          </w:p>
        </w:tc>
        <w:tc>
          <w:tcPr>
            <w:tcW w:w="180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&gt; 100%</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No</w:t>
            </w:r>
          </w:p>
        </w:tc>
        <w:tc>
          <w:tcPr>
            <w:tcW w:w="0" w:type="dxa"/>
            <w:vAlign w:val="bottom"/>
          </w:tcPr>
          <w:p>
            <w:pPr>
              <w:spacing w:after="0"/>
              <w:rPr>
                <w:sz w:val="1"/>
                <w:szCs w:val="1"/>
                <w:color w:val="auto"/>
              </w:rPr>
            </w:pPr>
          </w:p>
        </w:tc>
      </w:tr>
      <w:tr>
        <w:trPr>
          <w:trHeight w:val="216"/>
        </w:trPr>
        <w:tc>
          <w:tcPr>
            <w:tcW w:w="1560" w:type="dxa"/>
            <w:vAlign w:val="bottom"/>
          </w:tcPr>
          <w:p>
            <w:pPr>
              <w:spacing w:after="0"/>
              <w:rPr>
                <w:sz w:val="20"/>
                <w:szCs w:val="20"/>
                <w:color w:val="auto"/>
              </w:rPr>
            </w:pPr>
            <w:r>
              <w:rPr>
                <w:rFonts w:ascii="Arial" w:cs="Arial" w:eastAsia="Arial" w:hAnsi="Arial"/>
                <w:sz w:val="18"/>
                <w:szCs w:val="18"/>
                <w:color w:val="auto"/>
              </w:rPr>
              <w:t>Mr. Bobitz</w:t>
            </w:r>
          </w:p>
        </w:tc>
        <w:tc>
          <w:tcPr>
            <w:tcW w:w="3580" w:type="dxa"/>
            <w:vAlign w:val="bottom"/>
            <w:gridSpan w:val="2"/>
          </w:tcPr>
          <w:p>
            <w:pPr>
              <w:jc w:val="right"/>
              <w:spacing w:after="0"/>
              <w:rPr>
                <w:sz w:val="20"/>
                <w:szCs w:val="20"/>
                <w:color w:val="auto"/>
              </w:rPr>
            </w:pPr>
            <w:r>
              <w:rPr>
                <w:rFonts w:ascii="Arial" w:cs="Arial" w:eastAsia="Arial" w:hAnsi="Arial"/>
                <w:sz w:val="18"/>
                <w:szCs w:val="18"/>
                <w:color w:val="auto"/>
              </w:rPr>
              <w:t>194,308</w:t>
            </w:r>
          </w:p>
        </w:tc>
        <w:tc>
          <w:tcPr>
            <w:tcW w:w="76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141,229</w:t>
            </w:r>
          </w:p>
        </w:tc>
        <w:tc>
          <w:tcPr>
            <w:tcW w:w="760" w:type="dxa"/>
            <w:vAlign w:val="bottom"/>
          </w:tcPr>
          <w:p>
            <w:pPr>
              <w:spacing w:after="0"/>
              <w:rPr>
                <w:sz w:val="18"/>
                <w:szCs w:val="18"/>
                <w:color w:val="auto"/>
              </w:rPr>
            </w:pPr>
          </w:p>
        </w:tc>
        <w:tc>
          <w:tcPr>
            <w:tcW w:w="1800" w:type="dxa"/>
            <w:vAlign w:val="bottom"/>
            <w:gridSpan w:val="2"/>
          </w:tcPr>
          <w:p>
            <w:pPr>
              <w:jc w:val="right"/>
              <w:ind w:right="680"/>
              <w:spacing w:after="0"/>
              <w:rPr>
                <w:sz w:val="20"/>
                <w:szCs w:val="20"/>
                <w:color w:val="auto"/>
              </w:rPr>
            </w:pPr>
            <w:r>
              <w:rPr>
                <w:rFonts w:ascii="Arial" w:cs="Arial" w:eastAsia="Arial" w:hAnsi="Arial"/>
                <w:sz w:val="18"/>
                <w:szCs w:val="18"/>
                <w:color w:val="auto"/>
              </w:rPr>
              <w:t>73%</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Yes</w:t>
            </w:r>
          </w:p>
        </w:tc>
        <w:tc>
          <w:tcPr>
            <w:tcW w:w="0" w:type="dxa"/>
            <w:vAlign w:val="bottom"/>
          </w:tcPr>
          <w:p>
            <w:pPr>
              <w:spacing w:after="0"/>
              <w:rPr>
                <w:sz w:val="1"/>
                <w:szCs w:val="1"/>
                <w:color w:val="auto"/>
              </w:rPr>
            </w:pPr>
          </w:p>
        </w:tc>
      </w:tr>
      <w:tr>
        <w:trPr>
          <w:trHeight w:val="216"/>
        </w:trPr>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rPr>
              <w:t>Mr. Sheehan</w:t>
            </w:r>
          </w:p>
        </w:tc>
        <w:tc>
          <w:tcPr>
            <w:tcW w:w="434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color w:val="auto"/>
              </w:rPr>
              <w:t>411,476</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467,957</w:t>
            </w:r>
          </w:p>
        </w:tc>
        <w:tc>
          <w:tcPr>
            <w:tcW w:w="760" w:type="dxa"/>
            <w:vAlign w:val="bottom"/>
            <w:shd w:val="clear" w:color="auto" w:fill="CCEEFF"/>
          </w:tcPr>
          <w:p>
            <w:pPr>
              <w:spacing w:after="0"/>
              <w:rPr>
                <w:sz w:val="18"/>
                <w:szCs w:val="18"/>
                <w:color w:val="auto"/>
              </w:rPr>
            </w:pPr>
          </w:p>
        </w:tc>
        <w:tc>
          <w:tcPr>
            <w:tcW w:w="180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&gt; 100%</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No</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5" w:lineRule="exact"/>
        <w:rPr>
          <w:sz w:val="20"/>
          <w:szCs w:val="20"/>
          <w:color w:val="auto"/>
        </w:rPr>
      </w:pPr>
    </w:p>
    <w:p>
      <w:pPr>
        <w:ind w:left="460" w:right="40" w:hanging="452"/>
        <w:spacing w:after="0" w:line="293" w:lineRule="auto"/>
        <w:tabs>
          <w:tab w:leader="none" w:pos="460" w:val="left"/>
        </w:tabs>
        <w:numPr>
          <w:ilvl w:val="0"/>
          <w:numId w:val="39"/>
        </w:numPr>
        <w:rPr>
          <w:rFonts w:ascii="Arial" w:cs="Arial" w:eastAsia="Arial" w:hAnsi="Arial"/>
          <w:sz w:val="14"/>
          <w:szCs w:val="14"/>
          <w:color w:val="auto"/>
        </w:rPr>
      </w:pPr>
      <w:r>
        <w:rPr>
          <w:rFonts w:ascii="Arial" w:cs="Arial" w:eastAsia="Arial" w:hAnsi="Arial"/>
          <w:sz w:val="16"/>
          <w:szCs w:val="16"/>
          <w:color w:val="auto"/>
        </w:rPr>
        <w:t>Mr. McInerney was deemed to have met 42% of his ownership goal as of January 1, 2015, based on a $10.32 average stock price at that time. As a result of our measurement approach, the ownership requirements increased significantly for Mr. McInerney from that time until January 1, 2017, due to the decline in our stock price over that same time period. Additionally, the number of shares deemed to be held by Mr. McInerney for his vested SARs, awarded as the largest component of his initial grant at the time of his hiring, decreased to zero over that same period due to reductions in the “spread value” of that award. Mr. McInerney’s only other outstanding company equity awards are in the form of PSUs, which are not deemed as shares held until after they become vested. Mr. McInerney has not sold any shares of company stock since joining the company in 2013.</w:t>
      </w:r>
    </w:p>
    <w:p>
      <w:pPr>
        <w:spacing w:after="0" w:line="165" w:lineRule="exact"/>
        <w:rPr>
          <w:sz w:val="20"/>
          <w:szCs w:val="20"/>
          <w:color w:val="auto"/>
        </w:rPr>
      </w:pPr>
    </w:p>
    <w:p>
      <w:pPr>
        <w:ind w:right="260" w:firstLine="456"/>
        <w:spacing w:after="0" w:line="279" w:lineRule="auto"/>
        <w:rPr>
          <w:sz w:val="20"/>
          <w:szCs w:val="20"/>
          <w:color w:val="auto"/>
        </w:rPr>
      </w:pPr>
      <w:r>
        <w:rPr>
          <w:rFonts w:ascii="Arial" w:cs="Arial" w:eastAsia="Arial" w:hAnsi="Arial"/>
          <w:sz w:val="17"/>
          <w:szCs w:val="17"/>
          <w:color w:val="auto"/>
        </w:rPr>
        <w:t>Additionally, in order to minimize any possible appearance of an incentive for executive officers to seek to cause short-term increases in the price of Genworth shares in order to exercise stock options or SARs and sell the stock for unwarranted personal gains, the Compensation Committee requires executive officers to hold for at least nine months the shares of Genworth stock that they receive by exercising stock options or SARs (net of any shares applied for a cashless exercise or to pay applicable taxes). This requirement applies to all of our named executive officers.</w:t>
      </w:r>
    </w:p>
    <w:p>
      <w:pPr>
        <w:spacing w:after="0" w:line="280"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Anti-Hedging and Anti-Pledging Policies for Directors and Executive Officers</w:t>
      </w:r>
    </w:p>
    <w:p>
      <w:pPr>
        <w:spacing w:after="0" w:line="117"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The company maintains an anti-hedging policy, which prohibits executive officers and directors from buying or selling options (puts or calls) on Genworth securities on an exchange or in any other organized market, and also prohibits certain forms of hedging or monetization transactions with respect to Genworth securities, such as prepaid variable forward contracts, equity swaps, collars, forward sale contracts and exchange funds. The company maintains this policy because hedging transactions, which might be considered short-term bets on the movement of the company’s securities, could create the appearance that the person is trading based on inside information. In addition, transactions in options may also focus the person’s attention on short-term performance at the expense of our long-term objectives.</w:t>
      </w:r>
    </w:p>
    <w:p>
      <w:pPr>
        <w:spacing w:after="0" w:line="193" w:lineRule="exact"/>
        <w:rPr>
          <w:sz w:val="20"/>
          <w:szCs w:val="20"/>
          <w:color w:val="auto"/>
        </w:rPr>
      </w:pPr>
    </w:p>
    <w:p>
      <w:pPr>
        <w:ind w:right="100" w:firstLine="456"/>
        <w:spacing w:after="0" w:line="293" w:lineRule="auto"/>
        <w:rPr>
          <w:sz w:val="20"/>
          <w:szCs w:val="20"/>
          <w:color w:val="auto"/>
        </w:rPr>
      </w:pPr>
      <w:r>
        <w:rPr>
          <w:rFonts w:ascii="Arial" w:cs="Arial" w:eastAsia="Arial" w:hAnsi="Arial"/>
          <w:sz w:val="16"/>
          <w:szCs w:val="16"/>
          <w:color w:val="auto"/>
        </w:rPr>
        <w:t>The company also maintains an anti-pledging policy, which prohibits its executive officers and directors from holding Genworth securities in a margin account or otherwise pledging Genworth securities as collateral for a loan. Securities held in a margin account as collateral for a margin loan may be sold by the broker without the customer’s consent if the customer fails to meet a margin call. Similarly, securities pledged as collateral for a loan may be sold in foreclosure if the borrower defaults on the loan. The company maintains this policy because a margin sale or foreclosure sale may occur at a time when the pledger is aware of material nonpublic information or otherwise is not permitted to trade in Genworth securities and the margin sale or foreclosure sale of Genworth securities during such time could also create the appearance that the person is trading based on inside information.</w:t>
      </w:r>
    </w:p>
    <w:p>
      <w:pPr>
        <w:spacing w:after="0" w:line="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00"/>
          </w:cols>
          <w:pgMar w:left="240" w:top="459" w:right="25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Clawback Policy</w:t>
      </w:r>
    </w:p>
    <w:p>
      <w:pPr>
        <w:spacing w:after="0" w:line="117" w:lineRule="exact"/>
        <w:rPr>
          <w:sz w:val="20"/>
          <w:szCs w:val="20"/>
          <w:color w:val="auto"/>
        </w:rPr>
      </w:pPr>
    </w:p>
    <w:p>
      <w:pPr>
        <w:ind w:right="40" w:firstLine="456"/>
        <w:spacing w:after="0" w:line="272" w:lineRule="auto"/>
        <w:rPr>
          <w:sz w:val="20"/>
          <w:szCs w:val="20"/>
          <w:color w:val="auto"/>
        </w:rPr>
      </w:pPr>
      <w:r>
        <w:rPr>
          <w:rFonts w:ascii="Arial" w:cs="Arial" w:eastAsia="Arial" w:hAnsi="Arial"/>
          <w:sz w:val="17"/>
          <w:szCs w:val="17"/>
          <w:color w:val="auto"/>
        </w:rPr>
        <w:t>The company maintains a clawback policy under which the company will seek to recover, at the discretion and direction of the Compensation Committee, and after it has considered the costs and benefits of doing so, incentive compensation earned by, awarded or paid to a covered officer for performance periods beginning after January 1, 2011, if the result of a performance measure upon which the award was based or paid is subsequently restated or otherwise adjusted in a manner that would reduce the size of the award or payment (other than a restatement or adjustment due to a change in applicable accounting principles, rules or interpretations). In addition, if a covered officer engaged in fraud or intentional misconduct that contributed to an award or payment of incentive compensation to him or her that is greater than would have been paid or awarded in the absence of the misconduct, the company may take other remedial and recovery actions, as determined by the Compensation Committee.</w:t>
      </w:r>
    </w:p>
    <w:p>
      <w:pPr>
        <w:spacing w:after="0" w:line="286"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Tax and Accounting Considerations</w:t>
      </w:r>
    </w:p>
    <w:p>
      <w:pPr>
        <w:spacing w:after="0" w:line="117" w:lineRule="exact"/>
        <w:rPr>
          <w:sz w:val="20"/>
          <w:szCs w:val="20"/>
          <w:color w:val="auto"/>
        </w:rPr>
      </w:pPr>
    </w:p>
    <w:p>
      <w:pPr>
        <w:ind w:firstLine="456"/>
        <w:spacing w:after="0" w:line="269" w:lineRule="auto"/>
        <w:rPr>
          <w:sz w:val="20"/>
          <w:szCs w:val="20"/>
          <w:color w:val="auto"/>
        </w:rPr>
      </w:pPr>
      <w:r>
        <w:rPr>
          <w:rFonts w:ascii="Arial" w:cs="Arial" w:eastAsia="Arial" w:hAnsi="Arial"/>
          <w:sz w:val="17"/>
          <w:szCs w:val="17"/>
          <w:color w:val="auto"/>
        </w:rPr>
        <w:t>We consider accounting and tax implications when designing our executive compensation and incentive programs. For example, it is our intent to maximize the deductibility of executive compensation while retaining flexibility to compensate executive officers in a manner commensurate with performance and the competitive landscape for executive talent. In particular, 2016 annual cash incentives for our named executive officers and awards of RSUs and PSUs were granted pursuant to the 2012 Genworth Financial, Inc. Omnibus Incentive Plan. Using an “umbrella approach,” we annually establish objective performance goals for the purpose of ensuring that such awards qualify as performance-based compensation under Section 162(m) of the Internal Revenue Code (the “Code”), and therefore will be fully deductible by the company. These performance goals are used to establish maximum possible annual incentives payable to each of the named executive officers, and maximum possible awards of performance-based RSUs and PSUs for each of the named executive officers, each of which we refer to as the “Section 162(m) maximum awards.” Separately, the Compensation Committee employs negative discretion to reduce the Section 162(m) maximum awards, as it deems appropriate, based on the Compensation Committee’s evaluation of corporate, operational and individual performance. Other than base salaries, we have structured the main elements of our 2016 regular annual compensation programs for named executive officers, including annual incentives and annual long-term equity grants, to each qualify as performance-based compensation that is fully deductible by the company.</w:t>
      </w:r>
    </w:p>
    <w:p>
      <w:pPr>
        <w:spacing w:after="0" w:line="180"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As an example of our consideration of accounting impact, we noted that the Black-Scholes expense for stock options and SARs for the company has been significantly impacted by the company’s historical stock price volatility, resulting in significantly higher than normal expenses for such awards. This led us to make grants of Capped SARs from 2011 through 2015, in lieu of traditional non-qualified stock options or SARs, in order to achieve reduced compensation expense.</w:t>
      </w:r>
    </w:p>
    <w:p>
      <w:pPr>
        <w:spacing w:after="0" w:line="295"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Evaluation of Compensation Program Risks</w:t>
      </w:r>
    </w:p>
    <w:p>
      <w:pPr>
        <w:spacing w:after="0" w:line="117" w:lineRule="exact"/>
        <w:rPr>
          <w:sz w:val="20"/>
          <w:szCs w:val="20"/>
          <w:color w:val="auto"/>
        </w:rPr>
      </w:pPr>
    </w:p>
    <w:p>
      <w:pPr>
        <w:ind w:right="100" w:firstLine="456"/>
        <w:spacing w:after="0" w:line="257" w:lineRule="auto"/>
        <w:rPr>
          <w:sz w:val="20"/>
          <w:szCs w:val="20"/>
          <w:color w:val="auto"/>
        </w:rPr>
      </w:pPr>
      <w:r>
        <w:rPr>
          <w:rFonts w:ascii="Arial" w:cs="Arial" w:eastAsia="Arial" w:hAnsi="Arial"/>
          <w:sz w:val="18"/>
          <w:szCs w:val="18"/>
          <w:color w:val="auto"/>
        </w:rPr>
        <w:t>The Compensation Committee annually reviews a report prepared by management regarding the design and operation of our compensation arrangements for employees, including executive officers, for the purpose of determining whether such programs might encourage inappropriate risk-taking that could have a material adverse effect on the company. Following that review for 2016 compensation, the Compensation Committee agreed with management’s conclusion that the company’s compensation plans, programs and policies do not encourage employees to take risks that are reasonably likely to have a material adverse effect on the company.</w:t>
      </w:r>
    </w:p>
    <w:p>
      <w:pPr>
        <w:spacing w:after="0" w:line="12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00"/>
          </w:cols>
          <w:pgMar w:left="240" w:top="459" w:right="25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COMPENSATION</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provides information relating to compensation earned by or paid to our named executive officers in all capacities: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2016 Summary Compensation Table</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240" w:type="dxa"/>
            <w:vAlign w:val="bottom"/>
          </w:tcPr>
          <w:p>
            <w:pPr>
              <w:spacing w:after="0"/>
              <w:rPr>
                <w:sz w:val="14"/>
                <w:szCs w:val="14"/>
                <w:color w:val="auto"/>
              </w:rPr>
            </w:pPr>
          </w:p>
        </w:tc>
        <w:tc>
          <w:tcPr>
            <w:tcW w:w="20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Change in</w:t>
            </w:r>
          </w:p>
        </w:tc>
        <w:tc>
          <w:tcPr>
            <w:tcW w:w="9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24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Pension Value</w:t>
            </w:r>
          </w:p>
        </w:tc>
        <w:tc>
          <w:tcPr>
            <w:tcW w:w="9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4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6"/>
              </w:rPr>
              <w:t>and</w:t>
            </w:r>
          </w:p>
        </w:tc>
        <w:tc>
          <w:tcPr>
            <w:tcW w:w="9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4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2"/>
              </w:rPr>
              <w:t>Non-equity</w:t>
            </w:r>
          </w:p>
        </w:tc>
        <w:tc>
          <w:tcPr>
            <w:tcW w:w="11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Nonqualified</w:t>
            </w:r>
          </w:p>
        </w:tc>
        <w:tc>
          <w:tcPr>
            <w:tcW w:w="9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4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86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89"/>
              </w:rPr>
              <w:t>Stock</w:t>
            </w:r>
          </w:p>
        </w:tc>
        <w:tc>
          <w:tcPr>
            <w:tcW w:w="76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Option</w:t>
            </w:r>
          </w:p>
        </w:tc>
        <w:tc>
          <w:tcPr>
            <w:tcW w:w="1120" w:type="dxa"/>
            <w:vAlign w:val="bottom"/>
            <w:gridSpan w:val="2"/>
            <w:vMerge w:val="continue"/>
          </w:tcPr>
          <w:p>
            <w:pPr>
              <w:spacing w:after="0"/>
              <w:rPr>
                <w:sz w:val="12"/>
                <w:szCs w:val="12"/>
                <w:color w:val="auto"/>
              </w:rPr>
            </w:pPr>
          </w:p>
        </w:tc>
        <w:tc>
          <w:tcPr>
            <w:tcW w:w="11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3"/>
              </w:rPr>
              <w:t>Deferred</w:t>
            </w:r>
          </w:p>
        </w:tc>
        <w:tc>
          <w:tcPr>
            <w:tcW w:w="114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8"/>
              </w:rPr>
              <w:t>All Other</w:t>
            </w:r>
          </w:p>
        </w:tc>
        <w:tc>
          <w:tcPr>
            <w:tcW w:w="6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2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 and Principal</w:t>
            </w:r>
          </w:p>
        </w:tc>
        <w:tc>
          <w:tcPr>
            <w:tcW w:w="3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6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Salary</w:t>
            </w:r>
          </w:p>
        </w:tc>
        <w:tc>
          <w:tcPr>
            <w:tcW w:w="102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Bonus</w:t>
            </w:r>
          </w:p>
        </w:tc>
        <w:tc>
          <w:tcPr>
            <w:tcW w:w="860" w:type="dxa"/>
            <w:vAlign w:val="bottom"/>
            <w:gridSpan w:val="2"/>
            <w:vMerge w:val="continue"/>
          </w:tcPr>
          <w:p>
            <w:pPr>
              <w:spacing w:after="0"/>
              <w:rPr>
                <w:sz w:val="12"/>
                <w:szCs w:val="12"/>
                <w:color w:val="auto"/>
              </w:rPr>
            </w:pPr>
          </w:p>
        </w:tc>
        <w:tc>
          <w:tcPr>
            <w:tcW w:w="760" w:type="dxa"/>
            <w:vAlign w:val="bottom"/>
            <w:gridSpan w:val="2"/>
            <w:vMerge w:val="continue"/>
          </w:tcPr>
          <w:p>
            <w:pPr>
              <w:spacing w:after="0"/>
              <w:rPr>
                <w:sz w:val="12"/>
                <w:szCs w:val="12"/>
                <w:color w:val="auto"/>
              </w:rPr>
            </w:pPr>
          </w:p>
        </w:tc>
        <w:tc>
          <w:tcPr>
            <w:tcW w:w="11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3"/>
              </w:rPr>
              <w:t>Incentive Plan</w:t>
            </w:r>
          </w:p>
        </w:tc>
        <w:tc>
          <w:tcPr>
            <w:tcW w:w="11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0"/>
              </w:rPr>
              <w:t>Compensation</w:t>
            </w:r>
          </w:p>
        </w:tc>
        <w:tc>
          <w:tcPr>
            <w:tcW w:w="1140" w:type="dxa"/>
            <w:vAlign w:val="bottom"/>
            <w:gridSpan w:val="2"/>
            <w:vMerge w:val="continue"/>
          </w:tcPr>
          <w:p>
            <w:pPr>
              <w:spacing w:after="0"/>
              <w:rPr>
                <w:sz w:val="12"/>
                <w:szCs w:val="12"/>
                <w:color w:val="auto"/>
              </w:rPr>
            </w:pPr>
          </w:p>
        </w:tc>
        <w:tc>
          <w:tcPr>
            <w:tcW w:w="66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44"/>
        </w:trPr>
        <w:tc>
          <w:tcPr>
            <w:tcW w:w="3280" w:type="dxa"/>
            <w:vAlign w:val="bottom"/>
            <w:gridSpan w:val="2"/>
            <w:vMerge w:val="continue"/>
          </w:tcPr>
          <w:p>
            <w:pPr>
              <w:spacing w:after="0"/>
              <w:rPr>
                <w:sz w:val="12"/>
                <w:szCs w:val="12"/>
                <w:color w:val="auto"/>
              </w:rPr>
            </w:pPr>
          </w:p>
        </w:tc>
        <w:tc>
          <w:tcPr>
            <w:tcW w:w="5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Year</w:t>
            </w:r>
          </w:p>
        </w:tc>
        <w:tc>
          <w:tcPr>
            <w:tcW w:w="860" w:type="dxa"/>
            <w:vAlign w:val="bottom"/>
            <w:gridSpan w:val="2"/>
            <w:vMerge w:val="continue"/>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860" w:type="dxa"/>
            <w:vAlign w:val="bottom"/>
            <w:gridSpan w:val="2"/>
          </w:tcPr>
          <w:p>
            <w:pPr>
              <w:jc w:val="center"/>
              <w:ind w:right="240"/>
              <w:spacing w:after="0" w:line="145" w:lineRule="exact"/>
              <w:rPr>
                <w:sz w:val="20"/>
                <w:szCs w:val="20"/>
                <w:color w:val="auto"/>
              </w:rPr>
            </w:pPr>
            <w:r>
              <w:rPr>
                <w:rFonts w:ascii="Arial" w:cs="Arial" w:eastAsia="Arial" w:hAnsi="Arial"/>
                <w:sz w:val="14"/>
                <w:szCs w:val="14"/>
                <w:b w:val="1"/>
                <w:bCs w:val="1"/>
                <w:color w:val="auto"/>
                <w:w w:val="90"/>
              </w:rPr>
              <w:t>Awards</w:t>
            </w:r>
          </w:p>
        </w:tc>
        <w:tc>
          <w:tcPr>
            <w:tcW w:w="760" w:type="dxa"/>
            <w:vAlign w:val="bottom"/>
            <w:gridSpan w:val="2"/>
          </w:tcPr>
          <w:p>
            <w:pPr>
              <w:ind w:left="20"/>
              <w:spacing w:after="0" w:line="145" w:lineRule="exact"/>
              <w:rPr>
                <w:sz w:val="20"/>
                <w:szCs w:val="20"/>
                <w:color w:val="auto"/>
              </w:rPr>
            </w:pPr>
            <w:r>
              <w:rPr>
                <w:rFonts w:ascii="Arial" w:cs="Arial" w:eastAsia="Arial" w:hAnsi="Arial"/>
                <w:sz w:val="14"/>
                <w:szCs w:val="14"/>
                <w:b w:val="1"/>
                <w:bCs w:val="1"/>
                <w:color w:val="auto"/>
              </w:rPr>
              <w:t>Awards</w:t>
            </w:r>
          </w:p>
        </w:tc>
        <w:tc>
          <w:tcPr>
            <w:tcW w:w="1120" w:type="dxa"/>
            <w:vAlign w:val="bottom"/>
            <w:gridSpan w:val="2"/>
          </w:tcPr>
          <w:p>
            <w:pPr>
              <w:jc w:val="center"/>
              <w:ind w:right="240"/>
              <w:spacing w:after="0" w:line="145" w:lineRule="exact"/>
              <w:rPr>
                <w:sz w:val="20"/>
                <w:szCs w:val="20"/>
                <w:color w:val="auto"/>
              </w:rPr>
            </w:pPr>
            <w:r>
              <w:rPr>
                <w:rFonts w:ascii="Arial" w:cs="Arial" w:eastAsia="Arial" w:hAnsi="Arial"/>
                <w:sz w:val="14"/>
                <w:szCs w:val="14"/>
                <w:b w:val="1"/>
                <w:bCs w:val="1"/>
                <w:color w:val="auto"/>
                <w:w w:val="90"/>
              </w:rPr>
              <w:t>Compensation</w:t>
            </w:r>
          </w:p>
        </w:tc>
        <w:tc>
          <w:tcPr>
            <w:tcW w:w="1140" w:type="dxa"/>
            <w:vAlign w:val="bottom"/>
            <w:gridSpan w:val="2"/>
          </w:tcPr>
          <w:p>
            <w:pPr>
              <w:jc w:val="center"/>
              <w:ind w:right="220"/>
              <w:spacing w:after="0" w:line="145" w:lineRule="exact"/>
              <w:rPr>
                <w:sz w:val="20"/>
                <w:szCs w:val="20"/>
                <w:color w:val="auto"/>
              </w:rPr>
            </w:pPr>
            <w:r>
              <w:rPr>
                <w:rFonts w:ascii="Arial" w:cs="Arial" w:eastAsia="Arial" w:hAnsi="Arial"/>
                <w:sz w:val="14"/>
                <w:szCs w:val="14"/>
                <w:b w:val="1"/>
                <w:bCs w:val="1"/>
                <w:color w:val="auto"/>
                <w:w w:val="93"/>
              </w:rPr>
              <w:t>Earnings</w:t>
            </w:r>
          </w:p>
        </w:tc>
        <w:tc>
          <w:tcPr>
            <w:tcW w:w="1140" w:type="dxa"/>
            <w:vAlign w:val="bottom"/>
            <w:gridSpan w:val="2"/>
          </w:tcPr>
          <w:p>
            <w:pPr>
              <w:jc w:val="center"/>
              <w:ind w:right="240"/>
              <w:spacing w:after="0" w:line="145" w:lineRule="exact"/>
              <w:rPr>
                <w:sz w:val="20"/>
                <w:szCs w:val="20"/>
                <w:color w:val="auto"/>
              </w:rPr>
            </w:pPr>
            <w:r>
              <w:rPr>
                <w:rFonts w:ascii="Arial" w:cs="Arial" w:eastAsia="Arial" w:hAnsi="Arial"/>
                <w:sz w:val="14"/>
                <w:szCs w:val="14"/>
                <w:b w:val="1"/>
                <w:bCs w:val="1"/>
                <w:color w:val="auto"/>
                <w:w w:val="92"/>
              </w:rPr>
              <w:t>Compensation</w:t>
            </w:r>
          </w:p>
        </w:tc>
        <w:tc>
          <w:tcPr>
            <w:tcW w:w="6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6"/>
        </w:trPr>
        <w:tc>
          <w:tcPr>
            <w:tcW w:w="3280" w:type="dxa"/>
            <w:vAlign w:val="bottom"/>
            <w:gridSpan w:val="2"/>
          </w:tcPr>
          <w:p>
            <w:pPr>
              <w:spacing w:after="0"/>
              <w:rPr>
                <w:sz w:val="20"/>
                <w:szCs w:val="20"/>
                <w:color w:val="auto"/>
              </w:rPr>
            </w:pPr>
            <w:r>
              <w:rPr>
                <w:rFonts w:ascii="Arial" w:cs="Arial" w:eastAsia="Arial" w:hAnsi="Arial"/>
                <w:sz w:val="14"/>
                <w:szCs w:val="14"/>
                <w:b w:val="1"/>
                <w:bCs w:val="1"/>
                <w:color w:val="auto"/>
              </w:rPr>
              <w:t>Position</w:t>
            </w:r>
          </w:p>
        </w:tc>
        <w:tc>
          <w:tcPr>
            <w:tcW w:w="580" w:type="dxa"/>
            <w:vAlign w:val="bottom"/>
            <w:gridSpan w:val="2"/>
            <w:vMerge w:val="continue"/>
          </w:tcPr>
          <w:p>
            <w:pPr>
              <w:spacing w:after="0"/>
              <w:rPr>
                <w:sz w:val="15"/>
                <w:szCs w:val="15"/>
                <w:color w:val="auto"/>
              </w:rPr>
            </w:pPr>
          </w:p>
        </w:tc>
        <w:tc>
          <w:tcPr>
            <w:tcW w:w="620" w:type="dxa"/>
            <w:vAlign w:val="bottom"/>
          </w:tcPr>
          <w:p>
            <w:pPr>
              <w:jc w:val="right"/>
              <w:ind w:right="148"/>
              <w:spacing w:after="0"/>
              <w:rPr>
                <w:sz w:val="20"/>
                <w:szCs w:val="20"/>
                <w:color w:val="auto"/>
              </w:rPr>
            </w:pPr>
            <w:r>
              <w:rPr>
                <w:rFonts w:ascii="Arial" w:cs="Arial" w:eastAsia="Arial" w:hAnsi="Arial"/>
                <w:sz w:val="14"/>
                <w:szCs w:val="14"/>
                <w:b w:val="1"/>
                <w:bCs w:val="1"/>
                <w:color w:val="auto"/>
              </w:rPr>
              <w:t>($)</w:t>
            </w:r>
          </w:p>
        </w:tc>
        <w:tc>
          <w:tcPr>
            <w:tcW w:w="240" w:type="dxa"/>
            <w:vAlign w:val="bottom"/>
          </w:tcPr>
          <w:p>
            <w:pPr>
              <w:spacing w:after="0"/>
              <w:rPr>
                <w:sz w:val="15"/>
                <w:szCs w:val="15"/>
                <w:color w:val="auto"/>
              </w:rPr>
            </w:pPr>
          </w:p>
        </w:tc>
        <w:tc>
          <w:tcPr>
            <w:tcW w:w="620" w:type="dxa"/>
            <w:vAlign w:val="bottom"/>
          </w:tcPr>
          <w:p>
            <w:pPr>
              <w:ind w:left="220"/>
              <w:spacing w:after="0"/>
              <w:rPr>
                <w:sz w:val="20"/>
                <w:szCs w:val="20"/>
                <w:color w:val="auto"/>
              </w:rPr>
            </w:pPr>
            <w:r>
              <w:rPr>
                <w:rFonts w:ascii="Arial" w:cs="Arial" w:eastAsia="Arial" w:hAnsi="Arial"/>
                <w:sz w:val="14"/>
                <w:szCs w:val="14"/>
                <w:b w:val="1"/>
                <w:bCs w:val="1"/>
                <w:color w:val="auto"/>
              </w:rPr>
              <w:t>($)</w:t>
            </w:r>
          </w:p>
        </w:tc>
        <w:tc>
          <w:tcPr>
            <w:tcW w:w="400" w:type="dxa"/>
            <w:vAlign w:val="bottom"/>
          </w:tcPr>
          <w:p>
            <w:pPr>
              <w:spacing w:after="0"/>
              <w:rPr>
                <w:sz w:val="15"/>
                <w:szCs w:val="15"/>
                <w:color w:val="auto"/>
              </w:rPr>
            </w:pPr>
          </w:p>
        </w:tc>
        <w:tc>
          <w:tcPr>
            <w:tcW w:w="620" w:type="dxa"/>
            <w:vAlign w:val="bottom"/>
          </w:tcPr>
          <w:p>
            <w:pPr>
              <w:jc w:val="center"/>
              <w:spacing w:after="0"/>
              <w:rPr>
                <w:sz w:val="20"/>
                <w:szCs w:val="20"/>
                <w:color w:val="auto"/>
              </w:rPr>
            </w:pPr>
            <w:r>
              <w:rPr>
                <w:rFonts w:ascii="Arial" w:cs="Arial" w:eastAsia="Arial" w:hAnsi="Arial"/>
                <w:sz w:val="14"/>
                <w:szCs w:val="14"/>
                <w:b w:val="1"/>
                <w:bCs w:val="1"/>
                <w:color w:val="auto"/>
                <w:w w:val="95"/>
              </w:rPr>
              <w:t xml:space="preserve">($) </w:t>
            </w:r>
            <w:r>
              <w:rPr>
                <w:rFonts w:ascii="Arial" w:cs="Arial" w:eastAsia="Arial" w:hAnsi="Arial"/>
                <w:sz w:val="12"/>
                <w:szCs w:val="12"/>
                <w:b w:val="1"/>
                <w:bCs w:val="1"/>
                <w:color w:val="auto"/>
                <w:w w:val="95"/>
              </w:rPr>
              <w:t>(5)</w:t>
            </w:r>
          </w:p>
        </w:tc>
        <w:tc>
          <w:tcPr>
            <w:tcW w:w="240" w:type="dxa"/>
            <w:vAlign w:val="bottom"/>
          </w:tcPr>
          <w:p>
            <w:pPr>
              <w:spacing w:after="0"/>
              <w:rPr>
                <w:sz w:val="15"/>
                <w:szCs w:val="15"/>
                <w:color w:val="auto"/>
              </w:rPr>
            </w:pPr>
          </w:p>
        </w:tc>
        <w:tc>
          <w:tcPr>
            <w:tcW w:w="520" w:type="dxa"/>
            <w:vAlign w:val="bottom"/>
          </w:tcPr>
          <w:p>
            <w:pPr>
              <w:jc w:val="right"/>
              <w:ind w:right="28"/>
              <w:spacing w:after="0"/>
              <w:rPr>
                <w:sz w:val="20"/>
                <w:szCs w:val="20"/>
                <w:color w:val="auto"/>
              </w:rPr>
            </w:pPr>
            <w:r>
              <w:rPr>
                <w:rFonts w:ascii="Arial" w:cs="Arial" w:eastAsia="Arial" w:hAnsi="Arial"/>
                <w:sz w:val="14"/>
                <w:szCs w:val="14"/>
                <w:b w:val="1"/>
                <w:bCs w:val="1"/>
                <w:color w:val="auto"/>
              </w:rPr>
              <w:t xml:space="preserve">($) </w:t>
            </w:r>
            <w:r>
              <w:rPr>
                <w:rFonts w:ascii="Arial" w:cs="Arial" w:eastAsia="Arial" w:hAnsi="Arial"/>
                <w:sz w:val="12"/>
                <w:szCs w:val="12"/>
                <w:b w:val="1"/>
                <w:bCs w:val="1"/>
                <w:color w:val="auto"/>
              </w:rPr>
              <w:t>(6)</w:t>
            </w:r>
          </w:p>
        </w:tc>
        <w:tc>
          <w:tcPr>
            <w:tcW w:w="240" w:type="dxa"/>
            <w:vAlign w:val="bottom"/>
          </w:tcPr>
          <w:p>
            <w:pPr>
              <w:spacing w:after="0"/>
              <w:rPr>
                <w:sz w:val="15"/>
                <w:szCs w:val="15"/>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w w:val="95"/>
              </w:rPr>
              <w:t xml:space="preserve">($) </w:t>
            </w:r>
            <w:r>
              <w:rPr>
                <w:rFonts w:ascii="Arial" w:cs="Arial" w:eastAsia="Arial" w:hAnsi="Arial"/>
                <w:sz w:val="12"/>
                <w:szCs w:val="12"/>
                <w:b w:val="1"/>
                <w:bCs w:val="1"/>
                <w:color w:val="auto"/>
                <w:w w:val="95"/>
              </w:rPr>
              <w:t>(7)</w:t>
            </w:r>
          </w:p>
        </w:tc>
        <w:tc>
          <w:tcPr>
            <w:tcW w:w="240" w:type="dxa"/>
            <w:vAlign w:val="bottom"/>
          </w:tcPr>
          <w:p>
            <w:pPr>
              <w:spacing w:after="0"/>
              <w:rPr>
                <w:sz w:val="15"/>
                <w:szCs w:val="15"/>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5"/>
              </w:rPr>
              <w:t xml:space="preserve">($) </w:t>
            </w:r>
            <w:r>
              <w:rPr>
                <w:rFonts w:ascii="Arial" w:cs="Arial" w:eastAsia="Arial" w:hAnsi="Arial"/>
                <w:sz w:val="12"/>
                <w:szCs w:val="12"/>
                <w:b w:val="1"/>
                <w:bCs w:val="1"/>
                <w:color w:val="auto"/>
                <w:w w:val="95"/>
              </w:rPr>
              <w:t>(8)</w:t>
            </w:r>
          </w:p>
        </w:tc>
        <w:tc>
          <w:tcPr>
            <w:tcW w:w="240" w:type="dxa"/>
            <w:vAlign w:val="bottom"/>
          </w:tcPr>
          <w:p>
            <w:pPr>
              <w:spacing w:after="0"/>
              <w:rPr>
                <w:sz w:val="15"/>
                <w:szCs w:val="15"/>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5"/>
              </w:rPr>
              <w:t xml:space="preserve">($) </w:t>
            </w:r>
            <w:r>
              <w:rPr>
                <w:rFonts w:ascii="Arial" w:cs="Arial" w:eastAsia="Arial" w:hAnsi="Arial"/>
                <w:sz w:val="12"/>
                <w:szCs w:val="12"/>
                <w:b w:val="1"/>
                <w:bCs w:val="1"/>
                <w:color w:val="auto"/>
                <w:w w:val="95"/>
              </w:rPr>
              <w:t>(9)</w:t>
            </w:r>
          </w:p>
        </w:tc>
        <w:tc>
          <w:tcPr>
            <w:tcW w:w="240" w:type="dxa"/>
            <w:vAlign w:val="bottom"/>
          </w:tcPr>
          <w:p>
            <w:pPr>
              <w:spacing w:after="0"/>
              <w:rPr>
                <w:sz w:val="15"/>
                <w:szCs w:val="15"/>
                <w:color w:val="auto"/>
              </w:rPr>
            </w:pPr>
          </w:p>
        </w:tc>
        <w:tc>
          <w:tcPr>
            <w:tcW w:w="620" w:type="dxa"/>
            <w:vAlign w:val="bottom"/>
          </w:tcPr>
          <w:p>
            <w:pPr>
              <w:jc w:val="right"/>
              <w:ind w:right="148"/>
              <w:spacing w:after="0"/>
              <w:rPr>
                <w:sz w:val="20"/>
                <w:szCs w:val="20"/>
                <w:color w:val="auto"/>
              </w:rPr>
            </w:pPr>
            <w:r>
              <w:rPr>
                <w:rFonts w:ascii="Arial" w:cs="Arial" w:eastAsia="Arial" w:hAnsi="Arial"/>
                <w:sz w:val="14"/>
                <w:szCs w:val="14"/>
                <w:b w:val="1"/>
                <w:bCs w:val="1"/>
                <w:color w:val="auto"/>
              </w:rPr>
              <w:t>($)</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5"/>
        </w:trPr>
        <w:tc>
          <w:tcPr>
            <w:tcW w:w="1240" w:type="dxa"/>
            <w:vAlign w:val="bottom"/>
            <w:tcBorders>
              <w:top w:val="single" w:sz="8" w:color="auto"/>
            </w:tcBorders>
            <w:shd w:val="clear" w:color="auto" w:fill="CCEEFF"/>
          </w:tcPr>
          <w:p>
            <w:pPr>
              <w:spacing w:after="0" w:line="115" w:lineRule="exact"/>
              <w:rPr>
                <w:sz w:val="20"/>
                <w:szCs w:val="20"/>
                <w:color w:val="auto"/>
              </w:rPr>
            </w:pPr>
            <w:r>
              <w:rPr>
                <w:rFonts w:ascii="Arial" w:cs="Arial" w:eastAsia="Arial" w:hAnsi="Arial"/>
                <w:sz w:val="13"/>
                <w:szCs w:val="13"/>
                <w:color w:val="auto"/>
                <w:w w:val="97"/>
              </w:rPr>
              <w:t>Thomas J. McInerney</w:t>
            </w:r>
          </w:p>
        </w:tc>
        <w:tc>
          <w:tcPr>
            <w:tcW w:w="2040" w:type="dxa"/>
            <w:vAlign w:val="bottom"/>
            <w:tcBorders>
              <w:top w:val="single" w:sz="8" w:color="CCEEFF"/>
            </w:tcBorders>
            <w:shd w:val="clear" w:color="auto" w:fill="CCEEFF"/>
          </w:tcPr>
          <w:p>
            <w:pPr>
              <w:spacing w:after="0"/>
              <w:rPr>
                <w:sz w:val="10"/>
                <w:szCs w:val="10"/>
                <w:color w:val="auto"/>
              </w:rPr>
            </w:pPr>
          </w:p>
        </w:tc>
        <w:tc>
          <w:tcPr>
            <w:tcW w:w="340" w:type="dxa"/>
            <w:vAlign w:val="bottom"/>
            <w:tcBorders>
              <w:top w:val="single" w:sz="8" w:color="auto"/>
            </w:tcBorders>
            <w:shd w:val="clear" w:color="auto" w:fill="CCEEFF"/>
          </w:tcPr>
          <w:p>
            <w:pPr>
              <w:jc w:val="right"/>
              <w:spacing w:after="0" w:line="115" w:lineRule="exact"/>
              <w:rPr>
                <w:sz w:val="20"/>
                <w:szCs w:val="20"/>
                <w:color w:val="auto"/>
              </w:rPr>
            </w:pPr>
            <w:r>
              <w:rPr>
                <w:rFonts w:ascii="Arial" w:cs="Arial" w:eastAsia="Arial" w:hAnsi="Arial"/>
                <w:sz w:val="13"/>
                <w:szCs w:val="13"/>
                <w:color w:val="auto"/>
              </w:rPr>
              <w:t>2016</w:t>
            </w:r>
          </w:p>
        </w:tc>
        <w:tc>
          <w:tcPr>
            <w:tcW w:w="240" w:type="dxa"/>
            <w:vAlign w:val="bottom"/>
            <w:tcBorders>
              <w:top w:val="single" w:sz="8" w:color="CCEEFF"/>
            </w:tcBorders>
            <w:shd w:val="clear" w:color="auto" w:fill="CCEEFF"/>
          </w:tcPr>
          <w:p>
            <w:pPr>
              <w:spacing w:after="0"/>
              <w:rPr>
                <w:sz w:val="10"/>
                <w:szCs w:val="10"/>
                <w:color w:val="auto"/>
              </w:rPr>
            </w:pPr>
          </w:p>
        </w:tc>
        <w:tc>
          <w:tcPr>
            <w:tcW w:w="620" w:type="dxa"/>
            <w:vAlign w:val="bottom"/>
            <w:tcBorders>
              <w:top w:val="single" w:sz="8" w:color="auto"/>
            </w:tcBorders>
            <w:shd w:val="clear" w:color="auto" w:fill="CCEEFF"/>
          </w:tcPr>
          <w:p>
            <w:pPr>
              <w:jc w:val="right"/>
              <w:spacing w:after="0" w:line="115" w:lineRule="exact"/>
              <w:rPr>
                <w:sz w:val="20"/>
                <w:szCs w:val="20"/>
                <w:color w:val="auto"/>
              </w:rPr>
            </w:pPr>
            <w:r>
              <w:rPr>
                <w:rFonts w:ascii="Arial" w:cs="Arial" w:eastAsia="Arial" w:hAnsi="Arial"/>
                <w:sz w:val="13"/>
                <w:szCs w:val="13"/>
                <w:color w:val="auto"/>
              </w:rPr>
              <w:t>996,804</w:t>
            </w:r>
          </w:p>
        </w:tc>
        <w:tc>
          <w:tcPr>
            <w:tcW w:w="240" w:type="dxa"/>
            <w:vAlign w:val="bottom"/>
            <w:tcBorders>
              <w:top w:val="single" w:sz="8" w:color="CCEEFF"/>
            </w:tcBorders>
            <w:shd w:val="clear" w:color="auto" w:fill="CCEEFF"/>
          </w:tcPr>
          <w:p>
            <w:pPr>
              <w:spacing w:after="0"/>
              <w:rPr>
                <w:sz w:val="10"/>
                <w:szCs w:val="10"/>
                <w:color w:val="auto"/>
              </w:rPr>
            </w:pPr>
          </w:p>
        </w:tc>
        <w:tc>
          <w:tcPr>
            <w:tcW w:w="620" w:type="dxa"/>
            <w:vAlign w:val="bottom"/>
            <w:tcBorders>
              <w:top w:val="single" w:sz="8" w:color="auto"/>
            </w:tcBorders>
            <w:shd w:val="clear" w:color="auto" w:fill="CCEEFF"/>
          </w:tcPr>
          <w:p>
            <w:pPr>
              <w:ind w:left="400"/>
              <w:spacing w:after="0" w:line="115" w:lineRule="exact"/>
              <w:rPr>
                <w:sz w:val="20"/>
                <w:szCs w:val="20"/>
                <w:color w:val="auto"/>
              </w:rPr>
            </w:pPr>
            <w:r>
              <w:rPr>
                <w:rFonts w:ascii="Arial" w:cs="Arial" w:eastAsia="Arial" w:hAnsi="Arial"/>
                <w:sz w:val="13"/>
                <w:szCs w:val="13"/>
                <w:color w:val="auto"/>
              </w:rPr>
              <w:t>—</w:t>
            </w:r>
          </w:p>
        </w:tc>
        <w:tc>
          <w:tcPr>
            <w:tcW w:w="400" w:type="dxa"/>
            <w:vAlign w:val="bottom"/>
            <w:tcBorders>
              <w:top w:val="single" w:sz="8" w:color="CCEEFF"/>
            </w:tcBorders>
            <w:shd w:val="clear" w:color="auto" w:fill="CCEEFF"/>
          </w:tcPr>
          <w:p>
            <w:pPr>
              <w:spacing w:after="0"/>
              <w:rPr>
                <w:sz w:val="10"/>
                <w:szCs w:val="10"/>
                <w:color w:val="auto"/>
              </w:rPr>
            </w:pPr>
          </w:p>
        </w:tc>
        <w:tc>
          <w:tcPr>
            <w:tcW w:w="620" w:type="dxa"/>
            <w:vAlign w:val="bottom"/>
            <w:tcBorders>
              <w:top w:val="single" w:sz="8" w:color="auto"/>
            </w:tcBorders>
            <w:shd w:val="clear" w:color="auto" w:fill="CCEEFF"/>
          </w:tcPr>
          <w:p>
            <w:pPr>
              <w:jc w:val="right"/>
              <w:spacing w:after="0" w:line="115" w:lineRule="exact"/>
              <w:rPr>
                <w:sz w:val="20"/>
                <w:szCs w:val="20"/>
                <w:color w:val="auto"/>
              </w:rPr>
            </w:pPr>
            <w:r>
              <w:rPr>
                <w:rFonts w:ascii="Arial" w:cs="Arial" w:eastAsia="Arial" w:hAnsi="Arial"/>
                <w:sz w:val="13"/>
                <w:szCs w:val="13"/>
                <w:color w:val="auto"/>
              </w:rPr>
              <w:t>4,215,000</w:t>
            </w:r>
          </w:p>
        </w:tc>
        <w:tc>
          <w:tcPr>
            <w:tcW w:w="240" w:type="dxa"/>
            <w:vAlign w:val="bottom"/>
            <w:tcBorders>
              <w:top w:val="single" w:sz="8" w:color="CCEEFF"/>
            </w:tcBorders>
            <w:shd w:val="clear" w:color="auto" w:fill="CCEEFF"/>
          </w:tcPr>
          <w:p>
            <w:pPr>
              <w:spacing w:after="0"/>
              <w:rPr>
                <w:sz w:val="10"/>
                <w:szCs w:val="10"/>
                <w:color w:val="auto"/>
              </w:rPr>
            </w:pPr>
          </w:p>
        </w:tc>
        <w:tc>
          <w:tcPr>
            <w:tcW w:w="520" w:type="dxa"/>
            <w:vAlign w:val="bottom"/>
            <w:tcBorders>
              <w:top w:val="single" w:sz="8" w:color="auto"/>
            </w:tcBorders>
            <w:shd w:val="clear" w:color="auto" w:fill="CCEEFF"/>
          </w:tcPr>
          <w:p>
            <w:pPr>
              <w:jc w:val="right"/>
              <w:ind w:right="8"/>
              <w:spacing w:after="0" w:line="115" w:lineRule="exact"/>
              <w:rPr>
                <w:sz w:val="20"/>
                <w:szCs w:val="20"/>
                <w:color w:val="auto"/>
              </w:rPr>
            </w:pPr>
            <w:r>
              <w:rPr>
                <w:rFonts w:ascii="Arial" w:cs="Arial" w:eastAsia="Arial" w:hAnsi="Arial"/>
                <w:sz w:val="13"/>
                <w:szCs w:val="13"/>
                <w:color w:val="auto"/>
              </w:rPr>
              <w:t>—</w:t>
            </w:r>
          </w:p>
        </w:tc>
        <w:tc>
          <w:tcPr>
            <w:tcW w:w="240" w:type="dxa"/>
            <w:vAlign w:val="bottom"/>
            <w:tcBorders>
              <w:top w:val="single" w:sz="8" w:color="CCEEFF"/>
            </w:tcBorders>
            <w:shd w:val="clear" w:color="auto" w:fill="CCEEFF"/>
          </w:tcPr>
          <w:p>
            <w:pPr>
              <w:spacing w:after="0"/>
              <w:rPr>
                <w:sz w:val="10"/>
                <w:szCs w:val="10"/>
                <w:color w:val="auto"/>
              </w:rPr>
            </w:pPr>
          </w:p>
        </w:tc>
        <w:tc>
          <w:tcPr>
            <w:tcW w:w="880" w:type="dxa"/>
            <w:vAlign w:val="bottom"/>
            <w:tcBorders>
              <w:top w:val="single" w:sz="8" w:color="auto"/>
            </w:tcBorders>
            <w:shd w:val="clear" w:color="auto" w:fill="CCEEFF"/>
          </w:tcPr>
          <w:p>
            <w:pPr>
              <w:jc w:val="right"/>
              <w:spacing w:after="0" w:line="115" w:lineRule="exact"/>
              <w:rPr>
                <w:sz w:val="20"/>
                <w:szCs w:val="20"/>
                <w:color w:val="auto"/>
              </w:rPr>
            </w:pPr>
            <w:r>
              <w:rPr>
                <w:rFonts w:ascii="Arial" w:cs="Arial" w:eastAsia="Arial" w:hAnsi="Arial"/>
                <w:sz w:val="13"/>
                <w:szCs w:val="13"/>
                <w:color w:val="auto"/>
              </w:rPr>
              <w:t>3,000,000</w:t>
            </w:r>
          </w:p>
        </w:tc>
        <w:tc>
          <w:tcPr>
            <w:tcW w:w="240" w:type="dxa"/>
            <w:vAlign w:val="bottom"/>
            <w:tcBorders>
              <w:top w:val="single" w:sz="8" w:color="CCEEFF"/>
            </w:tcBorders>
            <w:shd w:val="clear" w:color="auto" w:fill="CCEEFF"/>
          </w:tcPr>
          <w:p>
            <w:pPr>
              <w:spacing w:after="0"/>
              <w:rPr>
                <w:sz w:val="10"/>
                <w:szCs w:val="10"/>
                <w:color w:val="auto"/>
              </w:rPr>
            </w:pPr>
          </w:p>
        </w:tc>
        <w:tc>
          <w:tcPr>
            <w:tcW w:w="900" w:type="dxa"/>
            <w:vAlign w:val="bottom"/>
            <w:tcBorders>
              <w:top w:val="single" w:sz="8" w:color="auto"/>
            </w:tcBorders>
            <w:shd w:val="clear" w:color="auto" w:fill="CCEEFF"/>
          </w:tcPr>
          <w:p>
            <w:pPr>
              <w:ind w:left="680"/>
              <w:spacing w:after="0" w:line="115" w:lineRule="exact"/>
              <w:rPr>
                <w:sz w:val="20"/>
                <w:szCs w:val="20"/>
                <w:color w:val="auto"/>
              </w:rPr>
            </w:pPr>
            <w:r>
              <w:rPr>
                <w:rFonts w:ascii="Arial" w:cs="Arial" w:eastAsia="Arial" w:hAnsi="Arial"/>
                <w:sz w:val="13"/>
                <w:szCs w:val="13"/>
                <w:color w:val="auto"/>
              </w:rPr>
              <w:t>—</w:t>
            </w:r>
          </w:p>
        </w:tc>
        <w:tc>
          <w:tcPr>
            <w:tcW w:w="240" w:type="dxa"/>
            <w:vAlign w:val="bottom"/>
            <w:tcBorders>
              <w:top w:val="single" w:sz="8" w:color="CCEEFF"/>
            </w:tcBorders>
            <w:shd w:val="clear" w:color="auto" w:fill="CCEEFF"/>
          </w:tcPr>
          <w:p>
            <w:pPr>
              <w:spacing w:after="0"/>
              <w:rPr>
                <w:sz w:val="10"/>
                <w:szCs w:val="10"/>
                <w:color w:val="auto"/>
              </w:rPr>
            </w:pPr>
          </w:p>
        </w:tc>
        <w:tc>
          <w:tcPr>
            <w:tcW w:w="900" w:type="dxa"/>
            <w:vAlign w:val="bottom"/>
            <w:tcBorders>
              <w:top w:val="single" w:sz="8" w:color="auto"/>
            </w:tcBorders>
            <w:shd w:val="clear" w:color="auto" w:fill="CCEEFF"/>
          </w:tcPr>
          <w:p>
            <w:pPr>
              <w:jc w:val="right"/>
              <w:spacing w:after="0" w:line="115" w:lineRule="exact"/>
              <w:rPr>
                <w:sz w:val="20"/>
                <w:szCs w:val="20"/>
                <w:color w:val="auto"/>
              </w:rPr>
            </w:pPr>
            <w:r>
              <w:rPr>
                <w:rFonts w:ascii="Arial" w:cs="Arial" w:eastAsia="Arial" w:hAnsi="Arial"/>
                <w:sz w:val="13"/>
                <w:szCs w:val="13"/>
                <w:color w:val="auto"/>
              </w:rPr>
              <w:t>328,453</w:t>
            </w:r>
          </w:p>
        </w:tc>
        <w:tc>
          <w:tcPr>
            <w:tcW w:w="240" w:type="dxa"/>
            <w:vAlign w:val="bottom"/>
            <w:tcBorders>
              <w:top w:val="single" w:sz="8" w:color="CCEEFF"/>
            </w:tcBorders>
            <w:shd w:val="clear" w:color="auto" w:fill="CCEEFF"/>
          </w:tcPr>
          <w:p>
            <w:pPr>
              <w:spacing w:after="0"/>
              <w:rPr>
                <w:sz w:val="10"/>
                <w:szCs w:val="10"/>
                <w:color w:val="auto"/>
              </w:rPr>
            </w:pPr>
          </w:p>
        </w:tc>
        <w:tc>
          <w:tcPr>
            <w:tcW w:w="620" w:type="dxa"/>
            <w:vAlign w:val="bottom"/>
            <w:tcBorders>
              <w:top w:val="single" w:sz="8" w:color="auto"/>
            </w:tcBorders>
            <w:shd w:val="clear" w:color="auto" w:fill="CCEEFF"/>
          </w:tcPr>
          <w:p>
            <w:pPr>
              <w:jc w:val="right"/>
              <w:spacing w:after="0" w:line="115" w:lineRule="exact"/>
              <w:rPr>
                <w:sz w:val="20"/>
                <w:szCs w:val="20"/>
                <w:color w:val="auto"/>
              </w:rPr>
            </w:pPr>
            <w:r>
              <w:rPr>
                <w:rFonts w:ascii="Arial" w:cs="Arial" w:eastAsia="Arial" w:hAnsi="Arial"/>
                <w:sz w:val="13"/>
                <w:szCs w:val="13"/>
                <w:color w:val="auto"/>
              </w:rPr>
              <w:t>8,540,257</w:t>
            </w:r>
          </w:p>
        </w:tc>
        <w:tc>
          <w:tcPr>
            <w:tcW w:w="40" w:type="dxa"/>
            <w:vAlign w:val="bottom"/>
            <w:tcBorders>
              <w:top w:val="single" w:sz="8" w:color="CCEEFF"/>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28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rPr>
              <w:t>President and</w:t>
            </w:r>
          </w:p>
        </w:tc>
        <w:tc>
          <w:tcPr>
            <w:tcW w:w="5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2015</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6"/>
              </w:rPr>
              <w:t>1,035,141</w:t>
            </w:r>
          </w:p>
        </w:tc>
        <w:tc>
          <w:tcPr>
            <w:tcW w:w="24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ind w:left="400"/>
              <w:spacing w:after="0" w:line="149" w:lineRule="exact"/>
              <w:rPr>
                <w:sz w:val="20"/>
                <w:szCs w:val="20"/>
                <w:color w:val="auto"/>
              </w:rPr>
            </w:pPr>
            <w:r>
              <w:rPr>
                <w:rFonts w:ascii="Arial" w:cs="Arial" w:eastAsia="Arial" w:hAnsi="Arial"/>
                <w:sz w:val="14"/>
                <w:szCs w:val="14"/>
                <w:color w:val="auto"/>
              </w:rPr>
              <w:t>—</w:t>
            </w:r>
          </w:p>
        </w:tc>
        <w:tc>
          <w:tcPr>
            <w:tcW w:w="86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775,000</w:t>
            </w:r>
          </w:p>
        </w:tc>
        <w:tc>
          <w:tcPr>
            <w:tcW w:w="760" w:type="dxa"/>
            <w:vAlign w:val="bottom"/>
            <w:gridSpan w:val="2"/>
            <w:shd w:val="clear" w:color="auto" w:fill="CCEEFF"/>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1,200,000</w:t>
            </w:r>
          </w:p>
        </w:tc>
        <w:tc>
          <w:tcPr>
            <w:tcW w:w="240" w:type="dxa"/>
            <w:vAlign w:val="bottom"/>
            <w:shd w:val="clear" w:color="auto" w:fill="CCEEFF"/>
          </w:tcPr>
          <w:p>
            <w:pPr>
              <w:spacing w:after="0"/>
              <w:rPr>
                <w:sz w:val="12"/>
                <w:szCs w:val="12"/>
                <w:color w:val="auto"/>
              </w:rPr>
            </w:pPr>
          </w:p>
        </w:tc>
        <w:tc>
          <w:tcPr>
            <w:tcW w:w="1140" w:type="dxa"/>
            <w:vAlign w:val="bottom"/>
            <w:gridSpan w:val="2"/>
            <w:shd w:val="clear" w:color="auto" w:fill="CCEEFF"/>
          </w:tcPr>
          <w:p>
            <w:pPr>
              <w:ind w:left="680"/>
              <w:spacing w:after="0" w:line="149" w:lineRule="exact"/>
              <w:rPr>
                <w:sz w:val="20"/>
                <w:szCs w:val="20"/>
                <w:color w:val="auto"/>
              </w:rPr>
            </w:pPr>
            <w:r>
              <w:rPr>
                <w:rFonts w:ascii="Arial" w:cs="Arial" w:eastAsia="Arial" w:hAnsi="Arial"/>
                <w:sz w:val="14"/>
                <w:szCs w:val="14"/>
                <w:color w:val="auto"/>
              </w:rPr>
              <w:t>—</w:t>
            </w:r>
          </w:p>
        </w:tc>
        <w:tc>
          <w:tcPr>
            <w:tcW w:w="11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175,372</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6"/>
              </w:rPr>
              <w:t>3,185,513</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28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rPr>
              <w:t>Chief Executive</w:t>
            </w:r>
          </w:p>
        </w:tc>
        <w:tc>
          <w:tcPr>
            <w:tcW w:w="5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2014</w:t>
            </w:r>
          </w:p>
        </w:tc>
        <w:tc>
          <w:tcPr>
            <w:tcW w:w="86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996,803</w:t>
            </w:r>
          </w:p>
        </w:tc>
        <w:tc>
          <w:tcPr>
            <w:tcW w:w="1020" w:type="dxa"/>
            <w:vAlign w:val="bottom"/>
            <w:gridSpan w:val="2"/>
            <w:shd w:val="clear" w:color="auto" w:fill="CCEEFF"/>
          </w:tcPr>
          <w:p>
            <w:pPr>
              <w:ind w:left="400"/>
              <w:spacing w:after="0" w:line="149" w:lineRule="exact"/>
              <w:rPr>
                <w:sz w:val="20"/>
                <w:szCs w:val="20"/>
                <w:color w:val="auto"/>
              </w:rPr>
            </w:pPr>
            <w:r>
              <w:rPr>
                <w:rFonts w:ascii="Arial" w:cs="Arial" w:eastAsia="Arial" w:hAnsi="Arial"/>
                <w:sz w:val="14"/>
                <w:szCs w:val="14"/>
                <w:color w:val="auto"/>
              </w:rPr>
              <w:t>—</w:t>
            </w:r>
          </w:p>
        </w:tc>
        <w:tc>
          <w:tcPr>
            <w:tcW w:w="86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w w:val="96"/>
              </w:rPr>
              <w:t>1,142,250</w:t>
            </w:r>
          </w:p>
        </w:tc>
        <w:tc>
          <w:tcPr>
            <w:tcW w:w="760" w:type="dxa"/>
            <w:vAlign w:val="bottom"/>
            <w:gridSpan w:val="2"/>
            <w:shd w:val="clear" w:color="auto" w:fill="CCEEFF"/>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1120" w:type="dxa"/>
            <w:vAlign w:val="bottom"/>
            <w:gridSpan w:val="2"/>
            <w:shd w:val="clear" w:color="auto" w:fill="CCEEFF"/>
          </w:tcPr>
          <w:p>
            <w:pPr>
              <w:jc w:val="right"/>
              <w:ind w:right="300"/>
              <w:spacing w:after="0" w:line="149" w:lineRule="exact"/>
              <w:rPr>
                <w:sz w:val="20"/>
                <w:szCs w:val="20"/>
                <w:color w:val="auto"/>
              </w:rPr>
            </w:pPr>
            <w:r>
              <w:rPr>
                <w:rFonts w:ascii="Arial" w:cs="Arial" w:eastAsia="Arial" w:hAnsi="Arial"/>
                <w:sz w:val="14"/>
                <w:szCs w:val="14"/>
                <w:color w:val="auto"/>
              </w:rPr>
              <w:t>—</w:t>
            </w:r>
          </w:p>
        </w:tc>
        <w:tc>
          <w:tcPr>
            <w:tcW w:w="1140" w:type="dxa"/>
            <w:vAlign w:val="bottom"/>
            <w:gridSpan w:val="2"/>
            <w:shd w:val="clear" w:color="auto" w:fill="CCEEFF"/>
          </w:tcPr>
          <w:p>
            <w:pPr>
              <w:ind w:left="680"/>
              <w:spacing w:after="0" w:line="149" w:lineRule="exact"/>
              <w:rPr>
                <w:sz w:val="20"/>
                <w:szCs w:val="20"/>
                <w:color w:val="auto"/>
              </w:rPr>
            </w:pPr>
            <w:r>
              <w:rPr>
                <w:rFonts w:ascii="Arial" w:cs="Arial" w:eastAsia="Arial" w:hAnsi="Arial"/>
                <w:sz w:val="14"/>
                <w:szCs w:val="14"/>
                <w:color w:val="auto"/>
              </w:rPr>
              <w:t>—</w:t>
            </w:r>
          </w:p>
        </w:tc>
        <w:tc>
          <w:tcPr>
            <w:tcW w:w="11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557,312</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6"/>
              </w:rPr>
              <w:t>2,696,365</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6"/>
        </w:trPr>
        <w:tc>
          <w:tcPr>
            <w:tcW w:w="328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Officer</w:t>
            </w:r>
          </w:p>
        </w:tc>
        <w:tc>
          <w:tcPr>
            <w:tcW w:w="3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40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8"/>
        </w:trPr>
        <w:tc>
          <w:tcPr>
            <w:tcW w:w="3280" w:type="dxa"/>
            <w:vAlign w:val="bottom"/>
            <w:gridSpan w:val="2"/>
          </w:tcPr>
          <w:p>
            <w:pPr>
              <w:spacing w:after="0"/>
              <w:rPr>
                <w:sz w:val="20"/>
                <w:szCs w:val="20"/>
                <w:color w:val="auto"/>
              </w:rPr>
            </w:pPr>
            <w:r>
              <w:rPr>
                <w:rFonts w:ascii="Arial" w:cs="Arial" w:eastAsia="Arial" w:hAnsi="Arial"/>
                <w:sz w:val="14"/>
                <w:szCs w:val="14"/>
                <w:color w:val="auto"/>
              </w:rPr>
              <w:t>Kelly L. Groh</w:t>
            </w:r>
          </w:p>
        </w:tc>
        <w:tc>
          <w:tcPr>
            <w:tcW w:w="580" w:type="dxa"/>
            <w:vAlign w:val="bottom"/>
            <w:gridSpan w:val="2"/>
          </w:tcPr>
          <w:p>
            <w:pPr>
              <w:jc w:val="right"/>
              <w:ind w:right="240"/>
              <w:spacing w:after="0"/>
              <w:rPr>
                <w:sz w:val="20"/>
                <w:szCs w:val="20"/>
                <w:color w:val="auto"/>
              </w:rPr>
            </w:pPr>
            <w:r>
              <w:rPr>
                <w:rFonts w:ascii="Arial" w:cs="Arial" w:eastAsia="Arial" w:hAnsi="Arial"/>
                <w:sz w:val="14"/>
                <w:szCs w:val="14"/>
                <w:color w:val="auto"/>
              </w:rPr>
              <w:t>2016</w:t>
            </w:r>
          </w:p>
        </w:tc>
        <w:tc>
          <w:tcPr>
            <w:tcW w:w="860" w:type="dxa"/>
            <w:vAlign w:val="bottom"/>
            <w:gridSpan w:val="2"/>
          </w:tcPr>
          <w:p>
            <w:pPr>
              <w:jc w:val="right"/>
              <w:ind w:right="240"/>
              <w:spacing w:after="0"/>
              <w:rPr>
                <w:sz w:val="20"/>
                <w:szCs w:val="20"/>
                <w:color w:val="auto"/>
              </w:rPr>
            </w:pPr>
            <w:r>
              <w:rPr>
                <w:rFonts w:ascii="Arial" w:cs="Arial" w:eastAsia="Arial" w:hAnsi="Arial"/>
                <w:sz w:val="14"/>
                <w:szCs w:val="14"/>
                <w:color w:val="auto"/>
              </w:rPr>
              <w:t>538,657</w:t>
            </w:r>
          </w:p>
        </w:tc>
        <w:tc>
          <w:tcPr>
            <w:tcW w:w="1020" w:type="dxa"/>
            <w:vAlign w:val="bottom"/>
            <w:gridSpan w:val="2"/>
          </w:tcPr>
          <w:p>
            <w:pPr>
              <w:jc w:val="right"/>
              <w:ind w:right="260"/>
              <w:spacing w:after="0"/>
              <w:rPr>
                <w:sz w:val="20"/>
                <w:szCs w:val="20"/>
                <w:color w:val="auto"/>
              </w:rPr>
            </w:pPr>
            <w:r>
              <w:rPr>
                <w:rFonts w:ascii="Arial" w:cs="Arial" w:eastAsia="Arial" w:hAnsi="Arial"/>
                <w:sz w:val="14"/>
                <w:szCs w:val="14"/>
                <w:color w:val="auto"/>
              </w:rPr>
              <w:t>658,250</w:t>
            </w:r>
            <w:r>
              <w:rPr>
                <w:rFonts w:ascii="Arial" w:cs="Arial" w:eastAsia="Arial" w:hAnsi="Arial"/>
                <w:sz w:val="12"/>
                <w:szCs w:val="12"/>
                <w:color w:val="auto"/>
              </w:rPr>
              <w:t>(1)</w:t>
            </w:r>
          </w:p>
        </w:tc>
        <w:tc>
          <w:tcPr>
            <w:tcW w:w="860" w:type="dxa"/>
            <w:vAlign w:val="bottom"/>
            <w:gridSpan w:val="2"/>
          </w:tcPr>
          <w:p>
            <w:pPr>
              <w:jc w:val="right"/>
              <w:ind w:right="240"/>
              <w:spacing w:after="0"/>
              <w:rPr>
                <w:sz w:val="20"/>
                <w:szCs w:val="20"/>
                <w:color w:val="auto"/>
              </w:rPr>
            </w:pPr>
            <w:r>
              <w:rPr>
                <w:rFonts w:ascii="Arial" w:cs="Arial" w:eastAsia="Arial" w:hAnsi="Arial"/>
                <w:sz w:val="14"/>
                <w:szCs w:val="14"/>
                <w:color w:val="auto"/>
              </w:rPr>
              <w:t>860,400</w:t>
            </w:r>
          </w:p>
        </w:tc>
        <w:tc>
          <w:tcPr>
            <w:tcW w:w="760" w:type="dxa"/>
            <w:vAlign w:val="bottom"/>
            <w:gridSpan w:val="2"/>
          </w:tcPr>
          <w:p>
            <w:pPr>
              <w:jc w:val="right"/>
              <w:ind w:right="320"/>
              <w:spacing w:after="0"/>
              <w:rPr>
                <w:sz w:val="20"/>
                <w:szCs w:val="20"/>
                <w:color w:val="auto"/>
              </w:rPr>
            </w:pPr>
            <w:r>
              <w:rPr>
                <w:rFonts w:ascii="Arial" w:cs="Arial" w:eastAsia="Arial" w:hAnsi="Arial"/>
                <w:sz w:val="14"/>
                <w:szCs w:val="14"/>
                <w:color w:val="auto"/>
              </w:rPr>
              <w:t>—</w:t>
            </w:r>
          </w:p>
        </w:tc>
        <w:tc>
          <w:tcPr>
            <w:tcW w:w="1120" w:type="dxa"/>
            <w:vAlign w:val="bottom"/>
            <w:gridSpan w:val="2"/>
          </w:tcPr>
          <w:p>
            <w:pPr>
              <w:jc w:val="right"/>
              <w:ind w:right="240"/>
              <w:spacing w:after="0"/>
              <w:rPr>
                <w:sz w:val="20"/>
                <w:szCs w:val="20"/>
                <w:color w:val="auto"/>
              </w:rPr>
            </w:pPr>
            <w:r>
              <w:rPr>
                <w:rFonts w:ascii="Arial" w:cs="Arial" w:eastAsia="Arial" w:hAnsi="Arial"/>
                <w:sz w:val="14"/>
                <w:szCs w:val="14"/>
                <w:color w:val="auto"/>
              </w:rPr>
              <w:t>850,000</w:t>
            </w:r>
          </w:p>
        </w:tc>
        <w:tc>
          <w:tcPr>
            <w:tcW w:w="1140" w:type="dxa"/>
            <w:vAlign w:val="bottom"/>
            <w:gridSpan w:val="2"/>
          </w:tcPr>
          <w:p>
            <w:pPr>
              <w:jc w:val="right"/>
              <w:ind w:right="240"/>
              <w:spacing w:after="0"/>
              <w:rPr>
                <w:sz w:val="20"/>
                <w:szCs w:val="20"/>
                <w:color w:val="auto"/>
              </w:rPr>
            </w:pPr>
            <w:r>
              <w:rPr>
                <w:rFonts w:ascii="Arial" w:cs="Arial" w:eastAsia="Arial" w:hAnsi="Arial"/>
                <w:sz w:val="14"/>
                <w:szCs w:val="14"/>
                <w:color w:val="auto"/>
              </w:rPr>
              <w:t>75,376</w:t>
            </w:r>
          </w:p>
        </w:tc>
        <w:tc>
          <w:tcPr>
            <w:tcW w:w="1140" w:type="dxa"/>
            <w:vAlign w:val="bottom"/>
            <w:gridSpan w:val="2"/>
          </w:tcPr>
          <w:p>
            <w:pPr>
              <w:jc w:val="right"/>
              <w:ind w:right="240"/>
              <w:spacing w:after="0"/>
              <w:rPr>
                <w:sz w:val="20"/>
                <w:szCs w:val="20"/>
                <w:color w:val="auto"/>
              </w:rPr>
            </w:pPr>
            <w:r>
              <w:rPr>
                <w:rFonts w:ascii="Arial" w:cs="Arial" w:eastAsia="Arial" w:hAnsi="Arial"/>
                <w:sz w:val="14"/>
                <w:szCs w:val="14"/>
                <w:color w:val="auto"/>
              </w:rPr>
              <w:t>129,750</w:t>
            </w:r>
          </w:p>
        </w:tc>
        <w:tc>
          <w:tcPr>
            <w:tcW w:w="660" w:type="dxa"/>
            <w:vAlign w:val="bottom"/>
            <w:gridSpan w:val="2"/>
          </w:tcPr>
          <w:p>
            <w:pPr>
              <w:jc w:val="right"/>
              <w:ind w:right="40"/>
              <w:spacing w:after="0"/>
              <w:rPr>
                <w:sz w:val="20"/>
                <w:szCs w:val="20"/>
                <w:color w:val="auto"/>
              </w:rPr>
            </w:pPr>
            <w:r>
              <w:rPr>
                <w:rFonts w:ascii="Arial" w:cs="Arial" w:eastAsia="Arial" w:hAnsi="Arial"/>
                <w:sz w:val="14"/>
                <w:szCs w:val="14"/>
                <w:color w:val="auto"/>
                <w:w w:val="96"/>
              </w:rPr>
              <w:t>3,112,433</w:t>
            </w:r>
          </w:p>
        </w:tc>
        <w:tc>
          <w:tcPr>
            <w:tcW w:w="0" w:type="dxa"/>
            <w:vAlign w:val="bottom"/>
          </w:tcPr>
          <w:p>
            <w:pPr>
              <w:spacing w:after="0"/>
              <w:rPr>
                <w:sz w:val="1"/>
                <w:szCs w:val="1"/>
                <w:color w:val="auto"/>
              </w:rPr>
            </w:pPr>
          </w:p>
        </w:tc>
      </w:tr>
      <w:tr>
        <w:trPr>
          <w:trHeight w:val="149"/>
        </w:trPr>
        <w:tc>
          <w:tcPr>
            <w:tcW w:w="3280" w:type="dxa"/>
            <w:vAlign w:val="bottom"/>
            <w:gridSpan w:val="2"/>
          </w:tcPr>
          <w:p>
            <w:pPr>
              <w:ind w:left="160"/>
              <w:spacing w:after="0" w:line="149" w:lineRule="exact"/>
              <w:rPr>
                <w:sz w:val="20"/>
                <w:szCs w:val="20"/>
                <w:color w:val="auto"/>
              </w:rPr>
            </w:pPr>
            <w:r>
              <w:rPr>
                <w:rFonts w:ascii="Arial" w:cs="Arial" w:eastAsia="Arial" w:hAnsi="Arial"/>
                <w:sz w:val="14"/>
                <w:szCs w:val="14"/>
                <w:color w:val="auto"/>
              </w:rPr>
              <w:t>Executive Vice</w:t>
            </w:r>
          </w:p>
        </w:tc>
        <w:tc>
          <w:tcPr>
            <w:tcW w:w="5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2015</w:t>
            </w:r>
          </w:p>
        </w:tc>
        <w:tc>
          <w:tcPr>
            <w:tcW w:w="86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435,909</w:t>
            </w:r>
          </w:p>
        </w:tc>
        <w:tc>
          <w:tcPr>
            <w:tcW w:w="1020" w:type="dxa"/>
            <w:vAlign w:val="bottom"/>
            <w:gridSpan w:val="2"/>
          </w:tcPr>
          <w:p>
            <w:pPr>
              <w:ind w:left="400"/>
              <w:spacing w:after="0" w:line="149" w:lineRule="exact"/>
              <w:rPr>
                <w:sz w:val="20"/>
                <w:szCs w:val="20"/>
                <w:color w:val="auto"/>
              </w:rPr>
            </w:pPr>
            <w:r>
              <w:rPr>
                <w:rFonts w:ascii="Arial" w:cs="Arial" w:eastAsia="Arial" w:hAnsi="Arial"/>
                <w:sz w:val="14"/>
                <w:szCs w:val="14"/>
                <w:color w:val="auto"/>
              </w:rPr>
              <w:t>—</w:t>
            </w:r>
          </w:p>
        </w:tc>
        <w:tc>
          <w:tcPr>
            <w:tcW w:w="86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114,759</w:t>
            </w:r>
          </w:p>
        </w:tc>
        <w:tc>
          <w:tcPr>
            <w:tcW w:w="760" w:type="dxa"/>
            <w:vAlign w:val="bottom"/>
            <w:gridSpan w:val="2"/>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112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425,000</w:t>
            </w:r>
          </w:p>
        </w:tc>
        <w:tc>
          <w:tcPr>
            <w:tcW w:w="11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133,837</w:t>
            </w:r>
          </w:p>
        </w:tc>
        <w:tc>
          <w:tcPr>
            <w:tcW w:w="11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89,946</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w w:val="96"/>
              </w:rPr>
              <w:t>1,199,451</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280" w:type="dxa"/>
            <w:vAlign w:val="bottom"/>
            <w:gridSpan w:val="2"/>
          </w:tcPr>
          <w:p>
            <w:pPr>
              <w:ind w:left="160"/>
              <w:spacing w:after="0" w:line="149" w:lineRule="exact"/>
              <w:rPr>
                <w:sz w:val="20"/>
                <w:szCs w:val="20"/>
                <w:color w:val="auto"/>
              </w:rPr>
            </w:pPr>
            <w:r>
              <w:rPr>
                <w:rFonts w:ascii="Arial" w:cs="Arial" w:eastAsia="Arial" w:hAnsi="Arial"/>
                <w:sz w:val="14"/>
                <w:szCs w:val="14"/>
                <w:color w:val="auto"/>
              </w:rPr>
              <w:t>President and Chief</w:t>
            </w:r>
          </w:p>
        </w:tc>
        <w:tc>
          <w:tcPr>
            <w:tcW w:w="3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1"/>
        </w:trPr>
        <w:tc>
          <w:tcPr>
            <w:tcW w:w="3280" w:type="dxa"/>
            <w:vAlign w:val="bottom"/>
            <w:gridSpan w:val="2"/>
          </w:tcPr>
          <w:p>
            <w:pPr>
              <w:ind w:left="160"/>
              <w:spacing w:after="0"/>
              <w:rPr>
                <w:sz w:val="20"/>
                <w:szCs w:val="20"/>
                <w:color w:val="auto"/>
              </w:rPr>
            </w:pPr>
            <w:r>
              <w:rPr>
                <w:rFonts w:ascii="Arial" w:cs="Arial" w:eastAsia="Arial" w:hAnsi="Arial"/>
                <w:sz w:val="14"/>
                <w:szCs w:val="14"/>
                <w:color w:val="auto"/>
              </w:rPr>
              <w:t>Financial Officer</w:t>
            </w:r>
          </w:p>
        </w:tc>
        <w:tc>
          <w:tcPr>
            <w:tcW w:w="3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0"/>
        </w:trPr>
        <w:tc>
          <w:tcPr>
            <w:tcW w:w="3280" w:type="dxa"/>
            <w:vAlign w:val="bottom"/>
            <w:gridSpan w:val="2"/>
            <w:shd w:val="clear" w:color="auto" w:fill="CCEEFF"/>
          </w:tcPr>
          <w:p>
            <w:pPr>
              <w:spacing w:after="0" w:line="130" w:lineRule="exact"/>
              <w:rPr>
                <w:sz w:val="20"/>
                <w:szCs w:val="20"/>
                <w:color w:val="auto"/>
              </w:rPr>
            </w:pPr>
            <w:r>
              <w:rPr>
                <w:rFonts w:ascii="Arial" w:cs="Arial" w:eastAsia="Arial" w:hAnsi="Arial"/>
                <w:sz w:val="14"/>
                <w:szCs w:val="14"/>
                <w:color w:val="auto"/>
              </w:rPr>
              <w:t>Kevin D. Schneider</w:t>
            </w:r>
          </w:p>
        </w:tc>
        <w:tc>
          <w:tcPr>
            <w:tcW w:w="580" w:type="dxa"/>
            <w:vAlign w:val="bottom"/>
            <w:gridSpan w:val="2"/>
            <w:shd w:val="clear" w:color="auto" w:fill="CCEEFF"/>
          </w:tcPr>
          <w:p>
            <w:pPr>
              <w:jc w:val="right"/>
              <w:ind w:right="240"/>
              <w:spacing w:after="0" w:line="130" w:lineRule="exact"/>
              <w:rPr>
                <w:sz w:val="20"/>
                <w:szCs w:val="20"/>
                <w:color w:val="auto"/>
              </w:rPr>
            </w:pPr>
            <w:r>
              <w:rPr>
                <w:rFonts w:ascii="Arial" w:cs="Arial" w:eastAsia="Arial" w:hAnsi="Arial"/>
                <w:sz w:val="14"/>
                <w:szCs w:val="14"/>
                <w:color w:val="auto"/>
              </w:rPr>
              <w:t>2016</w:t>
            </w:r>
          </w:p>
        </w:tc>
        <w:tc>
          <w:tcPr>
            <w:tcW w:w="860" w:type="dxa"/>
            <w:vAlign w:val="bottom"/>
            <w:gridSpan w:val="2"/>
            <w:shd w:val="clear" w:color="auto" w:fill="CCEEFF"/>
          </w:tcPr>
          <w:p>
            <w:pPr>
              <w:jc w:val="right"/>
              <w:ind w:right="240"/>
              <w:spacing w:after="0" w:line="130" w:lineRule="exact"/>
              <w:rPr>
                <w:sz w:val="20"/>
                <w:szCs w:val="20"/>
                <w:color w:val="auto"/>
              </w:rPr>
            </w:pPr>
            <w:r>
              <w:rPr>
                <w:rFonts w:ascii="Arial" w:cs="Arial" w:eastAsia="Arial" w:hAnsi="Arial"/>
                <w:sz w:val="14"/>
                <w:szCs w:val="14"/>
                <w:color w:val="auto"/>
              </w:rPr>
              <w:t>722,683</w:t>
            </w:r>
          </w:p>
        </w:tc>
        <w:tc>
          <w:tcPr>
            <w:tcW w:w="1020" w:type="dxa"/>
            <w:vAlign w:val="bottom"/>
            <w:gridSpan w:val="2"/>
            <w:shd w:val="clear" w:color="auto" w:fill="CCEEFF"/>
          </w:tcPr>
          <w:p>
            <w:pPr>
              <w:jc w:val="right"/>
              <w:ind w:right="260"/>
              <w:spacing w:after="0" w:line="130" w:lineRule="exact"/>
              <w:rPr>
                <w:sz w:val="20"/>
                <w:szCs w:val="20"/>
                <w:color w:val="auto"/>
              </w:rPr>
            </w:pPr>
            <w:r>
              <w:rPr>
                <w:rFonts w:ascii="Arial" w:cs="Arial" w:eastAsia="Arial" w:hAnsi="Arial"/>
                <w:sz w:val="14"/>
                <w:szCs w:val="14"/>
                <w:color w:val="auto"/>
                <w:w w:val="96"/>
              </w:rPr>
              <w:t>1,000,000</w:t>
            </w:r>
            <w:r>
              <w:rPr>
                <w:rFonts w:ascii="Arial" w:cs="Arial" w:eastAsia="Arial" w:hAnsi="Arial"/>
                <w:sz w:val="12"/>
                <w:szCs w:val="12"/>
                <w:color w:val="auto"/>
                <w:w w:val="96"/>
              </w:rPr>
              <w:t>(2)</w:t>
            </w:r>
          </w:p>
        </w:tc>
        <w:tc>
          <w:tcPr>
            <w:tcW w:w="860" w:type="dxa"/>
            <w:vAlign w:val="bottom"/>
            <w:gridSpan w:val="2"/>
            <w:shd w:val="clear" w:color="auto" w:fill="CCEEFF"/>
          </w:tcPr>
          <w:p>
            <w:pPr>
              <w:jc w:val="right"/>
              <w:ind w:right="240"/>
              <w:spacing w:after="0" w:line="130" w:lineRule="exact"/>
              <w:rPr>
                <w:sz w:val="20"/>
                <w:szCs w:val="20"/>
                <w:color w:val="auto"/>
              </w:rPr>
            </w:pPr>
            <w:r>
              <w:rPr>
                <w:rFonts w:ascii="Arial" w:cs="Arial" w:eastAsia="Arial" w:hAnsi="Arial"/>
                <w:sz w:val="14"/>
                <w:szCs w:val="14"/>
                <w:color w:val="auto"/>
                <w:w w:val="96"/>
              </w:rPr>
              <w:t>1,744,700</w:t>
            </w:r>
          </w:p>
        </w:tc>
        <w:tc>
          <w:tcPr>
            <w:tcW w:w="760" w:type="dxa"/>
            <w:vAlign w:val="bottom"/>
            <w:gridSpan w:val="2"/>
            <w:shd w:val="clear" w:color="auto" w:fill="CCEEFF"/>
          </w:tcPr>
          <w:p>
            <w:pPr>
              <w:jc w:val="right"/>
              <w:ind w:right="320"/>
              <w:spacing w:after="0" w:line="130" w:lineRule="exact"/>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line="130" w:lineRule="exact"/>
              <w:rPr>
                <w:sz w:val="20"/>
                <w:szCs w:val="20"/>
                <w:color w:val="auto"/>
              </w:rPr>
            </w:pPr>
            <w:r>
              <w:rPr>
                <w:rFonts w:ascii="Arial" w:cs="Arial" w:eastAsia="Arial" w:hAnsi="Arial"/>
                <w:sz w:val="14"/>
                <w:szCs w:val="14"/>
                <w:color w:val="auto"/>
              </w:rPr>
              <w:t>1,500,000</w:t>
            </w:r>
          </w:p>
        </w:tc>
        <w:tc>
          <w:tcPr>
            <w:tcW w:w="240" w:type="dxa"/>
            <w:vAlign w:val="bottom"/>
            <w:shd w:val="clear" w:color="auto" w:fill="CCEEFF"/>
          </w:tcPr>
          <w:p>
            <w:pPr>
              <w:spacing w:after="0"/>
              <w:rPr>
                <w:sz w:val="11"/>
                <w:szCs w:val="11"/>
                <w:color w:val="auto"/>
              </w:rPr>
            </w:pPr>
          </w:p>
        </w:tc>
        <w:tc>
          <w:tcPr>
            <w:tcW w:w="1140" w:type="dxa"/>
            <w:vAlign w:val="bottom"/>
            <w:gridSpan w:val="2"/>
            <w:shd w:val="clear" w:color="auto" w:fill="CCEEFF"/>
          </w:tcPr>
          <w:p>
            <w:pPr>
              <w:jc w:val="right"/>
              <w:ind w:right="240"/>
              <w:spacing w:after="0" w:line="130" w:lineRule="exact"/>
              <w:rPr>
                <w:sz w:val="20"/>
                <w:szCs w:val="20"/>
                <w:color w:val="auto"/>
              </w:rPr>
            </w:pPr>
            <w:r>
              <w:rPr>
                <w:rFonts w:ascii="Arial" w:cs="Arial" w:eastAsia="Arial" w:hAnsi="Arial"/>
                <w:sz w:val="14"/>
                <w:szCs w:val="14"/>
                <w:color w:val="auto"/>
              </w:rPr>
              <w:t>692,720</w:t>
            </w:r>
          </w:p>
        </w:tc>
        <w:tc>
          <w:tcPr>
            <w:tcW w:w="1140" w:type="dxa"/>
            <w:vAlign w:val="bottom"/>
            <w:gridSpan w:val="2"/>
            <w:shd w:val="clear" w:color="auto" w:fill="CCEEFF"/>
          </w:tcPr>
          <w:p>
            <w:pPr>
              <w:jc w:val="right"/>
              <w:ind w:right="240"/>
              <w:spacing w:after="0" w:line="130" w:lineRule="exact"/>
              <w:rPr>
                <w:sz w:val="20"/>
                <w:szCs w:val="20"/>
                <w:color w:val="auto"/>
              </w:rPr>
            </w:pPr>
            <w:r>
              <w:rPr>
                <w:rFonts w:ascii="Arial" w:cs="Arial" w:eastAsia="Arial" w:hAnsi="Arial"/>
                <w:sz w:val="14"/>
                <w:szCs w:val="14"/>
                <w:color w:val="auto"/>
              </w:rPr>
              <w:t>167,627</w:t>
            </w:r>
          </w:p>
        </w:tc>
        <w:tc>
          <w:tcPr>
            <w:tcW w:w="620" w:type="dxa"/>
            <w:vAlign w:val="bottom"/>
            <w:shd w:val="clear" w:color="auto" w:fill="CCEEFF"/>
          </w:tcPr>
          <w:p>
            <w:pPr>
              <w:jc w:val="right"/>
              <w:spacing w:after="0" w:line="130" w:lineRule="exact"/>
              <w:rPr>
                <w:sz w:val="20"/>
                <w:szCs w:val="20"/>
                <w:color w:val="auto"/>
              </w:rPr>
            </w:pPr>
            <w:r>
              <w:rPr>
                <w:rFonts w:ascii="Arial" w:cs="Arial" w:eastAsia="Arial" w:hAnsi="Arial"/>
                <w:sz w:val="14"/>
                <w:szCs w:val="14"/>
                <w:color w:val="auto"/>
                <w:w w:val="96"/>
              </w:rPr>
              <w:t>5,827,730</w:t>
            </w:r>
          </w:p>
        </w:tc>
        <w:tc>
          <w:tcPr>
            <w:tcW w:w="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328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rPr>
              <w:t>Executive Vice</w:t>
            </w:r>
          </w:p>
        </w:tc>
        <w:tc>
          <w:tcPr>
            <w:tcW w:w="5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2015</w:t>
            </w:r>
          </w:p>
        </w:tc>
        <w:tc>
          <w:tcPr>
            <w:tcW w:w="86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672,842</w:t>
            </w:r>
          </w:p>
        </w:tc>
        <w:tc>
          <w:tcPr>
            <w:tcW w:w="1020" w:type="dxa"/>
            <w:vAlign w:val="bottom"/>
            <w:gridSpan w:val="2"/>
            <w:shd w:val="clear" w:color="auto" w:fill="CCEEFF"/>
          </w:tcPr>
          <w:p>
            <w:pPr>
              <w:ind w:left="400"/>
              <w:spacing w:after="0" w:line="149" w:lineRule="exact"/>
              <w:rPr>
                <w:sz w:val="20"/>
                <w:szCs w:val="20"/>
                <w:color w:val="auto"/>
              </w:rPr>
            </w:pPr>
            <w:r>
              <w:rPr>
                <w:rFonts w:ascii="Arial" w:cs="Arial" w:eastAsia="Arial" w:hAnsi="Arial"/>
                <w:sz w:val="14"/>
                <w:szCs w:val="14"/>
                <w:color w:val="auto"/>
              </w:rPr>
              <w:t>—</w:t>
            </w:r>
          </w:p>
        </w:tc>
        <w:tc>
          <w:tcPr>
            <w:tcW w:w="86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w w:val="96"/>
              </w:rPr>
              <w:t>1,452,950</w:t>
            </w:r>
          </w:p>
        </w:tc>
        <w:tc>
          <w:tcPr>
            <w:tcW w:w="760" w:type="dxa"/>
            <w:vAlign w:val="bottom"/>
            <w:gridSpan w:val="2"/>
            <w:shd w:val="clear" w:color="auto" w:fill="CCEEFF"/>
          </w:tcPr>
          <w:p>
            <w:pPr>
              <w:ind w:left="40"/>
              <w:spacing w:after="0" w:line="149" w:lineRule="exact"/>
              <w:rPr>
                <w:sz w:val="20"/>
                <w:szCs w:val="20"/>
                <w:color w:val="auto"/>
              </w:rPr>
            </w:pPr>
            <w:r>
              <w:rPr>
                <w:rFonts w:ascii="Arial" w:cs="Arial" w:eastAsia="Arial" w:hAnsi="Arial"/>
                <w:sz w:val="14"/>
                <w:szCs w:val="14"/>
                <w:color w:val="auto"/>
              </w:rPr>
              <w:t>922,200</w:t>
            </w: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1,200,000</w:t>
            </w:r>
          </w:p>
        </w:tc>
        <w:tc>
          <w:tcPr>
            <w:tcW w:w="240" w:type="dxa"/>
            <w:vAlign w:val="bottom"/>
            <w:shd w:val="clear" w:color="auto" w:fill="CCEEFF"/>
          </w:tcPr>
          <w:p>
            <w:pPr>
              <w:spacing w:after="0"/>
              <w:rPr>
                <w:sz w:val="12"/>
                <w:szCs w:val="12"/>
                <w:color w:val="auto"/>
              </w:rPr>
            </w:pPr>
          </w:p>
        </w:tc>
        <w:tc>
          <w:tcPr>
            <w:tcW w:w="11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497,969</w:t>
            </w:r>
          </w:p>
        </w:tc>
        <w:tc>
          <w:tcPr>
            <w:tcW w:w="11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159,292</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6"/>
              </w:rPr>
              <w:t>4,905,253</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28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rPr>
              <w:t>President and Chief</w:t>
            </w:r>
          </w:p>
        </w:tc>
        <w:tc>
          <w:tcPr>
            <w:tcW w:w="5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2014</w:t>
            </w:r>
          </w:p>
        </w:tc>
        <w:tc>
          <w:tcPr>
            <w:tcW w:w="86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636,520</w:t>
            </w:r>
          </w:p>
        </w:tc>
        <w:tc>
          <w:tcPr>
            <w:tcW w:w="1020" w:type="dxa"/>
            <w:vAlign w:val="bottom"/>
            <w:gridSpan w:val="2"/>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w w:val="96"/>
              </w:rPr>
              <w:t>1,000,000</w:t>
            </w:r>
            <w:r>
              <w:rPr>
                <w:rFonts w:ascii="Arial" w:cs="Arial" w:eastAsia="Arial" w:hAnsi="Arial"/>
                <w:sz w:val="12"/>
                <w:szCs w:val="12"/>
                <w:color w:val="auto"/>
                <w:w w:val="96"/>
              </w:rPr>
              <w:t>(3)</w:t>
            </w:r>
          </w:p>
        </w:tc>
        <w:tc>
          <w:tcPr>
            <w:tcW w:w="86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593,970</w:t>
            </w:r>
          </w:p>
        </w:tc>
        <w:tc>
          <w:tcPr>
            <w:tcW w:w="760" w:type="dxa"/>
            <w:vAlign w:val="bottom"/>
            <w:gridSpan w:val="2"/>
            <w:shd w:val="clear" w:color="auto" w:fill="CCEEFF"/>
          </w:tcPr>
          <w:p>
            <w:pPr>
              <w:ind w:left="40"/>
              <w:spacing w:after="0" w:line="149" w:lineRule="exact"/>
              <w:rPr>
                <w:sz w:val="20"/>
                <w:szCs w:val="20"/>
                <w:color w:val="auto"/>
              </w:rPr>
            </w:pPr>
            <w:r>
              <w:rPr>
                <w:rFonts w:ascii="Arial" w:cs="Arial" w:eastAsia="Arial" w:hAnsi="Arial"/>
                <w:sz w:val="14"/>
                <w:szCs w:val="14"/>
                <w:color w:val="auto"/>
              </w:rPr>
              <w:t>459,000</w:t>
            </w: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1,150,000</w:t>
            </w:r>
          </w:p>
        </w:tc>
        <w:tc>
          <w:tcPr>
            <w:tcW w:w="240" w:type="dxa"/>
            <w:vAlign w:val="bottom"/>
            <w:shd w:val="clear" w:color="auto" w:fill="CCEEFF"/>
          </w:tcPr>
          <w:p>
            <w:pPr>
              <w:spacing w:after="0"/>
              <w:rPr>
                <w:sz w:val="12"/>
                <w:szCs w:val="12"/>
                <w:color w:val="auto"/>
              </w:rPr>
            </w:pPr>
          </w:p>
        </w:tc>
        <w:tc>
          <w:tcPr>
            <w:tcW w:w="11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747,176</w:t>
            </w:r>
          </w:p>
        </w:tc>
        <w:tc>
          <w:tcPr>
            <w:tcW w:w="11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153,202</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6"/>
              </w:rPr>
              <w:t>4,739,868</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81"/>
        </w:trPr>
        <w:tc>
          <w:tcPr>
            <w:tcW w:w="328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Operating Officer</w:t>
            </w:r>
          </w:p>
        </w:tc>
        <w:tc>
          <w:tcPr>
            <w:tcW w:w="3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40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8"/>
        </w:trPr>
        <w:tc>
          <w:tcPr>
            <w:tcW w:w="3280" w:type="dxa"/>
            <w:vAlign w:val="bottom"/>
            <w:gridSpan w:val="2"/>
          </w:tcPr>
          <w:p>
            <w:pPr>
              <w:spacing w:after="0"/>
              <w:rPr>
                <w:sz w:val="20"/>
                <w:szCs w:val="20"/>
                <w:color w:val="auto"/>
              </w:rPr>
            </w:pPr>
            <w:r>
              <w:rPr>
                <w:rFonts w:ascii="Arial" w:cs="Arial" w:eastAsia="Arial" w:hAnsi="Arial"/>
                <w:sz w:val="14"/>
                <w:szCs w:val="14"/>
                <w:color w:val="auto"/>
              </w:rPr>
              <w:t>Ward E. Bobitz</w:t>
            </w:r>
          </w:p>
        </w:tc>
        <w:tc>
          <w:tcPr>
            <w:tcW w:w="580" w:type="dxa"/>
            <w:vAlign w:val="bottom"/>
            <w:gridSpan w:val="2"/>
          </w:tcPr>
          <w:p>
            <w:pPr>
              <w:jc w:val="right"/>
              <w:ind w:right="240"/>
              <w:spacing w:after="0"/>
              <w:rPr>
                <w:sz w:val="20"/>
                <w:szCs w:val="20"/>
                <w:color w:val="auto"/>
              </w:rPr>
            </w:pPr>
            <w:r>
              <w:rPr>
                <w:rFonts w:ascii="Arial" w:cs="Arial" w:eastAsia="Arial" w:hAnsi="Arial"/>
                <w:sz w:val="14"/>
                <w:szCs w:val="14"/>
                <w:color w:val="auto"/>
              </w:rPr>
              <w:t>2016</w:t>
            </w:r>
          </w:p>
        </w:tc>
        <w:tc>
          <w:tcPr>
            <w:tcW w:w="860" w:type="dxa"/>
            <w:vAlign w:val="bottom"/>
            <w:gridSpan w:val="2"/>
          </w:tcPr>
          <w:p>
            <w:pPr>
              <w:jc w:val="right"/>
              <w:ind w:right="240"/>
              <w:spacing w:after="0"/>
              <w:rPr>
                <w:sz w:val="20"/>
                <w:szCs w:val="20"/>
                <w:color w:val="auto"/>
              </w:rPr>
            </w:pPr>
            <w:r>
              <w:rPr>
                <w:rFonts w:ascii="Arial" w:cs="Arial" w:eastAsia="Arial" w:hAnsi="Arial"/>
                <w:sz w:val="14"/>
                <w:szCs w:val="14"/>
                <w:color w:val="auto"/>
              </w:rPr>
              <w:t>423,642</w:t>
            </w:r>
          </w:p>
        </w:tc>
        <w:tc>
          <w:tcPr>
            <w:tcW w:w="1020" w:type="dxa"/>
            <w:vAlign w:val="bottom"/>
            <w:gridSpan w:val="2"/>
          </w:tcPr>
          <w:p>
            <w:pPr>
              <w:jc w:val="right"/>
              <w:ind w:right="260"/>
              <w:spacing w:after="0"/>
              <w:rPr>
                <w:sz w:val="20"/>
                <w:szCs w:val="20"/>
                <w:color w:val="auto"/>
              </w:rPr>
            </w:pPr>
            <w:r>
              <w:rPr>
                <w:rFonts w:ascii="Arial" w:cs="Arial" w:eastAsia="Arial" w:hAnsi="Arial"/>
                <w:sz w:val="14"/>
                <w:szCs w:val="14"/>
                <w:color w:val="auto"/>
              </w:rPr>
              <w:t>425,000</w:t>
            </w:r>
            <w:r>
              <w:rPr>
                <w:rFonts w:ascii="Arial" w:cs="Arial" w:eastAsia="Arial" w:hAnsi="Arial"/>
                <w:sz w:val="12"/>
                <w:szCs w:val="12"/>
                <w:color w:val="auto"/>
              </w:rPr>
              <w:t>(4)</w:t>
            </w:r>
          </w:p>
        </w:tc>
        <w:tc>
          <w:tcPr>
            <w:tcW w:w="860" w:type="dxa"/>
            <w:vAlign w:val="bottom"/>
            <w:gridSpan w:val="2"/>
          </w:tcPr>
          <w:p>
            <w:pPr>
              <w:jc w:val="right"/>
              <w:ind w:right="240"/>
              <w:spacing w:after="0"/>
              <w:rPr>
                <w:sz w:val="20"/>
                <w:szCs w:val="20"/>
                <w:color w:val="auto"/>
              </w:rPr>
            </w:pPr>
            <w:r>
              <w:rPr>
                <w:rFonts w:ascii="Arial" w:cs="Arial" w:eastAsia="Arial" w:hAnsi="Arial"/>
                <w:sz w:val="14"/>
                <w:szCs w:val="14"/>
                <w:color w:val="auto"/>
              </w:rPr>
              <w:t>430,200</w:t>
            </w:r>
          </w:p>
        </w:tc>
        <w:tc>
          <w:tcPr>
            <w:tcW w:w="760" w:type="dxa"/>
            <w:vAlign w:val="bottom"/>
            <w:gridSpan w:val="2"/>
          </w:tcPr>
          <w:p>
            <w:pPr>
              <w:jc w:val="right"/>
              <w:ind w:right="320"/>
              <w:spacing w:after="0"/>
              <w:rPr>
                <w:sz w:val="20"/>
                <w:szCs w:val="20"/>
                <w:color w:val="auto"/>
              </w:rPr>
            </w:pPr>
            <w:r>
              <w:rPr>
                <w:rFonts w:ascii="Arial" w:cs="Arial" w:eastAsia="Arial" w:hAnsi="Arial"/>
                <w:sz w:val="14"/>
                <w:szCs w:val="14"/>
                <w:color w:val="auto"/>
              </w:rPr>
              <w:t>—</w:t>
            </w:r>
          </w:p>
        </w:tc>
        <w:tc>
          <w:tcPr>
            <w:tcW w:w="1120" w:type="dxa"/>
            <w:vAlign w:val="bottom"/>
            <w:gridSpan w:val="2"/>
          </w:tcPr>
          <w:p>
            <w:pPr>
              <w:jc w:val="right"/>
              <w:ind w:right="240"/>
              <w:spacing w:after="0"/>
              <w:rPr>
                <w:sz w:val="20"/>
                <w:szCs w:val="20"/>
                <w:color w:val="auto"/>
              </w:rPr>
            </w:pPr>
            <w:r>
              <w:rPr>
                <w:rFonts w:ascii="Arial" w:cs="Arial" w:eastAsia="Arial" w:hAnsi="Arial"/>
                <w:sz w:val="14"/>
                <w:szCs w:val="14"/>
                <w:color w:val="auto"/>
              </w:rPr>
              <w:t>750,000</w:t>
            </w:r>
          </w:p>
        </w:tc>
        <w:tc>
          <w:tcPr>
            <w:tcW w:w="1140" w:type="dxa"/>
            <w:vAlign w:val="bottom"/>
            <w:gridSpan w:val="2"/>
          </w:tcPr>
          <w:p>
            <w:pPr>
              <w:jc w:val="right"/>
              <w:ind w:right="240"/>
              <w:spacing w:after="0"/>
              <w:rPr>
                <w:sz w:val="20"/>
                <w:szCs w:val="20"/>
                <w:color w:val="auto"/>
              </w:rPr>
            </w:pPr>
            <w:r>
              <w:rPr>
                <w:rFonts w:ascii="Arial" w:cs="Arial" w:eastAsia="Arial" w:hAnsi="Arial"/>
                <w:sz w:val="14"/>
                <w:szCs w:val="14"/>
                <w:color w:val="auto"/>
              </w:rPr>
              <w:t>422,665</w:t>
            </w:r>
          </w:p>
        </w:tc>
        <w:tc>
          <w:tcPr>
            <w:tcW w:w="1140" w:type="dxa"/>
            <w:vAlign w:val="bottom"/>
            <w:gridSpan w:val="2"/>
          </w:tcPr>
          <w:p>
            <w:pPr>
              <w:jc w:val="right"/>
              <w:ind w:right="240"/>
              <w:spacing w:after="0"/>
              <w:rPr>
                <w:sz w:val="20"/>
                <w:szCs w:val="20"/>
                <w:color w:val="auto"/>
              </w:rPr>
            </w:pPr>
            <w:r>
              <w:rPr>
                <w:rFonts w:ascii="Arial" w:cs="Arial" w:eastAsia="Arial" w:hAnsi="Arial"/>
                <w:sz w:val="14"/>
                <w:szCs w:val="14"/>
                <w:color w:val="auto"/>
              </w:rPr>
              <w:t>84,603</w:t>
            </w:r>
          </w:p>
        </w:tc>
        <w:tc>
          <w:tcPr>
            <w:tcW w:w="660" w:type="dxa"/>
            <w:vAlign w:val="bottom"/>
            <w:gridSpan w:val="2"/>
          </w:tcPr>
          <w:p>
            <w:pPr>
              <w:jc w:val="right"/>
              <w:ind w:right="40"/>
              <w:spacing w:after="0"/>
              <w:rPr>
                <w:sz w:val="20"/>
                <w:szCs w:val="20"/>
                <w:color w:val="auto"/>
              </w:rPr>
            </w:pPr>
            <w:r>
              <w:rPr>
                <w:rFonts w:ascii="Arial" w:cs="Arial" w:eastAsia="Arial" w:hAnsi="Arial"/>
                <w:sz w:val="14"/>
                <w:szCs w:val="14"/>
                <w:color w:val="auto"/>
                <w:w w:val="96"/>
              </w:rPr>
              <w:t>2,536,110</w:t>
            </w:r>
          </w:p>
        </w:tc>
        <w:tc>
          <w:tcPr>
            <w:tcW w:w="0" w:type="dxa"/>
            <w:vAlign w:val="bottom"/>
          </w:tcPr>
          <w:p>
            <w:pPr>
              <w:spacing w:after="0"/>
              <w:rPr>
                <w:sz w:val="1"/>
                <w:szCs w:val="1"/>
                <w:color w:val="auto"/>
              </w:rPr>
            </w:pPr>
          </w:p>
        </w:tc>
      </w:tr>
      <w:tr>
        <w:trPr>
          <w:trHeight w:val="149"/>
        </w:trPr>
        <w:tc>
          <w:tcPr>
            <w:tcW w:w="3280" w:type="dxa"/>
            <w:vAlign w:val="bottom"/>
            <w:gridSpan w:val="2"/>
          </w:tcPr>
          <w:p>
            <w:pPr>
              <w:ind w:left="160"/>
              <w:spacing w:after="0" w:line="149" w:lineRule="exact"/>
              <w:rPr>
                <w:sz w:val="20"/>
                <w:szCs w:val="20"/>
                <w:color w:val="auto"/>
              </w:rPr>
            </w:pPr>
            <w:r>
              <w:rPr>
                <w:rFonts w:ascii="Arial" w:cs="Arial" w:eastAsia="Arial" w:hAnsi="Arial"/>
                <w:sz w:val="14"/>
                <w:szCs w:val="14"/>
                <w:color w:val="auto"/>
              </w:rPr>
              <w:t>Executive Vice</w:t>
            </w:r>
          </w:p>
        </w:tc>
        <w:tc>
          <w:tcPr>
            <w:tcW w:w="3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280" w:type="dxa"/>
            <w:vAlign w:val="bottom"/>
            <w:gridSpan w:val="2"/>
          </w:tcPr>
          <w:p>
            <w:pPr>
              <w:ind w:left="160"/>
              <w:spacing w:after="0" w:line="149" w:lineRule="exact"/>
              <w:rPr>
                <w:sz w:val="20"/>
                <w:szCs w:val="20"/>
                <w:color w:val="auto"/>
              </w:rPr>
            </w:pPr>
            <w:r>
              <w:rPr>
                <w:rFonts w:ascii="Arial" w:cs="Arial" w:eastAsia="Arial" w:hAnsi="Arial"/>
                <w:sz w:val="14"/>
                <w:szCs w:val="14"/>
                <w:color w:val="auto"/>
              </w:rPr>
              <w:t>President and General</w:t>
            </w:r>
          </w:p>
        </w:tc>
        <w:tc>
          <w:tcPr>
            <w:tcW w:w="3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1"/>
        </w:trPr>
        <w:tc>
          <w:tcPr>
            <w:tcW w:w="3280" w:type="dxa"/>
            <w:vAlign w:val="bottom"/>
            <w:gridSpan w:val="2"/>
          </w:tcPr>
          <w:p>
            <w:pPr>
              <w:ind w:left="160"/>
              <w:spacing w:after="0"/>
              <w:rPr>
                <w:sz w:val="20"/>
                <w:szCs w:val="20"/>
                <w:color w:val="auto"/>
              </w:rPr>
            </w:pPr>
            <w:r>
              <w:rPr>
                <w:rFonts w:ascii="Arial" w:cs="Arial" w:eastAsia="Arial" w:hAnsi="Arial"/>
                <w:sz w:val="14"/>
                <w:szCs w:val="14"/>
                <w:color w:val="auto"/>
              </w:rPr>
              <w:t>Counsel</w:t>
            </w:r>
          </w:p>
        </w:tc>
        <w:tc>
          <w:tcPr>
            <w:tcW w:w="3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0"/>
        </w:trPr>
        <w:tc>
          <w:tcPr>
            <w:tcW w:w="3280" w:type="dxa"/>
            <w:vAlign w:val="bottom"/>
            <w:gridSpan w:val="2"/>
            <w:shd w:val="clear" w:color="auto" w:fill="CCEEFF"/>
          </w:tcPr>
          <w:p>
            <w:pPr>
              <w:spacing w:after="0" w:line="130" w:lineRule="exact"/>
              <w:rPr>
                <w:sz w:val="20"/>
                <w:szCs w:val="20"/>
                <w:color w:val="auto"/>
              </w:rPr>
            </w:pPr>
            <w:r>
              <w:rPr>
                <w:rFonts w:ascii="Arial" w:cs="Arial" w:eastAsia="Arial" w:hAnsi="Arial"/>
                <w:sz w:val="14"/>
                <w:szCs w:val="14"/>
                <w:color w:val="auto"/>
              </w:rPr>
              <w:t>Daniel J. Sheehan IV</w:t>
            </w:r>
          </w:p>
        </w:tc>
        <w:tc>
          <w:tcPr>
            <w:tcW w:w="580" w:type="dxa"/>
            <w:vAlign w:val="bottom"/>
            <w:gridSpan w:val="2"/>
            <w:shd w:val="clear" w:color="auto" w:fill="CCEEFF"/>
          </w:tcPr>
          <w:p>
            <w:pPr>
              <w:jc w:val="right"/>
              <w:ind w:right="240"/>
              <w:spacing w:after="0" w:line="130" w:lineRule="exact"/>
              <w:rPr>
                <w:sz w:val="20"/>
                <w:szCs w:val="20"/>
                <w:color w:val="auto"/>
              </w:rPr>
            </w:pPr>
            <w:r>
              <w:rPr>
                <w:rFonts w:ascii="Arial" w:cs="Arial" w:eastAsia="Arial" w:hAnsi="Arial"/>
                <w:sz w:val="14"/>
                <w:szCs w:val="14"/>
                <w:color w:val="auto"/>
              </w:rPr>
              <w:t>2016</w:t>
            </w:r>
          </w:p>
        </w:tc>
        <w:tc>
          <w:tcPr>
            <w:tcW w:w="860" w:type="dxa"/>
            <w:vAlign w:val="bottom"/>
            <w:gridSpan w:val="2"/>
            <w:shd w:val="clear" w:color="auto" w:fill="CCEEFF"/>
          </w:tcPr>
          <w:p>
            <w:pPr>
              <w:jc w:val="right"/>
              <w:ind w:right="240"/>
              <w:spacing w:after="0" w:line="130" w:lineRule="exact"/>
              <w:rPr>
                <w:sz w:val="20"/>
                <w:szCs w:val="20"/>
                <w:color w:val="auto"/>
              </w:rPr>
            </w:pPr>
            <w:r>
              <w:rPr>
                <w:rFonts w:ascii="Arial" w:cs="Arial" w:eastAsia="Arial" w:hAnsi="Arial"/>
                <w:sz w:val="14"/>
                <w:szCs w:val="14"/>
                <w:color w:val="auto"/>
              </w:rPr>
              <w:t>598,083</w:t>
            </w:r>
          </w:p>
        </w:tc>
        <w:tc>
          <w:tcPr>
            <w:tcW w:w="1020" w:type="dxa"/>
            <w:vAlign w:val="bottom"/>
            <w:gridSpan w:val="2"/>
            <w:shd w:val="clear" w:color="auto" w:fill="CCEEFF"/>
          </w:tcPr>
          <w:p>
            <w:pPr>
              <w:jc w:val="right"/>
              <w:ind w:right="260"/>
              <w:spacing w:after="0" w:line="130" w:lineRule="exact"/>
              <w:rPr>
                <w:sz w:val="20"/>
                <w:szCs w:val="20"/>
                <w:color w:val="auto"/>
              </w:rPr>
            </w:pPr>
            <w:r>
              <w:rPr>
                <w:rFonts w:ascii="Arial" w:cs="Arial" w:eastAsia="Arial" w:hAnsi="Arial"/>
                <w:sz w:val="14"/>
                <w:szCs w:val="14"/>
                <w:color w:val="auto"/>
                <w:w w:val="96"/>
              </w:rPr>
              <w:t>1,000,000</w:t>
            </w:r>
            <w:r>
              <w:rPr>
                <w:rFonts w:ascii="Arial" w:cs="Arial" w:eastAsia="Arial" w:hAnsi="Arial"/>
                <w:sz w:val="12"/>
                <w:szCs w:val="12"/>
                <w:color w:val="auto"/>
                <w:w w:val="96"/>
              </w:rPr>
              <w:t>(2)</w:t>
            </w:r>
          </w:p>
        </w:tc>
        <w:tc>
          <w:tcPr>
            <w:tcW w:w="860" w:type="dxa"/>
            <w:vAlign w:val="bottom"/>
            <w:gridSpan w:val="2"/>
            <w:shd w:val="clear" w:color="auto" w:fill="CCEEFF"/>
          </w:tcPr>
          <w:p>
            <w:pPr>
              <w:jc w:val="right"/>
              <w:ind w:right="240"/>
              <w:spacing w:after="0" w:line="130" w:lineRule="exact"/>
              <w:rPr>
                <w:sz w:val="20"/>
                <w:szCs w:val="20"/>
                <w:color w:val="auto"/>
              </w:rPr>
            </w:pPr>
            <w:r>
              <w:rPr>
                <w:rFonts w:ascii="Arial" w:cs="Arial" w:eastAsia="Arial" w:hAnsi="Arial"/>
                <w:sz w:val="14"/>
                <w:szCs w:val="14"/>
                <w:color w:val="auto"/>
                <w:w w:val="96"/>
              </w:rPr>
              <w:t>1,314,500</w:t>
            </w:r>
          </w:p>
        </w:tc>
        <w:tc>
          <w:tcPr>
            <w:tcW w:w="760" w:type="dxa"/>
            <w:vAlign w:val="bottom"/>
            <w:gridSpan w:val="2"/>
            <w:shd w:val="clear" w:color="auto" w:fill="CCEEFF"/>
          </w:tcPr>
          <w:p>
            <w:pPr>
              <w:jc w:val="right"/>
              <w:ind w:right="320"/>
              <w:spacing w:after="0" w:line="130" w:lineRule="exact"/>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line="130" w:lineRule="exact"/>
              <w:rPr>
                <w:sz w:val="20"/>
                <w:szCs w:val="20"/>
                <w:color w:val="auto"/>
              </w:rPr>
            </w:pPr>
            <w:r>
              <w:rPr>
                <w:rFonts w:ascii="Arial" w:cs="Arial" w:eastAsia="Arial" w:hAnsi="Arial"/>
                <w:sz w:val="14"/>
                <w:szCs w:val="14"/>
                <w:color w:val="auto"/>
              </w:rPr>
              <w:t>1,900,000</w:t>
            </w:r>
          </w:p>
        </w:tc>
        <w:tc>
          <w:tcPr>
            <w:tcW w:w="240" w:type="dxa"/>
            <w:vAlign w:val="bottom"/>
            <w:shd w:val="clear" w:color="auto" w:fill="CCEEFF"/>
          </w:tcPr>
          <w:p>
            <w:pPr>
              <w:spacing w:after="0"/>
              <w:rPr>
                <w:sz w:val="11"/>
                <w:szCs w:val="11"/>
                <w:color w:val="auto"/>
              </w:rPr>
            </w:pPr>
          </w:p>
        </w:tc>
        <w:tc>
          <w:tcPr>
            <w:tcW w:w="1140" w:type="dxa"/>
            <w:vAlign w:val="bottom"/>
            <w:gridSpan w:val="2"/>
            <w:shd w:val="clear" w:color="auto" w:fill="CCEEFF"/>
          </w:tcPr>
          <w:p>
            <w:pPr>
              <w:jc w:val="right"/>
              <w:ind w:right="240"/>
              <w:spacing w:after="0" w:line="130" w:lineRule="exact"/>
              <w:rPr>
                <w:sz w:val="20"/>
                <w:szCs w:val="20"/>
                <w:color w:val="auto"/>
              </w:rPr>
            </w:pPr>
            <w:r>
              <w:rPr>
                <w:rFonts w:ascii="Arial" w:cs="Arial" w:eastAsia="Arial" w:hAnsi="Arial"/>
                <w:sz w:val="14"/>
                <w:szCs w:val="14"/>
                <w:color w:val="auto"/>
              </w:rPr>
              <w:t>801,545</w:t>
            </w:r>
          </w:p>
        </w:tc>
        <w:tc>
          <w:tcPr>
            <w:tcW w:w="1140" w:type="dxa"/>
            <w:vAlign w:val="bottom"/>
            <w:gridSpan w:val="2"/>
            <w:shd w:val="clear" w:color="auto" w:fill="CCEEFF"/>
          </w:tcPr>
          <w:p>
            <w:pPr>
              <w:jc w:val="right"/>
              <w:ind w:right="240"/>
              <w:spacing w:after="0" w:line="130" w:lineRule="exact"/>
              <w:rPr>
                <w:sz w:val="20"/>
                <w:szCs w:val="20"/>
                <w:color w:val="auto"/>
              </w:rPr>
            </w:pPr>
            <w:r>
              <w:rPr>
                <w:rFonts w:ascii="Arial" w:cs="Arial" w:eastAsia="Arial" w:hAnsi="Arial"/>
                <w:sz w:val="14"/>
                <w:szCs w:val="14"/>
                <w:color w:val="auto"/>
              </w:rPr>
              <w:t>136,884</w:t>
            </w:r>
          </w:p>
        </w:tc>
        <w:tc>
          <w:tcPr>
            <w:tcW w:w="620" w:type="dxa"/>
            <w:vAlign w:val="bottom"/>
            <w:shd w:val="clear" w:color="auto" w:fill="CCEEFF"/>
          </w:tcPr>
          <w:p>
            <w:pPr>
              <w:jc w:val="right"/>
              <w:spacing w:after="0" w:line="130" w:lineRule="exact"/>
              <w:rPr>
                <w:sz w:val="20"/>
                <w:szCs w:val="20"/>
                <w:color w:val="auto"/>
              </w:rPr>
            </w:pPr>
            <w:r>
              <w:rPr>
                <w:rFonts w:ascii="Arial" w:cs="Arial" w:eastAsia="Arial" w:hAnsi="Arial"/>
                <w:sz w:val="14"/>
                <w:szCs w:val="14"/>
                <w:color w:val="auto"/>
                <w:w w:val="96"/>
              </w:rPr>
              <w:t>5,751,012</w:t>
            </w:r>
          </w:p>
        </w:tc>
        <w:tc>
          <w:tcPr>
            <w:tcW w:w="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328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rPr>
              <w:t>Executive Vice</w:t>
            </w:r>
          </w:p>
        </w:tc>
        <w:tc>
          <w:tcPr>
            <w:tcW w:w="5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2015</w:t>
            </w:r>
          </w:p>
        </w:tc>
        <w:tc>
          <w:tcPr>
            <w:tcW w:w="86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621,085</w:t>
            </w:r>
          </w:p>
        </w:tc>
        <w:tc>
          <w:tcPr>
            <w:tcW w:w="1020" w:type="dxa"/>
            <w:vAlign w:val="bottom"/>
            <w:gridSpan w:val="2"/>
            <w:shd w:val="clear" w:color="auto" w:fill="CCEEFF"/>
          </w:tcPr>
          <w:p>
            <w:pPr>
              <w:ind w:left="400"/>
              <w:spacing w:after="0" w:line="149" w:lineRule="exact"/>
              <w:rPr>
                <w:sz w:val="20"/>
                <w:szCs w:val="20"/>
                <w:color w:val="auto"/>
              </w:rPr>
            </w:pPr>
            <w:r>
              <w:rPr>
                <w:rFonts w:ascii="Arial" w:cs="Arial" w:eastAsia="Arial" w:hAnsi="Arial"/>
                <w:sz w:val="14"/>
                <w:szCs w:val="14"/>
                <w:color w:val="auto"/>
              </w:rPr>
              <w:t>—</w:t>
            </w:r>
          </w:p>
        </w:tc>
        <w:tc>
          <w:tcPr>
            <w:tcW w:w="86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w w:val="96"/>
              </w:rPr>
              <w:t>1,780,950</w:t>
            </w:r>
          </w:p>
        </w:tc>
        <w:tc>
          <w:tcPr>
            <w:tcW w:w="760" w:type="dxa"/>
            <w:vAlign w:val="bottom"/>
            <w:gridSpan w:val="2"/>
            <w:shd w:val="clear" w:color="auto" w:fill="CCEEFF"/>
          </w:tcPr>
          <w:p>
            <w:pPr>
              <w:ind w:left="40"/>
              <w:spacing w:after="0" w:line="149" w:lineRule="exact"/>
              <w:rPr>
                <w:sz w:val="20"/>
                <w:szCs w:val="20"/>
                <w:color w:val="auto"/>
              </w:rPr>
            </w:pPr>
            <w:r>
              <w:rPr>
                <w:rFonts w:ascii="Arial" w:cs="Arial" w:eastAsia="Arial" w:hAnsi="Arial"/>
                <w:sz w:val="14"/>
                <w:szCs w:val="14"/>
                <w:color w:val="auto"/>
              </w:rPr>
              <w:t>957,000</w:t>
            </w: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1,300,000</w:t>
            </w:r>
          </w:p>
        </w:tc>
        <w:tc>
          <w:tcPr>
            <w:tcW w:w="240" w:type="dxa"/>
            <w:vAlign w:val="bottom"/>
            <w:shd w:val="clear" w:color="auto" w:fill="CCEEFF"/>
          </w:tcPr>
          <w:p>
            <w:pPr>
              <w:spacing w:after="0"/>
              <w:rPr>
                <w:sz w:val="12"/>
                <w:szCs w:val="12"/>
                <w:color w:val="auto"/>
              </w:rPr>
            </w:pPr>
          </w:p>
        </w:tc>
        <w:tc>
          <w:tcPr>
            <w:tcW w:w="11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476,280</w:t>
            </w:r>
          </w:p>
        </w:tc>
        <w:tc>
          <w:tcPr>
            <w:tcW w:w="11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116,711</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6"/>
              </w:rPr>
              <w:t>5,252,026</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28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rPr>
              <w:t>President—Chief</w:t>
            </w:r>
          </w:p>
        </w:tc>
        <w:tc>
          <w:tcPr>
            <w:tcW w:w="5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2014</w:t>
            </w:r>
          </w:p>
        </w:tc>
        <w:tc>
          <w:tcPr>
            <w:tcW w:w="86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582,746</w:t>
            </w:r>
          </w:p>
        </w:tc>
        <w:tc>
          <w:tcPr>
            <w:tcW w:w="1020" w:type="dxa"/>
            <w:vAlign w:val="bottom"/>
            <w:gridSpan w:val="2"/>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600,000</w:t>
            </w:r>
            <w:r>
              <w:rPr>
                <w:rFonts w:ascii="Arial" w:cs="Arial" w:eastAsia="Arial" w:hAnsi="Arial"/>
                <w:sz w:val="12"/>
                <w:szCs w:val="12"/>
                <w:color w:val="auto"/>
              </w:rPr>
              <w:t>(3)</w:t>
            </w:r>
          </w:p>
        </w:tc>
        <w:tc>
          <w:tcPr>
            <w:tcW w:w="86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395,980</w:t>
            </w:r>
          </w:p>
        </w:tc>
        <w:tc>
          <w:tcPr>
            <w:tcW w:w="760" w:type="dxa"/>
            <w:vAlign w:val="bottom"/>
            <w:gridSpan w:val="2"/>
            <w:shd w:val="clear" w:color="auto" w:fill="CCEEFF"/>
          </w:tcPr>
          <w:p>
            <w:pPr>
              <w:ind w:left="40"/>
              <w:spacing w:after="0" w:line="149" w:lineRule="exact"/>
              <w:rPr>
                <w:sz w:val="20"/>
                <w:szCs w:val="20"/>
                <w:color w:val="auto"/>
              </w:rPr>
            </w:pPr>
            <w:r>
              <w:rPr>
                <w:rFonts w:ascii="Arial" w:cs="Arial" w:eastAsia="Arial" w:hAnsi="Arial"/>
                <w:sz w:val="14"/>
                <w:szCs w:val="14"/>
                <w:color w:val="auto"/>
              </w:rPr>
              <w:t>306,000</w:t>
            </w:r>
          </w:p>
        </w:tc>
        <w:tc>
          <w:tcPr>
            <w:tcW w:w="112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950,000</w:t>
            </w:r>
          </w:p>
        </w:tc>
        <w:tc>
          <w:tcPr>
            <w:tcW w:w="11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587,647</w:t>
            </w:r>
          </w:p>
        </w:tc>
        <w:tc>
          <w:tcPr>
            <w:tcW w:w="11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116,005</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6"/>
              </w:rPr>
              <w:t>3,538,378</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81"/>
        </w:trPr>
        <w:tc>
          <w:tcPr>
            <w:tcW w:w="328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Investment Officer</w:t>
            </w:r>
          </w:p>
        </w:tc>
        <w:tc>
          <w:tcPr>
            <w:tcW w:w="3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40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5" w:lineRule="exact"/>
        <w:rPr>
          <w:sz w:val="20"/>
          <w:szCs w:val="20"/>
          <w:color w:val="auto"/>
        </w:rPr>
      </w:pPr>
    </w:p>
    <w:p>
      <w:pPr>
        <w:ind w:left="460" w:right="560" w:hanging="452"/>
        <w:spacing w:after="0" w:line="291" w:lineRule="auto"/>
        <w:tabs>
          <w:tab w:leader="none" w:pos="460" w:val="left"/>
        </w:tabs>
        <w:numPr>
          <w:ilvl w:val="0"/>
          <w:numId w:val="40"/>
        </w:numPr>
        <w:rPr>
          <w:rFonts w:ascii="Arial" w:cs="Arial" w:eastAsia="Arial" w:hAnsi="Arial"/>
          <w:sz w:val="14"/>
          <w:szCs w:val="14"/>
          <w:color w:val="auto"/>
        </w:rPr>
      </w:pPr>
      <w:r>
        <w:rPr>
          <w:rFonts w:ascii="Arial" w:cs="Arial" w:eastAsia="Arial" w:hAnsi="Arial"/>
          <w:sz w:val="16"/>
          <w:szCs w:val="16"/>
          <w:color w:val="auto"/>
        </w:rPr>
        <w:t>Reflects the first of two equal installments in the amount of $600,000 of a cash retention incentive originally awarded to Ms. Groh in 2015. Also includes the first of two equal installments in the amount of $58,250 of Ms. Groh’s cash long-term incentive originally awarded in 2015.</w:t>
      </w:r>
    </w:p>
    <w:p>
      <w:pPr>
        <w:ind w:left="460" w:hanging="452"/>
        <w:spacing w:after="0"/>
        <w:tabs>
          <w:tab w:leader="none" w:pos="460" w:val="left"/>
        </w:tabs>
        <w:numPr>
          <w:ilvl w:val="0"/>
          <w:numId w:val="40"/>
        </w:numPr>
        <w:rPr>
          <w:rFonts w:ascii="Arial" w:cs="Arial" w:eastAsia="Arial" w:hAnsi="Arial"/>
          <w:sz w:val="15"/>
          <w:szCs w:val="15"/>
          <w:color w:val="auto"/>
        </w:rPr>
      </w:pPr>
      <w:r>
        <w:rPr>
          <w:rFonts w:ascii="Arial" w:cs="Arial" w:eastAsia="Arial" w:hAnsi="Arial"/>
          <w:sz w:val="18"/>
          <w:szCs w:val="18"/>
          <w:color w:val="auto"/>
        </w:rPr>
        <w:t>Reflects the first of two equal installments of a cash retention incentive originally awarded in 2015.</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40"/>
        </w:numPr>
        <w:rPr>
          <w:rFonts w:ascii="Arial" w:cs="Arial" w:eastAsia="Arial" w:hAnsi="Arial"/>
          <w:sz w:val="15"/>
          <w:szCs w:val="15"/>
          <w:color w:val="auto"/>
        </w:rPr>
      </w:pPr>
      <w:r>
        <w:rPr>
          <w:rFonts w:ascii="Arial" w:cs="Arial" w:eastAsia="Arial" w:hAnsi="Arial"/>
          <w:sz w:val="18"/>
          <w:szCs w:val="18"/>
          <w:color w:val="auto"/>
        </w:rPr>
        <w:t>Reflects payment of a cash retention incentive originally awarded in 2012.</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40"/>
        </w:numPr>
        <w:rPr>
          <w:rFonts w:ascii="Arial" w:cs="Arial" w:eastAsia="Arial" w:hAnsi="Arial"/>
          <w:sz w:val="15"/>
          <w:szCs w:val="15"/>
          <w:color w:val="auto"/>
        </w:rPr>
      </w:pPr>
      <w:r>
        <w:rPr>
          <w:rFonts w:ascii="Arial" w:cs="Arial" w:eastAsia="Arial" w:hAnsi="Arial"/>
          <w:sz w:val="18"/>
          <w:szCs w:val="18"/>
          <w:color w:val="auto"/>
        </w:rPr>
        <w:t>Reflects the payment of a cash retention incentive originally awarded in 2015.</w:t>
      </w:r>
    </w:p>
    <w:p>
      <w:pPr>
        <w:spacing w:after="0" w:line="9" w:lineRule="exact"/>
        <w:rPr>
          <w:rFonts w:ascii="Arial" w:cs="Arial" w:eastAsia="Arial" w:hAnsi="Arial"/>
          <w:sz w:val="15"/>
          <w:szCs w:val="15"/>
          <w:color w:val="auto"/>
        </w:rPr>
      </w:pPr>
    </w:p>
    <w:p>
      <w:pPr>
        <w:ind w:left="460" w:right="80" w:hanging="452"/>
        <w:spacing w:after="0" w:line="250" w:lineRule="auto"/>
        <w:tabs>
          <w:tab w:leader="none" w:pos="460" w:val="left"/>
        </w:tabs>
        <w:numPr>
          <w:ilvl w:val="0"/>
          <w:numId w:val="40"/>
        </w:numPr>
        <w:rPr>
          <w:rFonts w:ascii="Arial" w:cs="Arial" w:eastAsia="Arial" w:hAnsi="Arial"/>
          <w:sz w:val="15"/>
          <w:szCs w:val="15"/>
          <w:color w:val="auto"/>
        </w:rPr>
      </w:pPr>
      <w:r>
        <w:rPr>
          <w:rFonts w:ascii="Arial" w:cs="Arial" w:eastAsia="Arial" w:hAnsi="Arial"/>
          <w:sz w:val="18"/>
          <w:szCs w:val="18"/>
          <w:color w:val="auto"/>
        </w:rPr>
        <w:t>Reflects the aggregate grant date fair value of RSUs and PSUs awarded during the period, determined in accordance with FASB ASC Topic 718. Grant date fair value for the RSUs is based on the grant date fair value of the underlying shares. Grant date fair value for the PSUs is based on the grant date fair value of the underlying shares at target performance and the probable outcome of performance-based conditions at the time of grant, excluding the effect of estimated forfeitures. The 2016 value for each named executive officer includes the grant date fair value of PSUs granted, and for all named executive officers, with the exception of Mr. McInerney, also includes the grant date fair value of RSUs awarded. Assuming achievement of the PSU performance conditions at the highest level (rather than at target level), the aggregate grant date fair value of awards reflected in this column would be higher by the following amounts: Mr. McInerney, $1,053,750; Ms. Groh, $126,450; Mr. Schneider, $256,412; Mr. Bobitz, $63,225; and Mr. Sheehan, $193,188.</w:t>
      </w:r>
    </w:p>
    <w:p>
      <w:pPr>
        <w:spacing w:after="0" w:line="3" w:lineRule="exact"/>
        <w:rPr>
          <w:rFonts w:ascii="Arial" w:cs="Arial" w:eastAsia="Arial" w:hAnsi="Arial"/>
          <w:sz w:val="15"/>
          <w:szCs w:val="15"/>
          <w:color w:val="auto"/>
        </w:rPr>
      </w:pPr>
    </w:p>
    <w:p>
      <w:pPr>
        <w:ind w:left="460" w:right="40" w:hanging="452"/>
        <w:spacing w:after="0" w:line="252" w:lineRule="auto"/>
        <w:tabs>
          <w:tab w:leader="none" w:pos="460" w:val="left"/>
        </w:tabs>
        <w:numPr>
          <w:ilvl w:val="0"/>
          <w:numId w:val="40"/>
        </w:numPr>
        <w:rPr>
          <w:rFonts w:ascii="Arial" w:cs="Arial" w:eastAsia="Arial" w:hAnsi="Arial"/>
          <w:sz w:val="15"/>
          <w:szCs w:val="15"/>
          <w:color w:val="auto"/>
        </w:rPr>
      </w:pPr>
      <w:r>
        <w:rPr>
          <w:rFonts w:ascii="Arial" w:cs="Arial" w:eastAsia="Arial" w:hAnsi="Arial"/>
          <w:sz w:val="18"/>
          <w:szCs w:val="18"/>
          <w:color w:val="auto"/>
        </w:rPr>
        <w:t>Reflects the aggregate grant date fair value of SARs, determined in accordance with FASB ASC Topic 718, using the Black-Scholes option pricing model. The assumptions used in determining the grant date fair values of the SARs are set forth in the notes to our consolidated financial statements, which are included in our 2016 Annual Report on Form 10-K filed with the SEC on February 27, 2017. The actual value, if any, that a named executive officer may realize upon the exercise of SARs will depend on the excess of the stock price over the base price on the date of exercise (with the excess capped at a maximum stock price of $75.00), so there is no assurance that the value realized by a named executive officer will be at or near the value reflected in this table.</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459" w:right="23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140" w:hanging="452"/>
        <w:spacing w:after="0" w:line="258" w:lineRule="auto"/>
        <w:tabs>
          <w:tab w:leader="none" w:pos="460" w:val="left"/>
        </w:tabs>
        <w:numPr>
          <w:ilvl w:val="0"/>
          <w:numId w:val="41"/>
        </w:numPr>
        <w:rPr>
          <w:rFonts w:ascii="Arial" w:cs="Arial" w:eastAsia="Arial" w:hAnsi="Arial"/>
          <w:sz w:val="15"/>
          <w:szCs w:val="15"/>
          <w:color w:val="auto"/>
        </w:rPr>
      </w:pPr>
      <w:r>
        <w:rPr>
          <w:rFonts w:ascii="Arial" w:cs="Arial" w:eastAsia="Arial" w:hAnsi="Arial"/>
          <w:sz w:val="18"/>
          <w:szCs w:val="18"/>
          <w:color w:val="auto"/>
        </w:rPr>
        <w:t xml:space="preserve">Reflects the value of cash incentives paid pursuant to our annual incentive program as described in the </w:t>
      </w:r>
      <w:r>
        <w:rPr>
          <w:rFonts w:ascii="Arial" w:cs="Arial" w:eastAsia="Arial" w:hAnsi="Arial"/>
          <w:sz w:val="18"/>
          <w:szCs w:val="18"/>
          <w:i w:val="1"/>
          <w:iCs w:val="1"/>
          <w:color w:val="auto"/>
        </w:rPr>
        <w:t>Compensation Discussion and Analysis</w:t>
      </w:r>
      <w:r>
        <w:rPr>
          <w:rFonts w:ascii="Arial" w:cs="Arial" w:eastAsia="Arial" w:hAnsi="Arial"/>
          <w:sz w:val="18"/>
          <w:szCs w:val="18"/>
          <w:color w:val="auto"/>
        </w:rPr>
        <w:t xml:space="preserve"> section above.</w:t>
      </w:r>
    </w:p>
    <w:p>
      <w:pPr>
        <w:spacing w:after="0" w:line="1" w:lineRule="exact"/>
        <w:rPr>
          <w:rFonts w:ascii="Arial" w:cs="Arial" w:eastAsia="Arial" w:hAnsi="Arial"/>
          <w:sz w:val="15"/>
          <w:szCs w:val="15"/>
          <w:color w:val="auto"/>
        </w:rPr>
      </w:pPr>
    </w:p>
    <w:p>
      <w:pPr>
        <w:ind w:left="460" w:right="240" w:hanging="452"/>
        <w:spacing w:after="0" w:line="265" w:lineRule="auto"/>
        <w:tabs>
          <w:tab w:leader="none" w:pos="460" w:val="left"/>
        </w:tabs>
        <w:numPr>
          <w:ilvl w:val="0"/>
          <w:numId w:val="41"/>
        </w:numPr>
        <w:rPr>
          <w:rFonts w:ascii="Arial" w:cs="Arial" w:eastAsia="Arial" w:hAnsi="Arial"/>
          <w:sz w:val="14"/>
          <w:szCs w:val="14"/>
          <w:color w:val="auto"/>
        </w:rPr>
      </w:pPr>
      <w:r>
        <w:rPr>
          <w:rFonts w:ascii="Arial" w:cs="Arial" w:eastAsia="Arial" w:hAnsi="Arial"/>
          <w:sz w:val="17"/>
          <w:szCs w:val="17"/>
          <w:color w:val="auto"/>
        </w:rPr>
        <w:t>Reflects the annual change in actuarial present values of the eligible named executive officer’s accumulated benefits under the SERP. The SERP was closed to new participants effective January 1, 2010. A description of the SERP precedes the 2016 Pension Benefits Table below.</w:t>
      </w:r>
    </w:p>
    <w:p>
      <w:pPr>
        <w:ind w:left="460" w:hanging="452"/>
        <w:spacing w:after="0"/>
        <w:tabs>
          <w:tab w:leader="none" w:pos="460" w:val="left"/>
        </w:tabs>
        <w:numPr>
          <w:ilvl w:val="0"/>
          <w:numId w:val="41"/>
        </w:numPr>
        <w:rPr>
          <w:rFonts w:ascii="Arial" w:cs="Arial" w:eastAsia="Arial" w:hAnsi="Arial"/>
          <w:sz w:val="15"/>
          <w:szCs w:val="15"/>
          <w:color w:val="auto"/>
        </w:rPr>
      </w:pPr>
      <w:r>
        <w:rPr>
          <w:rFonts w:ascii="Arial" w:cs="Arial" w:eastAsia="Arial" w:hAnsi="Arial"/>
          <w:sz w:val="18"/>
          <w:szCs w:val="18"/>
          <w:color w:val="auto"/>
        </w:rPr>
        <w:t>See the 2016 All Other Compensation—Details table below:</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2016 All Other Compensation—Details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0" w:type="dxa"/>
            <w:vAlign w:val="bottom"/>
          </w:tcPr>
          <w:p>
            <w:pPr>
              <w:spacing w:after="0"/>
              <w:rPr>
                <w:sz w:val="14"/>
                <w:szCs w:val="14"/>
                <w:color w:val="auto"/>
              </w:rPr>
            </w:pPr>
          </w:p>
        </w:tc>
        <w:tc>
          <w:tcPr>
            <w:tcW w:w="5320" w:type="dxa"/>
            <w:vAlign w:val="bottom"/>
          </w:tcPr>
          <w:p>
            <w:pPr>
              <w:spacing w:after="0"/>
              <w:rPr>
                <w:sz w:val="14"/>
                <w:szCs w:val="14"/>
                <w:color w:val="auto"/>
              </w:rPr>
            </w:pPr>
          </w:p>
        </w:tc>
        <w:tc>
          <w:tcPr>
            <w:tcW w:w="134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3"/>
              </w:rPr>
              <w:t>Company</w:t>
            </w:r>
          </w:p>
        </w:tc>
        <w:tc>
          <w:tcPr>
            <w:tcW w:w="1120" w:type="dxa"/>
            <w:vAlign w:val="bottom"/>
            <w:gridSpan w:val="2"/>
            <w:vMerge w:val="restart"/>
          </w:tcPr>
          <w:p>
            <w:pPr>
              <w:jc w:val="center"/>
              <w:ind w:right="480"/>
              <w:spacing w:after="0"/>
              <w:rPr>
                <w:sz w:val="20"/>
                <w:szCs w:val="20"/>
                <w:color w:val="auto"/>
              </w:rPr>
            </w:pPr>
            <w:r>
              <w:rPr>
                <w:rFonts w:ascii="Arial" w:cs="Arial" w:eastAsia="Arial" w:hAnsi="Arial"/>
                <w:sz w:val="14"/>
                <w:szCs w:val="14"/>
                <w:b w:val="1"/>
                <w:bCs w:val="1"/>
                <w:color w:val="auto"/>
                <w:w w:val="96"/>
              </w:rPr>
              <w:t>Life</w:t>
            </w:r>
          </w:p>
        </w:tc>
        <w:tc>
          <w:tcPr>
            <w:tcW w:w="7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5320" w:type="dxa"/>
            <w:vAlign w:val="bottom"/>
          </w:tcPr>
          <w:p>
            <w:pPr>
              <w:spacing w:after="0"/>
              <w:rPr>
                <w:sz w:val="12"/>
                <w:szCs w:val="12"/>
                <w:color w:val="auto"/>
              </w:rPr>
            </w:pPr>
          </w:p>
        </w:tc>
        <w:tc>
          <w:tcPr>
            <w:tcW w:w="134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95"/>
              </w:rPr>
              <w:t>Contributions</w:t>
            </w:r>
          </w:p>
        </w:tc>
        <w:tc>
          <w:tcPr>
            <w:tcW w:w="1120" w:type="dxa"/>
            <w:vAlign w:val="bottom"/>
            <w:gridSpan w:val="2"/>
            <w:vMerge w:val="continue"/>
          </w:tcPr>
          <w:p>
            <w:pPr>
              <w:spacing w:after="0"/>
              <w:rPr>
                <w:sz w:val="12"/>
                <w:szCs w:val="12"/>
                <w:color w:val="auto"/>
              </w:rPr>
            </w:pPr>
          </w:p>
        </w:tc>
        <w:tc>
          <w:tcPr>
            <w:tcW w:w="7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5320" w:type="dxa"/>
            <w:vAlign w:val="bottom"/>
          </w:tcPr>
          <w:p>
            <w:pPr>
              <w:spacing w:after="0"/>
              <w:rPr>
                <w:sz w:val="12"/>
                <w:szCs w:val="12"/>
                <w:color w:val="auto"/>
              </w:rPr>
            </w:pPr>
          </w:p>
        </w:tc>
        <w:tc>
          <w:tcPr>
            <w:tcW w:w="134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94"/>
              </w:rPr>
              <w:t>to the</w:t>
            </w:r>
          </w:p>
        </w:tc>
        <w:tc>
          <w:tcPr>
            <w:tcW w:w="112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90"/>
              </w:rPr>
              <w:t>Insurance</w:t>
            </w:r>
          </w:p>
        </w:tc>
        <w:tc>
          <w:tcPr>
            <w:tcW w:w="118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Executive</w:t>
            </w:r>
          </w:p>
        </w:tc>
        <w:tc>
          <w:tcPr>
            <w:tcW w:w="1380" w:type="dxa"/>
            <w:vAlign w:val="bottom"/>
            <w:gridSpan w:val="2"/>
            <w:vMerge w:val="restart"/>
          </w:tcPr>
          <w:p>
            <w:pPr>
              <w:jc w:val="right"/>
              <w:ind w:right="640"/>
              <w:spacing w:after="0"/>
              <w:rPr>
                <w:sz w:val="20"/>
                <w:szCs w:val="20"/>
                <w:color w:val="auto"/>
              </w:rPr>
            </w:pPr>
            <w:r>
              <w:rPr>
                <w:rFonts w:ascii="Arial" w:cs="Arial" w:eastAsia="Arial" w:hAnsi="Arial"/>
                <w:sz w:val="14"/>
                <w:szCs w:val="14"/>
                <w:b w:val="1"/>
                <w:bCs w:val="1"/>
                <w:color w:val="auto"/>
              </w:rPr>
              <w:t>Financial</w:t>
            </w:r>
          </w:p>
        </w:tc>
        <w:tc>
          <w:tcPr>
            <w:tcW w:w="6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7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w:t>
            </w:r>
          </w:p>
        </w:tc>
        <w:tc>
          <w:tcPr>
            <w:tcW w:w="134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92"/>
              </w:rPr>
              <w:t>Retirement</w:t>
            </w:r>
          </w:p>
        </w:tc>
        <w:tc>
          <w:tcPr>
            <w:tcW w:w="112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94"/>
              </w:rPr>
              <w:t>Premiums</w:t>
            </w:r>
          </w:p>
        </w:tc>
        <w:tc>
          <w:tcPr>
            <w:tcW w:w="1180" w:type="dxa"/>
            <w:vAlign w:val="bottom"/>
            <w:gridSpan w:val="2"/>
            <w:vMerge w:val="continue"/>
          </w:tcPr>
          <w:p>
            <w:pPr>
              <w:spacing w:after="0"/>
              <w:rPr>
                <w:sz w:val="12"/>
                <w:szCs w:val="12"/>
                <w:color w:val="auto"/>
              </w:rPr>
            </w:pPr>
          </w:p>
        </w:tc>
        <w:tc>
          <w:tcPr>
            <w:tcW w:w="1380" w:type="dxa"/>
            <w:vAlign w:val="bottom"/>
            <w:gridSpan w:val="2"/>
            <w:vMerge w:val="continue"/>
          </w:tcPr>
          <w:p>
            <w:pPr>
              <w:spacing w:after="0"/>
              <w:rPr>
                <w:sz w:val="12"/>
                <w:szCs w:val="12"/>
                <w:color w:val="auto"/>
              </w:rPr>
            </w:pPr>
          </w:p>
        </w:tc>
        <w:tc>
          <w:tcPr>
            <w:tcW w:w="700" w:type="dxa"/>
            <w:vAlign w:val="bottom"/>
            <w:gridSpan w:val="2"/>
            <w:vMerge w:val="restart"/>
          </w:tcPr>
          <w:p>
            <w:pPr>
              <w:jc w:val="right"/>
              <w:ind w:right="120"/>
              <w:spacing w:after="0"/>
              <w:rPr>
                <w:sz w:val="20"/>
                <w:szCs w:val="20"/>
                <w:color w:val="auto"/>
              </w:rPr>
            </w:pPr>
            <w:r>
              <w:rPr>
                <w:rFonts w:ascii="Arial" w:cs="Arial" w:eastAsia="Arial" w:hAnsi="Arial"/>
                <w:sz w:val="14"/>
                <w:szCs w:val="14"/>
                <w:b w:val="1"/>
                <w:bCs w:val="1"/>
                <w:color w:val="auto"/>
              </w:rPr>
              <w:t>Total ($)</w:t>
            </w:r>
          </w:p>
        </w:tc>
        <w:tc>
          <w:tcPr>
            <w:tcW w:w="0" w:type="dxa"/>
            <w:vAlign w:val="bottom"/>
          </w:tcPr>
          <w:p>
            <w:pPr>
              <w:spacing w:after="0"/>
              <w:rPr>
                <w:sz w:val="1"/>
                <w:szCs w:val="1"/>
                <w:color w:val="auto"/>
              </w:rPr>
            </w:pPr>
          </w:p>
        </w:tc>
      </w:tr>
      <w:tr>
        <w:trPr>
          <w:trHeight w:val="171"/>
        </w:trPr>
        <w:tc>
          <w:tcPr>
            <w:tcW w:w="5700" w:type="dxa"/>
            <w:vAlign w:val="bottom"/>
            <w:gridSpan w:val="2"/>
            <w:vMerge w:val="continue"/>
          </w:tcPr>
          <w:p>
            <w:pPr>
              <w:spacing w:after="0"/>
              <w:rPr>
                <w:sz w:val="14"/>
                <w:szCs w:val="14"/>
                <w:color w:val="auto"/>
              </w:rPr>
            </w:pPr>
          </w:p>
        </w:tc>
        <w:tc>
          <w:tcPr>
            <w:tcW w:w="134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3"/>
              </w:rPr>
              <w:t xml:space="preserve">Plans ($) </w:t>
            </w:r>
            <w:r>
              <w:rPr>
                <w:rFonts w:ascii="Arial" w:cs="Arial" w:eastAsia="Arial" w:hAnsi="Arial"/>
                <w:sz w:val="12"/>
                <w:szCs w:val="12"/>
                <w:b w:val="1"/>
                <w:bCs w:val="1"/>
                <w:color w:val="auto"/>
                <w:w w:val="93"/>
              </w:rPr>
              <w:t>(a)</w:t>
            </w:r>
          </w:p>
        </w:tc>
        <w:tc>
          <w:tcPr>
            <w:tcW w:w="112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98"/>
              </w:rPr>
              <w:t xml:space="preserve">($) </w:t>
            </w:r>
            <w:r>
              <w:rPr>
                <w:rFonts w:ascii="Arial" w:cs="Arial" w:eastAsia="Arial" w:hAnsi="Arial"/>
                <w:sz w:val="12"/>
                <w:szCs w:val="12"/>
                <w:b w:val="1"/>
                <w:bCs w:val="1"/>
                <w:color w:val="auto"/>
                <w:w w:val="98"/>
              </w:rPr>
              <w:t>(b)</w:t>
            </w:r>
          </w:p>
        </w:tc>
        <w:tc>
          <w:tcPr>
            <w:tcW w:w="118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w w:val="87"/>
              </w:rPr>
              <w:t xml:space="preserve">Physical </w:t>
            </w:r>
            <w:r>
              <w:rPr>
                <w:rFonts w:ascii="Arial" w:cs="Arial" w:eastAsia="Arial" w:hAnsi="Arial"/>
                <w:sz w:val="14"/>
                <w:szCs w:val="14"/>
                <w:b w:val="1"/>
                <w:bCs w:val="1"/>
                <w:u w:val="single" w:color="auto"/>
                <w:color w:val="auto"/>
                <w:w w:val="87"/>
              </w:rPr>
              <w:t>($</w:t>
            </w:r>
            <w:r>
              <w:rPr>
                <w:rFonts w:ascii="Arial" w:cs="Arial" w:eastAsia="Arial" w:hAnsi="Arial"/>
                <w:sz w:val="14"/>
                <w:szCs w:val="14"/>
                <w:b w:val="1"/>
                <w:bCs w:val="1"/>
                <w:color w:val="auto"/>
                <w:w w:val="87"/>
              </w:rPr>
              <w:t>)</w:t>
            </w:r>
          </w:p>
        </w:tc>
        <w:tc>
          <w:tcPr>
            <w:tcW w:w="138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w w:val="90"/>
              </w:rPr>
              <w:t xml:space="preserve">Counseling </w:t>
            </w:r>
            <w:r>
              <w:rPr>
                <w:rFonts w:ascii="Arial" w:cs="Arial" w:eastAsia="Arial" w:hAnsi="Arial"/>
                <w:sz w:val="14"/>
                <w:szCs w:val="14"/>
                <w:b w:val="1"/>
                <w:bCs w:val="1"/>
                <w:u w:val="single" w:color="auto"/>
                <w:color w:val="auto"/>
                <w:w w:val="90"/>
              </w:rPr>
              <w:t>($</w:t>
            </w:r>
            <w:r>
              <w:rPr>
                <w:rFonts w:ascii="Arial" w:cs="Arial" w:eastAsia="Arial" w:hAnsi="Arial"/>
                <w:sz w:val="14"/>
                <w:szCs w:val="14"/>
                <w:b w:val="1"/>
                <w:bCs w:val="1"/>
                <w:color w:val="auto"/>
                <w:w w:val="90"/>
              </w:rPr>
              <w:t>)</w:t>
            </w:r>
          </w:p>
        </w:tc>
        <w:tc>
          <w:tcPr>
            <w:tcW w:w="70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3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Mr.</w:t>
            </w:r>
          </w:p>
        </w:tc>
        <w:tc>
          <w:tcPr>
            <w:tcW w:w="53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McInerney</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285,585</w:t>
            </w:r>
          </w:p>
        </w:tc>
        <w:tc>
          <w:tcPr>
            <w:tcW w:w="46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22,884</w:t>
            </w:r>
          </w:p>
        </w:tc>
        <w:tc>
          <w:tcPr>
            <w:tcW w:w="48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480" w:type="dxa"/>
            <w:vAlign w:val="bottom"/>
            <w:tcBorders>
              <w:top w:val="single" w:sz="8" w:color="CCEEFF"/>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19,985</w:t>
            </w:r>
          </w:p>
        </w:tc>
        <w:tc>
          <w:tcPr>
            <w:tcW w:w="48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328,453</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00" w:type="dxa"/>
            <w:vAlign w:val="bottom"/>
            <w:gridSpan w:val="2"/>
          </w:tcPr>
          <w:p>
            <w:pPr>
              <w:spacing w:after="0"/>
              <w:rPr>
                <w:sz w:val="20"/>
                <w:szCs w:val="20"/>
                <w:color w:val="auto"/>
              </w:rPr>
            </w:pPr>
            <w:r>
              <w:rPr>
                <w:rFonts w:ascii="Arial" w:cs="Arial" w:eastAsia="Arial" w:hAnsi="Arial"/>
                <w:sz w:val="18"/>
                <w:szCs w:val="18"/>
                <w:color w:val="auto"/>
              </w:rPr>
              <w:t>Ms. Groh</w:t>
            </w:r>
          </w:p>
        </w:tc>
        <w:tc>
          <w:tcPr>
            <w:tcW w:w="1340" w:type="dxa"/>
            <w:vAlign w:val="bottom"/>
            <w:gridSpan w:val="2"/>
          </w:tcPr>
          <w:p>
            <w:pPr>
              <w:jc w:val="right"/>
              <w:ind w:right="460"/>
              <w:spacing w:after="0"/>
              <w:rPr>
                <w:sz w:val="20"/>
                <w:szCs w:val="20"/>
                <w:color w:val="auto"/>
              </w:rPr>
            </w:pPr>
            <w:r>
              <w:rPr>
                <w:rFonts w:ascii="Arial" w:cs="Arial" w:eastAsia="Arial" w:hAnsi="Arial"/>
                <w:sz w:val="18"/>
                <w:szCs w:val="18"/>
                <w:color w:val="auto"/>
              </w:rPr>
              <w:t>106,002</w:t>
            </w:r>
          </w:p>
        </w:tc>
        <w:tc>
          <w:tcPr>
            <w:tcW w:w="640" w:type="dxa"/>
            <w:vAlign w:val="bottom"/>
          </w:tcPr>
          <w:p>
            <w:pPr>
              <w:jc w:val="right"/>
              <w:spacing w:after="0"/>
              <w:rPr>
                <w:sz w:val="20"/>
                <w:szCs w:val="20"/>
                <w:color w:val="auto"/>
              </w:rPr>
            </w:pPr>
            <w:r>
              <w:rPr>
                <w:rFonts w:ascii="Arial" w:cs="Arial" w:eastAsia="Arial" w:hAnsi="Arial"/>
                <w:sz w:val="18"/>
                <w:szCs w:val="18"/>
                <w:color w:val="auto"/>
              </w:rPr>
              <w:t>7,648</w:t>
            </w:r>
          </w:p>
        </w:tc>
        <w:tc>
          <w:tcPr>
            <w:tcW w:w="480" w:type="dxa"/>
            <w:vAlign w:val="bottom"/>
          </w:tcPr>
          <w:p>
            <w:pPr>
              <w:spacing w:after="0"/>
              <w:rPr>
                <w:sz w:val="18"/>
                <w:szCs w:val="18"/>
                <w:color w:val="auto"/>
              </w:rPr>
            </w:pPr>
          </w:p>
        </w:tc>
        <w:tc>
          <w:tcPr>
            <w:tcW w:w="1180" w:type="dxa"/>
            <w:vAlign w:val="bottom"/>
            <w:gridSpan w:val="2"/>
          </w:tcPr>
          <w:p>
            <w:pPr>
              <w:jc w:val="right"/>
              <w:ind w:right="480"/>
              <w:spacing w:after="0"/>
              <w:rPr>
                <w:sz w:val="20"/>
                <w:szCs w:val="20"/>
                <w:color w:val="auto"/>
              </w:rPr>
            </w:pPr>
            <w:r>
              <w:rPr>
                <w:rFonts w:ascii="Arial" w:cs="Arial" w:eastAsia="Arial" w:hAnsi="Arial"/>
                <w:sz w:val="18"/>
                <w:szCs w:val="18"/>
                <w:color w:val="auto"/>
              </w:rPr>
              <w:t>3,000</w:t>
            </w:r>
          </w:p>
        </w:tc>
        <w:tc>
          <w:tcPr>
            <w:tcW w:w="1380" w:type="dxa"/>
            <w:vAlign w:val="bottom"/>
            <w:gridSpan w:val="2"/>
          </w:tcPr>
          <w:p>
            <w:pPr>
              <w:jc w:val="right"/>
              <w:ind w:right="480"/>
              <w:spacing w:after="0"/>
              <w:rPr>
                <w:sz w:val="20"/>
                <w:szCs w:val="20"/>
                <w:color w:val="auto"/>
              </w:rPr>
            </w:pPr>
            <w:r>
              <w:rPr>
                <w:rFonts w:ascii="Arial" w:cs="Arial" w:eastAsia="Arial" w:hAnsi="Arial"/>
                <w:sz w:val="18"/>
                <w:szCs w:val="18"/>
                <w:color w:val="auto"/>
              </w:rPr>
              <w:t>13,100</w:t>
            </w:r>
          </w:p>
        </w:tc>
        <w:tc>
          <w:tcPr>
            <w:tcW w:w="700" w:type="dxa"/>
            <w:vAlign w:val="bottom"/>
            <w:gridSpan w:val="2"/>
          </w:tcPr>
          <w:p>
            <w:pPr>
              <w:jc w:val="right"/>
              <w:ind w:right="60"/>
              <w:spacing w:after="0"/>
              <w:rPr>
                <w:sz w:val="20"/>
                <w:szCs w:val="20"/>
                <w:color w:val="auto"/>
              </w:rPr>
            </w:pPr>
            <w:r>
              <w:rPr>
                <w:rFonts w:ascii="Arial" w:cs="Arial" w:eastAsia="Arial" w:hAnsi="Arial"/>
                <w:sz w:val="18"/>
                <w:szCs w:val="18"/>
                <w:color w:val="auto"/>
                <w:w w:val="95"/>
              </w:rPr>
              <w:t>129,750</w:t>
            </w:r>
          </w:p>
        </w:tc>
        <w:tc>
          <w:tcPr>
            <w:tcW w:w="0" w:type="dxa"/>
            <w:vAlign w:val="bottom"/>
          </w:tcPr>
          <w:p>
            <w:pPr>
              <w:spacing w:after="0"/>
              <w:rPr>
                <w:sz w:val="1"/>
                <w:szCs w:val="1"/>
                <w:color w:val="auto"/>
              </w:rPr>
            </w:pPr>
          </w:p>
        </w:tc>
      </w:tr>
      <w:tr>
        <w:trPr>
          <w:trHeight w:val="216"/>
        </w:trPr>
        <w:tc>
          <w:tcPr>
            <w:tcW w:w="5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Mr. Schneider</w:t>
            </w:r>
          </w:p>
        </w:tc>
        <w:tc>
          <w:tcPr>
            <w:tcW w:w="13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128,611</w:t>
            </w: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16,032</w:t>
            </w:r>
          </w:p>
        </w:tc>
        <w:tc>
          <w:tcPr>
            <w:tcW w:w="11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3,000</w:t>
            </w:r>
          </w:p>
        </w:tc>
        <w:tc>
          <w:tcPr>
            <w:tcW w:w="13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19,985</w:t>
            </w:r>
          </w:p>
        </w:tc>
        <w:tc>
          <w:tcPr>
            <w:tcW w:w="7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5"/>
              </w:rPr>
              <w:t>167,627</w:t>
            </w:r>
          </w:p>
        </w:tc>
        <w:tc>
          <w:tcPr>
            <w:tcW w:w="0" w:type="dxa"/>
            <w:vAlign w:val="bottom"/>
          </w:tcPr>
          <w:p>
            <w:pPr>
              <w:spacing w:after="0"/>
              <w:rPr>
                <w:sz w:val="1"/>
                <w:szCs w:val="1"/>
                <w:color w:val="auto"/>
              </w:rPr>
            </w:pPr>
          </w:p>
        </w:tc>
      </w:tr>
      <w:tr>
        <w:trPr>
          <w:trHeight w:val="216"/>
        </w:trPr>
        <w:tc>
          <w:tcPr>
            <w:tcW w:w="5700" w:type="dxa"/>
            <w:vAlign w:val="bottom"/>
            <w:gridSpan w:val="2"/>
          </w:tcPr>
          <w:p>
            <w:pPr>
              <w:spacing w:after="0"/>
              <w:rPr>
                <w:sz w:val="20"/>
                <w:szCs w:val="20"/>
                <w:color w:val="auto"/>
              </w:rPr>
            </w:pPr>
            <w:r>
              <w:rPr>
                <w:rFonts w:ascii="Arial" w:cs="Arial" w:eastAsia="Arial" w:hAnsi="Arial"/>
                <w:sz w:val="18"/>
                <w:szCs w:val="18"/>
                <w:color w:val="auto"/>
              </w:rPr>
              <w:t>Mr. Bobitz</w:t>
            </w:r>
          </w:p>
        </w:tc>
        <w:tc>
          <w:tcPr>
            <w:tcW w:w="1340" w:type="dxa"/>
            <w:vAlign w:val="bottom"/>
            <w:gridSpan w:val="2"/>
          </w:tcPr>
          <w:p>
            <w:pPr>
              <w:jc w:val="right"/>
              <w:ind w:right="460"/>
              <w:spacing w:after="0"/>
              <w:rPr>
                <w:sz w:val="20"/>
                <w:szCs w:val="20"/>
                <w:color w:val="auto"/>
              </w:rPr>
            </w:pPr>
            <w:r>
              <w:rPr>
                <w:rFonts w:ascii="Arial" w:cs="Arial" w:eastAsia="Arial" w:hAnsi="Arial"/>
                <w:sz w:val="18"/>
                <w:szCs w:val="18"/>
                <w:color w:val="auto"/>
              </w:rPr>
              <w:t>59,669</w:t>
            </w:r>
          </w:p>
        </w:tc>
        <w:tc>
          <w:tcPr>
            <w:tcW w:w="640" w:type="dxa"/>
            <w:vAlign w:val="bottom"/>
          </w:tcPr>
          <w:p>
            <w:pPr>
              <w:jc w:val="right"/>
              <w:spacing w:after="0"/>
              <w:rPr>
                <w:sz w:val="20"/>
                <w:szCs w:val="20"/>
                <w:color w:val="auto"/>
              </w:rPr>
            </w:pPr>
            <w:r>
              <w:rPr>
                <w:rFonts w:ascii="Arial" w:cs="Arial" w:eastAsia="Arial" w:hAnsi="Arial"/>
                <w:sz w:val="18"/>
                <w:szCs w:val="18"/>
                <w:color w:val="auto"/>
              </w:rPr>
              <w:t>11,834</w:t>
            </w:r>
          </w:p>
        </w:tc>
        <w:tc>
          <w:tcPr>
            <w:tcW w:w="480" w:type="dxa"/>
            <w:vAlign w:val="bottom"/>
          </w:tcPr>
          <w:p>
            <w:pPr>
              <w:spacing w:after="0"/>
              <w:rPr>
                <w:sz w:val="18"/>
                <w:szCs w:val="18"/>
                <w:color w:val="auto"/>
              </w:rPr>
            </w:pPr>
          </w:p>
        </w:tc>
        <w:tc>
          <w:tcPr>
            <w:tcW w:w="118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380" w:type="dxa"/>
            <w:vAlign w:val="bottom"/>
            <w:gridSpan w:val="2"/>
          </w:tcPr>
          <w:p>
            <w:pPr>
              <w:jc w:val="right"/>
              <w:ind w:right="480"/>
              <w:spacing w:after="0"/>
              <w:rPr>
                <w:sz w:val="20"/>
                <w:szCs w:val="20"/>
                <w:color w:val="auto"/>
              </w:rPr>
            </w:pPr>
            <w:r>
              <w:rPr>
                <w:rFonts w:ascii="Arial" w:cs="Arial" w:eastAsia="Arial" w:hAnsi="Arial"/>
                <w:sz w:val="18"/>
                <w:szCs w:val="18"/>
                <w:color w:val="auto"/>
              </w:rPr>
              <w:t>13,100</w:t>
            </w:r>
          </w:p>
        </w:tc>
        <w:tc>
          <w:tcPr>
            <w:tcW w:w="700" w:type="dxa"/>
            <w:vAlign w:val="bottom"/>
            <w:gridSpan w:val="2"/>
          </w:tcPr>
          <w:p>
            <w:pPr>
              <w:jc w:val="right"/>
              <w:ind w:right="60"/>
              <w:spacing w:after="0"/>
              <w:rPr>
                <w:sz w:val="20"/>
                <w:szCs w:val="20"/>
                <w:color w:val="auto"/>
              </w:rPr>
            </w:pPr>
            <w:r>
              <w:rPr>
                <w:rFonts w:ascii="Arial" w:cs="Arial" w:eastAsia="Arial" w:hAnsi="Arial"/>
                <w:sz w:val="18"/>
                <w:szCs w:val="18"/>
                <w:color w:val="auto"/>
              </w:rPr>
              <w:t>84,603</w:t>
            </w:r>
          </w:p>
        </w:tc>
        <w:tc>
          <w:tcPr>
            <w:tcW w:w="0" w:type="dxa"/>
            <w:vAlign w:val="bottom"/>
          </w:tcPr>
          <w:p>
            <w:pPr>
              <w:spacing w:after="0"/>
              <w:rPr>
                <w:sz w:val="1"/>
                <w:szCs w:val="1"/>
                <w:color w:val="auto"/>
              </w:rPr>
            </w:pPr>
          </w:p>
        </w:tc>
      </w:tr>
      <w:tr>
        <w:trPr>
          <w:trHeight w:val="216"/>
        </w:trPr>
        <w:tc>
          <w:tcPr>
            <w:tcW w:w="5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Mr. Sheehan</w:t>
            </w:r>
          </w:p>
        </w:tc>
        <w:tc>
          <w:tcPr>
            <w:tcW w:w="13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127,135</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9,749</w:t>
            </w:r>
          </w:p>
        </w:tc>
        <w:tc>
          <w:tcPr>
            <w:tcW w:w="4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38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5"/>
              </w:rPr>
              <w:t>136,884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5" w:lineRule="exact"/>
        <w:rPr>
          <w:sz w:val="20"/>
          <w:szCs w:val="20"/>
          <w:color w:val="auto"/>
        </w:rPr>
      </w:pPr>
    </w:p>
    <w:p>
      <w:pPr>
        <w:ind w:left="460" w:right="60" w:hanging="452"/>
        <w:spacing w:after="0" w:line="254" w:lineRule="auto"/>
        <w:tabs>
          <w:tab w:leader="none" w:pos="460" w:val="left"/>
        </w:tabs>
        <w:numPr>
          <w:ilvl w:val="0"/>
          <w:numId w:val="42"/>
        </w:numPr>
        <w:rPr>
          <w:rFonts w:ascii="Arial" w:cs="Arial" w:eastAsia="Arial" w:hAnsi="Arial"/>
          <w:sz w:val="15"/>
          <w:szCs w:val="15"/>
          <w:color w:val="auto"/>
        </w:rPr>
      </w:pPr>
      <w:r>
        <w:rPr>
          <w:rFonts w:ascii="Arial" w:cs="Arial" w:eastAsia="Arial" w:hAnsi="Arial"/>
          <w:sz w:val="18"/>
          <w:szCs w:val="18"/>
          <w:color w:val="auto"/>
        </w:rPr>
        <w:t>Reflects contributions made on behalf of the named executive officers for each of the following programs: (i) company matching contributions made in 2016 to the 401(k) Savings Feature of the Retirement and Savings Plan; (ii) company contributions made in 2017 to the Retirement Account Feature of the Retirement and Savings Plan, which are based on 2016 earnings; and (iii) company contributions made in 2017 to the Restoration Plan, which are based on 2016 earnings.</w:t>
      </w:r>
    </w:p>
    <w:p>
      <w:pPr>
        <w:spacing w:after="0" w:line="2" w:lineRule="exact"/>
        <w:rPr>
          <w:rFonts w:ascii="Arial" w:cs="Arial" w:eastAsia="Arial" w:hAnsi="Arial"/>
          <w:sz w:val="15"/>
          <w:szCs w:val="15"/>
          <w:color w:val="auto"/>
        </w:rPr>
      </w:pPr>
    </w:p>
    <w:p>
      <w:pPr>
        <w:ind w:left="460" w:right="60" w:hanging="452"/>
        <w:spacing w:after="0" w:line="273" w:lineRule="auto"/>
        <w:tabs>
          <w:tab w:leader="none" w:pos="460" w:val="left"/>
        </w:tabs>
        <w:numPr>
          <w:ilvl w:val="0"/>
          <w:numId w:val="42"/>
        </w:numPr>
        <w:rPr>
          <w:rFonts w:ascii="Arial" w:cs="Arial" w:eastAsia="Arial" w:hAnsi="Arial"/>
          <w:sz w:val="14"/>
          <w:szCs w:val="14"/>
          <w:color w:val="auto"/>
        </w:rPr>
      </w:pPr>
      <w:r>
        <w:rPr>
          <w:rFonts w:ascii="Arial" w:cs="Arial" w:eastAsia="Arial" w:hAnsi="Arial"/>
          <w:sz w:val="17"/>
          <w:szCs w:val="17"/>
          <w:color w:val="auto"/>
        </w:rPr>
        <w:t>Represents premium payments made in 2016 for the following programs: (i) Leadership Life Program, an individually owned universal life insurance policy provided to all of our executives; and (ii) Executive Life Program, a $1 million company-owned life insurance policy for which the participating named executive officers may identify a beneficiary for payment by us in the event of his or her death. Premiums for the Leadership Life Program are graded through age 59, with escalation in particular between age 50 and 59, and level thereafter.</w:t>
      </w: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Grants of Plan-Based Awards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table below provides information on the following plan-based awards that were made in 2016:</w:t>
      </w:r>
    </w:p>
    <w:p>
      <w:pPr>
        <w:spacing w:after="0" w:line="131" w:lineRule="exact"/>
        <w:rPr>
          <w:sz w:val="20"/>
          <w:szCs w:val="20"/>
          <w:color w:val="auto"/>
        </w:rPr>
      </w:pPr>
    </w:p>
    <w:p>
      <w:pPr>
        <w:ind w:left="900" w:right="140" w:hanging="325"/>
        <w:spacing w:after="0" w:line="302" w:lineRule="auto"/>
        <w:tabs>
          <w:tab w:leader="none" w:pos="900" w:val="left"/>
        </w:tabs>
        <w:numPr>
          <w:ilvl w:val="0"/>
          <w:numId w:val="43"/>
        </w:numPr>
        <w:rPr>
          <w:rFonts w:ascii="Arial" w:cs="Arial" w:eastAsia="Arial" w:hAnsi="Arial"/>
          <w:sz w:val="16"/>
          <w:szCs w:val="16"/>
          <w:color w:val="auto"/>
        </w:rPr>
      </w:pPr>
      <w:r>
        <w:rPr>
          <w:rFonts w:ascii="Arial" w:cs="Arial" w:eastAsia="Arial" w:hAnsi="Arial"/>
          <w:sz w:val="16"/>
          <w:szCs w:val="16"/>
          <w:i w:val="1"/>
          <w:iCs w:val="1"/>
          <w:color w:val="auto"/>
        </w:rPr>
        <w:t xml:space="preserve">Annual Incentive. </w:t>
      </w:r>
      <w:r>
        <w:rPr>
          <w:rFonts w:ascii="Arial" w:cs="Arial" w:eastAsia="Arial" w:hAnsi="Arial"/>
          <w:sz w:val="16"/>
          <w:szCs w:val="16"/>
          <w:color w:val="auto"/>
        </w:rPr>
        <w:t>Annual incentive opportunities awarded to our named executive officers are earned based on company performance measured</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against one-year financial and operating objectives, together with a qualitative assessment of performance, including individual performance objectives. Additional information regarding the design of the annual incentive program and 2016 awards are included in the </w:t>
      </w:r>
      <w:r>
        <w:rPr>
          <w:rFonts w:ascii="Arial" w:cs="Arial" w:eastAsia="Arial" w:hAnsi="Arial"/>
          <w:sz w:val="16"/>
          <w:szCs w:val="16"/>
          <w:i w:val="1"/>
          <w:iCs w:val="1"/>
          <w:color w:val="auto"/>
        </w:rPr>
        <w:t>Compensation</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Discussion and Analysis </w:t>
      </w:r>
      <w:r>
        <w:rPr>
          <w:rFonts w:ascii="Arial" w:cs="Arial" w:eastAsia="Arial" w:hAnsi="Arial"/>
          <w:sz w:val="16"/>
          <w:szCs w:val="16"/>
          <w:color w:val="auto"/>
        </w:rPr>
        <w:t>section above. Annual incentives are identified as “AI” in the Award Type column of the following table.</w:t>
      </w:r>
    </w:p>
    <w:p>
      <w:pPr>
        <w:spacing w:after="0" w:line="59" w:lineRule="exact"/>
        <w:rPr>
          <w:rFonts w:ascii="Arial" w:cs="Arial" w:eastAsia="Arial" w:hAnsi="Arial"/>
          <w:sz w:val="16"/>
          <w:szCs w:val="16"/>
          <w:color w:val="auto"/>
        </w:rPr>
      </w:pPr>
    </w:p>
    <w:p>
      <w:pPr>
        <w:jc w:val="both"/>
        <w:ind w:left="900" w:right="420" w:hanging="325"/>
        <w:spacing w:after="0" w:line="312" w:lineRule="auto"/>
        <w:tabs>
          <w:tab w:leader="none" w:pos="900" w:val="left"/>
        </w:tabs>
        <w:numPr>
          <w:ilvl w:val="0"/>
          <w:numId w:val="43"/>
        </w:numPr>
        <w:rPr>
          <w:rFonts w:ascii="Arial" w:cs="Arial" w:eastAsia="Arial" w:hAnsi="Arial"/>
          <w:sz w:val="16"/>
          <w:szCs w:val="16"/>
          <w:color w:val="auto"/>
        </w:rPr>
      </w:pPr>
      <w:r>
        <w:rPr>
          <w:rFonts w:ascii="Arial" w:cs="Arial" w:eastAsia="Arial" w:hAnsi="Arial"/>
          <w:sz w:val="16"/>
          <w:szCs w:val="16"/>
          <w:i w:val="1"/>
          <w:iCs w:val="1"/>
          <w:color w:val="auto"/>
        </w:rPr>
        <w:t>Restricted Stock Units</w:t>
      </w:r>
      <w:r>
        <w:rPr>
          <w:rFonts w:ascii="Arial" w:cs="Arial" w:eastAsia="Arial" w:hAnsi="Arial"/>
          <w:sz w:val="16"/>
          <w:szCs w:val="16"/>
          <w:color w:val="auto"/>
        </w:rPr>
        <w:t>. Each RSU represents a contingent right to receive one share of our common stock in the future. If the company pays</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dividends on its common stock, dividend equivalents accrue with respect to the RSUs and are paid in cash at the time that the corresponding RSUs vest. Additional information regarding RSUs is included in the </w:t>
      </w:r>
      <w:r>
        <w:rPr>
          <w:rFonts w:ascii="Arial" w:cs="Arial" w:eastAsia="Arial" w:hAnsi="Arial"/>
          <w:sz w:val="16"/>
          <w:szCs w:val="16"/>
          <w:i w:val="1"/>
          <w:iCs w:val="1"/>
          <w:color w:val="auto"/>
        </w:rPr>
        <w:t>Compensation Discussion and Analysis</w:t>
      </w:r>
      <w:r>
        <w:rPr>
          <w:rFonts w:ascii="Arial" w:cs="Arial" w:eastAsia="Arial" w:hAnsi="Arial"/>
          <w:sz w:val="16"/>
          <w:szCs w:val="16"/>
          <w:color w:val="auto"/>
        </w:rPr>
        <w:t xml:space="preserve"> section above.</w:t>
      </w:r>
    </w:p>
    <w:p>
      <w:pPr>
        <w:spacing w:after="0" w:line="52" w:lineRule="exact"/>
        <w:rPr>
          <w:rFonts w:ascii="Arial" w:cs="Arial" w:eastAsia="Arial" w:hAnsi="Arial"/>
          <w:sz w:val="16"/>
          <w:szCs w:val="16"/>
          <w:color w:val="auto"/>
        </w:rPr>
      </w:pPr>
    </w:p>
    <w:p>
      <w:pPr>
        <w:ind w:left="900" w:right="140" w:hanging="325"/>
        <w:spacing w:after="0" w:line="257" w:lineRule="auto"/>
        <w:tabs>
          <w:tab w:leader="none" w:pos="900" w:val="left"/>
        </w:tabs>
        <w:numPr>
          <w:ilvl w:val="0"/>
          <w:numId w:val="43"/>
        </w:numPr>
        <w:rPr>
          <w:rFonts w:ascii="Arial" w:cs="Arial" w:eastAsia="Arial" w:hAnsi="Arial"/>
          <w:sz w:val="18"/>
          <w:szCs w:val="18"/>
          <w:color w:val="auto"/>
        </w:rPr>
      </w:pPr>
      <w:r>
        <w:rPr>
          <w:rFonts w:ascii="Arial" w:cs="Arial" w:eastAsia="Arial" w:hAnsi="Arial"/>
          <w:sz w:val="18"/>
          <w:szCs w:val="18"/>
          <w:i w:val="1"/>
          <w:iCs w:val="1"/>
          <w:color w:val="auto"/>
        </w:rPr>
        <w:t xml:space="preserve">Performance Stock Units. </w:t>
      </w:r>
      <w:r>
        <w:rPr>
          <w:rFonts w:ascii="Arial" w:cs="Arial" w:eastAsia="Arial" w:hAnsi="Arial"/>
          <w:sz w:val="18"/>
          <w:szCs w:val="18"/>
          <w:color w:val="auto"/>
        </w:rPr>
        <w:t>PSUs consist of performance-vesting stock units that may convert to shares following the end of the performance</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period based on achievement of certain pre-established performance goals. PSUs are granted with respect to a target number of shares, will be forfeited if performance falls below a designated threshold level of performance, and may be earned up to 125% of the target number of shares for exceeding a designated maximum level of performance. Additional information regarding PSUs is included in the </w:t>
      </w:r>
      <w:r>
        <w:rPr>
          <w:rFonts w:ascii="Arial" w:cs="Arial" w:eastAsia="Arial" w:hAnsi="Arial"/>
          <w:sz w:val="18"/>
          <w:szCs w:val="18"/>
          <w:i w:val="1"/>
          <w:iCs w:val="1"/>
          <w:color w:val="auto"/>
        </w:rPr>
        <w:t>Compensation Discussion</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and Analysis </w:t>
      </w:r>
      <w:r>
        <w:rPr>
          <w:rFonts w:ascii="Arial" w:cs="Arial" w:eastAsia="Arial" w:hAnsi="Arial"/>
          <w:sz w:val="18"/>
          <w:szCs w:val="18"/>
          <w:color w:val="auto"/>
        </w:rPr>
        <w:t>section above.</w:t>
      </w:r>
    </w:p>
    <w:p>
      <w:pPr>
        <w:spacing w:after="0" w:line="1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459" w:right="23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2016 Grants of Plan-Based Awards Table</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8"/>
              </w:rPr>
              <w:t>All Other</w:t>
            </w:r>
          </w:p>
        </w:tc>
        <w:tc>
          <w:tcPr>
            <w:tcW w:w="880" w:type="dxa"/>
            <w:vAlign w:val="bottom"/>
            <w:gridSpan w:val="2"/>
            <w:vMerge w:val="restart"/>
          </w:tcPr>
          <w:p>
            <w:pPr>
              <w:jc w:val="center"/>
              <w:ind w:right="180"/>
              <w:spacing w:after="0"/>
              <w:rPr>
                <w:sz w:val="20"/>
                <w:szCs w:val="20"/>
                <w:color w:val="auto"/>
              </w:rPr>
            </w:pPr>
            <w:r>
              <w:rPr>
                <w:rFonts w:ascii="Arial" w:cs="Arial" w:eastAsia="Arial" w:hAnsi="Arial"/>
                <w:sz w:val="14"/>
                <w:szCs w:val="14"/>
                <w:b w:val="1"/>
                <w:bCs w:val="1"/>
                <w:color w:val="auto"/>
                <w:w w:val="98"/>
              </w:rPr>
              <w:t>All Other</w:t>
            </w: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Stock</w:t>
            </w:r>
          </w:p>
        </w:tc>
        <w:tc>
          <w:tcPr>
            <w:tcW w:w="880" w:type="dxa"/>
            <w:vAlign w:val="bottom"/>
            <w:gridSpan w:val="2"/>
            <w:vMerge w:val="continue"/>
          </w:tcPr>
          <w:p>
            <w:pPr>
              <w:spacing w:after="0"/>
              <w:rPr>
                <w:sz w:val="12"/>
                <w:szCs w:val="12"/>
                <w:color w:val="auto"/>
              </w:rPr>
            </w:pPr>
          </w:p>
        </w:tc>
        <w:tc>
          <w:tcPr>
            <w:tcW w:w="88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0"/>
              </w:rPr>
              <w:t>Exercise or</w:t>
            </w:r>
          </w:p>
        </w:tc>
        <w:tc>
          <w:tcPr>
            <w:tcW w:w="7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580" w:type="dxa"/>
            <w:vAlign w:val="bottom"/>
            <w:gridSpan w:val="5"/>
            <w:vMerge w:val="restart"/>
          </w:tcPr>
          <w:p>
            <w:pPr>
              <w:jc w:val="center"/>
              <w:ind w:left="433"/>
              <w:spacing w:after="0"/>
              <w:rPr>
                <w:sz w:val="20"/>
                <w:szCs w:val="20"/>
                <w:color w:val="auto"/>
              </w:rPr>
            </w:pPr>
            <w:r>
              <w:rPr>
                <w:rFonts w:ascii="Arial" w:cs="Arial" w:eastAsia="Arial" w:hAnsi="Arial"/>
                <w:sz w:val="14"/>
                <w:szCs w:val="14"/>
                <w:b w:val="1"/>
                <w:bCs w:val="1"/>
                <w:color w:val="auto"/>
                <w:w w:val="94"/>
              </w:rPr>
              <w:t>Estimated Future</w:t>
            </w:r>
          </w:p>
        </w:tc>
        <w:tc>
          <w:tcPr>
            <w:tcW w:w="5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4"/>
              </w:rPr>
              <w:t>Awards:</w:t>
            </w:r>
          </w:p>
        </w:tc>
        <w:tc>
          <w:tcPr>
            <w:tcW w:w="8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3"/>
              </w:rPr>
              <w:t>Option</w:t>
            </w:r>
          </w:p>
        </w:tc>
        <w:tc>
          <w:tcPr>
            <w:tcW w:w="880" w:type="dxa"/>
            <w:vAlign w:val="bottom"/>
            <w:gridSpan w:val="2"/>
            <w:vMerge w:val="continue"/>
          </w:tcPr>
          <w:p>
            <w:pPr>
              <w:spacing w:after="0"/>
              <w:rPr>
                <w:sz w:val="12"/>
                <w:szCs w:val="12"/>
                <w:color w:val="auto"/>
              </w:rPr>
            </w:pPr>
          </w:p>
        </w:tc>
        <w:tc>
          <w:tcPr>
            <w:tcW w:w="740" w:type="dxa"/>
            <w:vAlign w:val="bottom"/>
            <w:gridSpan w:val="2"/>
            <w:vMerge w:val="restart"/>
          </w:tcPr>
          <w:p>
            <w:pPr>
              <w:jc w:val="center"/>
              <w:ind w:right="40"/>
              <w:spacing w:after="0"/>
              <w:rPr>
                <w:sz w:val="20"/>
                <w:szCs w:val="20"/>
                <w:color w:val="auto"/>
              </w:rPr>
            </w:pPr>
            <w:r>
              <w:rPr>
                <w:rFonts w:ascii="Arial" w:cs="Arial" w:eastAsia="Arial" w:hAnsi="Arial"/>
                <w:sz w:val="14"/>
                <w:szCs w:val="14"/>
                <w:b w:val="1"/>
                <w:bCs w:val="1"/>
                <w:color w:val="auto"/>
                <w:w w:val="97"/>
              </w:rPr>
              <w:t>Grant Date</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580" w:type="dxa"/>
            <w:vAlign w:val="bottom"/>
            <w:gridSpan w:val="5"/>
            <w:vMerge w:val="continue"/>
          </w:tcPr>
          <w:p>
            <w:pPr>
              <w:spacing w:after="0"/>
              <w:rPr>
                <w:sz w:val="12"/>
                <w:szCs w:val="12"/>
                <w:color w:val="auto"/>
              </w:rPr>
            </w:pPr>
          </w:p>
        </w:tc>
        <w:tc>
          <w:tcPr>
            <w:tcW w:w="5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80" w:type="dxa"/>
            <w:vAlign w:val="bottom"/>
            <w:gridSpan w:val="6"/>
            <w:vMerge w:val="restart"/>
          </w:tcPr>
          <w:p>
            <w:pPr>
              <w:jc w:val="center"/>
              <w:ind w:right="180"/>
              <w:spacing w:after="0"/>
              <w:rPr>
                <w:sz w:val="20"/>
                <w:szCs w:val="20"/>
                <w:color w:val="auto"/>
              </w:rPr>
            </w:pPr>
            <w:r>
              <w:rPr>
                <w:rFonts w:ascii="Arial" w:cs="Arial" w:eastAsia="Arial" w:hAnsi="Arial"/>
                <w:sz w:val="14"/>
                <w:szCs w:val="14"/>
                <w:b w:val="1"/>
                <w:bCs w:val="1"/>
                <w:color w:val="auto"/>
                <w:w w:val="93"/>
              </w:rPr>
              <w:t>Estimated Future Payouts</w:t>
            </w:r>
          </w:p>
        </w:tc>
        <w:tc>
          <w:tcPr>
            <w:tcW w:w="8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4"/>
              </w:rPr>
              <w:t>Number of</w:t>
            </w:r>
          </w:p>
        </w:tc>
        <w:tc>
          <w:tcPr>
            <w:tcW w:w="88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4"/>
              </w:rPr>
              <w:t>Awards:</w:t>
            </w:r>
          </w:p>
        </w:tc>
        <w:tc>
          <w:tcPr>
            <w:tcW w:w="88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3"/>
              </w:rPr>
              <w:t>Base</w:t>
            </w:r>
          </w:p>
        </w:tc>
        <w:tc>
          <w:tcPr>
            <w:tcW w:w="74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580" w:type="dxa"/>
            <w:vAlign w:val="bottom"/>
            <w:gridSpan w:val="5"/>
          </w:tcPr>
          <w:p>
            <w:pPr>
              <w:jc w:val="center"/>
              <w:ind w:left="433"/>
              <w:spacing w:after="0" w:line="149" w:lineRule="exact"/>
              <w:rPr>
                <w:sz w:val="20"/>
                <w:szCs w:val="20"/>
                <w:color w:val="auto"/>
              </w:rPr>
            </w:pPr>
            <w:r>
              <w:rPr>
                <w:rFonts w:ascii="Arial" w:cs="Arial" w:eastAsia="Arial" w:hAnsi="Arial"/>
                <w:sz w:val="14"/>
                <w:szCs w:val="14"/>
                <w:b w:val="1"/>
                <w:bCs w:val="1"/>
                <w:color w:val="auto"/>
                <w:w w:val="93"/>
              </w:rPr>
              <w:t>Payouts Under</w:t>
            </w:r>
          </w:p>
        </w:tc>
        <w:tc>
          <w:tcPr>
            <w:tcW w:w="5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80" w:type="dxa"/>
            <w:vAlign w:val="bottom"/>
            <w:gridSpan w:val="6"/>
            <w:vMerge w:val="continue"/>
          </w:tcPr>
          <w:p>
            <w:pPr>
              <w:spacing w:after="0"/>
              <w:rPr>
                <w:sz w:val="12"/>
                <w:szCs w:val="12"/>
                <w:color w:val="auto"/>
              </w:rPr>
            </w:pPr>
          </w:p>
        </w:tc>
        <w:tc>
          <w:tcPr>
            <w:tcW w:w="8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Shares</w:t>
            </w:r>
          </w:p>
        </w:tc>
        <w:tc>
          <w:tcPr>
            <w:tcW w:w="8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4"/>
              </w:rPr>
              <w:t>Number of</w:t>
            </w:r>
          </w:p>
        </w:tc>
        <w:tc>
          <w:tcPr>
            <w:tcW w:w="88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3"/>
              </w:rPr>
              <w:t>Price</w:t>
            </w:r>
          </w:p>
        </w:tc>
        <w:tc>
          <w:tcPr>
            <w:tcW w:w="740" w:type="dxa"/>
            <w:vAlign w:val="bottom"/>
            <w:gridSpan w:val="2"/>
          </w:tcPr>
          <w:p>
            <w:pPr>
              <w:jc w:val="center"/>
              <w:ind w:right="40"/>
              <w:spacing w:after="0" w:line="149" w:lineRule="exact"/>
              <w:rPr>
                <w:sz w:val="20"/>
                <w:szCs w:val="20"/>
                <w:color w:val="auto"/>
              </w:rPr>
            </w:pPr>
            <w:r>
              <w:rPr>
                <w:rFonts w:ascii="Arial" w:cs="Arial" w:eastAsia="Arial" w:hAnsi="Arial"/>
                <w:sz w:val="14"/>
                <w:szCs w:val="14"/>
                <w:b w:val="1"/>
                <w:bCs w:val="1"/>
                <w:color w:val="auto"/>
                <w:w w:val="98"/>
              </w:rPr>
              <w:t>Fair Value</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60" w:type="dxa"/>
            <w:vAlign w:val="bottom"/>
            <w:gridSpan w:val="7"/>
          </w:tcPr>
          <w:p>
            <w:pPr>
              <w:jc w:val="center"/>
              <w:ind w:right="180"/>
              <w:spacing w:after="0" w:line="149" w:lineRule="exact"/>
              <w:rPr>
                <w:sz w:val="20"/>
                <w:szCs w:val="20"/>
                <w:color w:val="auto"/>
              </w:rPr>
            </w:pPr>
            <w:r>
              <w:rPr>
                <w:rFonts w:ascii="Arial" w:cs="Arial" w:eastAsia="Arial" w:hAnsi="Arial"/>
                <w:sz w:val="14"/>
                <w:szCs w:val="14"/>
                <w:b w:val="1"/>
                <w:bCs w:val="1"/>
                <w:color w:val="auto"/>
                <w:w w:val="94"/>
              </w:rPr>
              <w:t>Non-Equity Incentive Plan</w:t>
            </w:r>
          </w:p>
        </w:tc>
        <w:tc>
          <w:tcPr>
            <w:tcW w:w="2280" w:type="dxa"/>
            <w:vAlign w:val="bottom"/>
            <w:gridSpan w:val="6"/>
          </w:tcPr>
          <w:p>
            <w:pPr>
              <w:jc w:val="center"/>
              <w:ind w:right="180"/>
              <w:spacing w:after="0" w:line="149" w:lineRule="exact"/>
              <w:rPr>
                <w:sz w:val="20"/>
                <w:szCs w:val="20"/>
                <w:color w:val="auto"/>
              </w:rPr>
            </w:pPr>
            <w:r>
              <w:rPr>
                <w:rFonts w:ascii="Arial" w:cs="Arial" w:eastAsia="Arial" w:hAnsi="Arial"/>
                <w:sz w:val="14"/>
                <w:szCs w:val="14"/>
                <w:b w:val="1"/>
                <w:bCs w:val="1"/>
                <w:color w:val="auto"/>
                <w:w w:val="96"/>
              </w:rPr>
              <w:t>Under Equity Incentive</w:t>
            </w:r>
          </w:p>
        </w:tc>
        <w:tc>
          <w:tcPr>
            <w:tcW w:w="8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0"/>
              </w:rPr>
              <w:t>of Stock</w:t>
            </w:r>
          </w:p>
        </w:tc>
        <w:tc>
          <w:tcPr>
            <w:tcW w:w="88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9"/>
              </w:rPr>
              <w:t>Securities</w:t>
            </w:r>
          </w:p>
        </w:tc>
        <w:tc>
          <w:tcPr>
            <w:tcW w:w="88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0"/>
              </w:rPr>
              <w:t>of</w:t>
            </w:r>
          </w:p>
        </w:tc>
        <w:tc>
          <w:tcPr>
            <w:tcW w:w="740" w:type="dxa"/>
            <w:vAlign w:val="bottom"/>
            <w:gridSpan w:val="2"/>
          </w:tcPr>
          <w:p>
            <w:pPr>
              <w:jc w:val="center"/>
              <w:ind w:right="40"/>
              <w:spacing w:after="0" w:line="149" w:lineRule="exact"/>
              <w:rPr>
                <w:sz w:val="20"/>
                <w:szCs w:val="20"/>
                <w:color w:val="auto"/>
              </w:rPr>
            </w:pPr>
            <w:r>
              <w:rPr>
                <w:rFonts w:ascii="Arial" w:cs="Arial" w:eastAsia="Arial" w:hAnsi="Arial"/>
                <w:sz w:val="14"/>
                <w:szCs w:val="14"/>
                <w:b w:val="1"/>
                <w:bCs w:val="1"/>
                <w:color w:val="auto"/>
                <w:w w:val="90"/>
              </w:rPr>
              <w:t>of Stock</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960" w:type="dxa"/>
            <w:vAlign w:val="bottom"/>
            <w:gridSpan w:val="4"/>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Awards ($)</w:t>
            </w:r>
          </w:p>
        </w:tc>
        <w:tc>
          <w:tcPr>
            <w:tcW w:w="5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80" w:type="dxa"/>
            <w:vAlign w:val="bottom"/>
            <w:gridSpan w:val="6"/>
          </w:tcPr>
          <w:p>
            <w:pPr>
              <w:jc w:val="center"/>
              <w:ind w:right="200"/>
              <w:spacing w:after="0" w:line="149" w:lineRule="exact"/>
              <w:rPr>
                <w:sz w:val="20"/>
                <w:szCs w:val="20"/>
                <w:color w:val="auto"/>
              </w:rPr>
            </w:pPr>
            <w:r>
              <w:rPr>
                <w:rFonts w:ascii="Arial" w:cs="Arial" w:eastAsia="Arial" w:hAnsi="Arial"/>
                <w:sz w:val="14"/>
                <w:szCs w:val="14"/>
                <w:b w:val="1"/>
                <w:bCs w:val="1"/>
                <w:color w:val="auto"/>
                <w:w w:val="93"/>
              </w:rPr>
              <w:t xml:space="preserve">Plan Awards (#) </w:t>
            </w:r>
            <w:r>
              <w:rPr>
                <w:rFonts w:ascii="Arial" w:cs="Arial" w:eastAsia="Arial" w:hAnsi="Arial"/>
                <w:sz w:val="12"/>
                <w:szCs w:val="12"/>
                <w:b w:val="1"/>
                <w:bCs w:val="1"/>
                <w:color w:val="auto"/>
                <w:w w:val="93"/>
              </w:rPr>
              <w:t>(1)</w:t>
            </w:r>
          </w:p>
        </w:tc>
        <w:tc>
          <w:tcPr>
            <w:tcW w:w="8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9"/>
              </w:rPr>
              <w:t>or</w:t>
            </w:r>
          </w:p>
        </w:tc>
        <w:tc>
          <w:tcPr>
            <w:tcW w:w="8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5"/>
              </w:rPr>
              <w:t>Underlying</w:t>
            </w:r>
          </w:p>
        </w:tc>
        <w:tc>
          <w:tcPr>
            <w:tcW w:w="88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7"/>
              </w:rPr>
              <w:t>Option</w:t>
            </w:r>
          </w:p>
        </w:tc>
        <w:tc>
          <w:tcPr>
            <w:tcW w:w="740" w:type="dxa"/>
            <w:vAlign w:val="bottom"/>
            <w:gridSpan w:val="2"/>
          </w:tcPr>
          <w:p>
            <w:pPr>
              <w:jc w:val="center"/>
              <w:ind w:right="40"/>
              <w:spacing w:after="0" w:line="149" w:lineRule="exact"/>
              <w:rPr>
                <w:sz w:val="20"/>
                <w:szCs w:val="20"/>
                <w:color w:val="auto"/>
              </w:rPr>
            </w:pPr>
            <w:r>
              <w:rPr>
                <w:rFonts w:ascii="Arial" w:cs="Arial" w:eastAsia="Arial" w:hAnsi="Arial"/>
                <w:sz w:val="14"/>
                <w:szCs w:val="14"/>
                <w:b w:val="1"/>
                <w:bCs w:val="1"/>
                <w:color w:val="auto"/>
                <w:w w:val="94"/>
              </w:rPr>
              <w:t>and Option</w:t>
            </w:r>
          </w:p>
        </w:tc>
        <w:tc>
          <w:tcPr>
            <w:tcW w:w="0" w:type="dxa"/>
            <w:vAlign w:val="bottom"/>
          </w:tcPr>
          <w:p>
            <w:pPr>
              <w:spacing w:after="0"/>
              <w:rPr>
                <w:sz w:val="1"/>
                <w:szCs w:val="1"/>
                <w:color w:val="auto"/>
              </w:rPr>
            </w:pPr>
          </w:p>
        </w:tc>
      </w:tr>
      <w:tr>
        <w:trPr>
          <w:trHeight w:val="23"/>
        </w:trPr>
        <w:tc>
          <w:tcPr>
            <w:tcW w:w="380" w:type="dxa"/>
            <w:vAlign w:val="bottom"/>
            <w:vMerge w:val="restart"/>
          </w:tcPr>
          <w:p>
            <w:pPr>
              <w:spacing w:after="0"/>
              <w:rPr>
                <w:sz w:val="20"/>
                <w:szCs w:val="20"/>
                <w:color w:val="auto"/>
              </w:rPr>
            </w:pPr>
            <w:r>
              <w:rPr>
                <w:rFonts w:ascii="Arial" w:cs="Arial" w:eastAsia="Arial" w:hAnsi="Arial"/>
                <w:sz w:val="14"/>
                <w:szCs w:val="14"/>
                <w:b w:val="1"/>
                <w:bCs w:val="1"/>
                <w:color w:val="auto"/>
                <w:w w:val="94"/>
              </w:rPr>
              <w:t>Name</w:t>
            </w:r>
          </w:p>
        </w:tc>
        <w:tc>
          <w:tcPr>
            <w:tcW w:w="1700" w:type="dxa"/>
            <w:vAlign w:val="bottom"/>
            <w:vMerge w:val="restart"/>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gridSpan w:val="2"/>
            <w:vMerge w:val="restart"/>
          </w:tcPr>
          <w:p>
            <w:pPr>
              <w:jc w:val="right"/>
              <w:ind w:right="180"/>
              <w:spacing w:after="0" w:line="149" w:lineRule="exact"/>
              <w:rPr>
                <w:sz w:val="20"/>
                <w:szCs w:val="20"/>
                <w:color w:val="auto"/>
              </w:rPr>
            </w:pPr>
            <w:r>
              <w:rPr>
                <w:rFonts w:ascii="Arial" w:cs="Arial" w:eastAsia="Arial" w:hAnsi="Arial"/>
                <w:sz w:val="14"/>
                <w:szCs w:val="14"/>
                <w:b w:val="1"/>
                <w:bCs w:val="1"/>
                <w:color w:val="auto"/>
                <w:w w:val="93"/>
              </w:rPr>
              <w:t>Award</w:t>
            </w:r>
          </w:p>
        </w:tc>
        <w:tc>
          <w:tcPr>
            <w:tcW w:w="740" w:type="dxa"/>
            <w:vAlign w:val="bottom"/>
            <w:gridSpan w:val="2"/>
            <w:vMerge w:val="restart"/>
          </w:tcPr>
          <w:p>
            <w:pPr>
              <w:ind w:left="100"/>
              <w:spacing w:after="0" w:line="149" w:lineRule="exact"/>
              <w:rPr>
                <w:sz w:val="20"/>
                <w:szCs w:val="20"/>
                <w:color w:val="auto"/>
              </w:rPr>
            </w:pPr>
            <w:r>
              <w:rPr>
                <w:rFonts w:ascii="Arial" w:cs="Arial" w:eastAsia="Arial" w:hAnsi="Arial"/>
                <w:sz w:val="14"/>
                <w:szCs w:val="14"/>
                <w:b w:val="1"/>
                <w:bCs w:val="1"/>
                <w:color w:val="auto"/>
              </w:rPr>
              <w:t>Grant</w:t>
            </w:r>
          </w:p>
        </w:tc>
        <w:tc>
          <w:tcPr>
            <w:tcW w:w="6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gridSpan w:val="2"/>
            <w:vMerge w:val="restart"/>
          </w:tcPr>
          <w:p>
            <w:pPr>
              <w:jc w:val="center"/>
              <w:ind w:right="180"/>
              <w:spacing w:after="0" w:line="149" w:lineRule="exact"/>
              <w:rPr>
                <w:sz w:val="20"/>
                <w:szCs w:val="20"/>
                <w:color w:val="auto"/>
              </w:rPr>
            </w:pPr>
            <w:r>
              <w:rPr>
                <w:rFonts w:ascii="Arial" w:cs="Arial" w:eastAsia="Arial" w:hAnsi="Arial"/>
                <w:sz w:val="14"/>
                <w:szCs w:val="14"/>
                <w:b w:val="1"/>
                <w:bCs w:val="1"/>
                <w:color w:val="auto"/>
                <w:w w:val="97"/>
              </w:rPr>
              <w:t>Units</w:t>
            </w:r>
          </w:p>
        </w:tc>
        <w:tc>
          <w:tcPr>
            <w:tcW w:w="880" w:type="dxa"/>
            <w:vAlign w:val="bottom"/>
            <w:gridSpan w:val="2"/>
            <w:vMerge w:val="restart"/>
          </w:tcPr>
          <w:p>
            <w:pPr>
              <w:jc w:val="center"/>
              <w:ind w:right="180"/>
              <w:spacing w:after="0" w:line="149" w:lineRule="exact"/>
              <w:rPr>
                <w:sz w:val="20"/>
                <w:szCs w:val="20"/>
                <w:color w:val="auto"/>
              </w:rPr>
            </w:pPr>
            <w:r>
              <w:rPr>
                <w:rFonts w:ascii="Arial" w:cs="Arial" w:eastAsia="Arial" w:hAnsi="Arial"/>
                <w:sz w:val="14"/>
                <w:szCs w:val="14"/>
                <w:b w:val="1"/>
                <w:bCs w:val="1"/>
                <w:color w:val="auto"/>
                <w:w w:val="94"/>
              </w:rPr>
              <w:t>Options</w:t>
            </w:r>
          </w:p>
        </w:tc>
        <w:tc>
          <w:tcPr>
            <w:tcW w:w="880" w:type="dxa"/>
            <w:vAlign w:val="bottom"/>
            <w:gridSpan w:val="2"/>
            <w:vMerge w:val="restart"/>
          </w:tcPr>
          <w:p>
            <w:pPr>
              <w:jc w:val="center"/>
              <w:ind w:right="200"/>
              <w:spacing w:after="0" w:line="149" w:lineRule="exact"/>
              <w:rPr>
                <w:sz w:val="20"/>
                <w:szCs w:val="20"/>
                <w:color w:val="auto"/>
              </w:rPr>
            </w:pPr>
            <w:r>
              <w:rPr>
                <w:rFonts w:ascii="Arial" w:cs="Arial" w:eastAsia="Arial" w:hAnsi="Arial"/>
                <w:sz w:val="14"/>
                <w:szCs w:val="14"/>
                <w:b w:val="1"/>
                <w:bCs w:val="1"/>
                <w:color w:val="auto"/>
                <w:w w:val="94"/>
              </w:rPr>
              <w:t>Awards</w:t>
            </w:r>
          </w:p>
        </w:tc>
        <w:tc>
          <w:tcPr>
            <w:tcW w:w="740" w:type="dxa"/>
            <w:vAlign w:val="bottom"/>
            <w:gridSpan w:val="2"/>
            <w:vMerge w:val="restart"/>
          </w:tcPr>
          <w:p>
            <w:pPr>
              <w:jc w:val="center"/>
              <w:ind w:right="40"/>
              <w:spacing w:after="0" w:line="149" w:lineRule="exact"/>
              <w:rPr>
                <w:sz w:val="20"/>
                <w:szCs w:val="20"/>
                <w:color w:val="auto"/>
              </w:rPr>
            </w:pPr>
            <w:r>
              <w:rPr>
                <w:rFonts w:ascii="Arial" w:cs="Arial" w:eastAsia="Arial" w:hAnsi="Arial"/>
                <w:sz w:val="14"/>
                <w:szCs w:val="14"/>
                <w:b w:val="1"/>
                <w:bCs w:val="1"/>
                <w:color w:val="auto"/>
                <w:w w:val="90"/>
              </w:rPr>
              <w:t>Awards</w:t>
            </w:r>
          </w:p>
        </w:tc>
        <w:tc>
          <w:tcPr>
            <w:tcW w:w="0" w:type="dxa"/>
            <w:vAlign w:val="bottom"/>
          </w:tcPr>
          <w:p>
            <w:pPr>
              <w:spacing w:after="0"/>
              <w:rPr>
                <w:sz w:val="1"/>
                <w:szCs w:val="1"/>
                <w:color w:val="auto"/>
              </w:rPr>
            </w:pPr>
          </w:p>
        </w:tc>
      </w:tr>
      <w:tr>
        <w:trPr>
          <w:trHeight w:val="106"/>
        </w:trPr>
        <w:tc>
          <w:tcPr>
            <w:tcW w:w="380" w:type="dxa"/>
            <w:vAlign w:val="bottom"/>
            <w:vMerge w:val="continue"/>
          </w:tcPr>
          <w:p>
            <w:pPr>
              <w:spacing w:after="0"/>
              <w:rPr>
                <w:sz w:val="9"/>
                <w:szCs w:val="9"/>
                <w:color w:val="auto"/>
              </w:rPr>
            </w:pPr>
          </w:p>
        </w:tc>
        <w:tc>
          <w:tcPr>
            <w:tcW w:w="170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600" w:type="dxa"/>
            <w:vAlign w:val="bottom"/>
            <w:gridSpan w:val="2"/>
            <w:vMerge w:val="continue"/>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620" w:type="dxa"/>
            <w:vAlign w:val="bottom"/>
            <w:vMerge w:val="restart"/>
          </w:tcPr>
          <w:p>
            <w:pPr>
              <w:spacing w:after="0"/>
              <w:rPr>
                <w:sz w:val="20"/>
                <w:szCs w:val="20"/>
                <w:color w:val="auto"/>
              </w:rPr>
            </w:pPr>
            <w:r>
              <w:rPr>
                <w:rFonts w:ascii="Arial" w:cs="Arial" w:eastAsia="Arial" w:hAnsi="Arial"/>
                <w:sz w:val="14"/>
                <w:szCs w:val="14"/>
                <w:b w:val="1"/>
                <w:bCs w:val="1"/>
                <w:color w:val="auto"/>
                <w:w w:val="88"/>
              </w:rPr>
              <w:t>Threshold</w:t>
            </w:r>
          </w:p>
        </w:tc>
        <w:tc>
          <w:tcPr>
            <w:tcW w:w="180" w:type="dxa"/>
            <w:vAlign w:val="bottom"/>
          </w:tcPr>
          <w:p>
            <w:pPr>
              <w:spacing w:after="0"/>
              <w:rPr>
                <w:sz w:val="9"/>
                <w:szCs w:val="9"/>
                <w:color w:val="auto"/>
              </w:rPr>
            </w:pPr>
          </w:p>
        </w:tc>
        <w:tc>
          <w:tcPr>
            <w:tcW w:w="560" w:type="dxa"/>
            <w:vAlign w:val="bottom"/>
            <w:vMerge w:val="restart"/>
          </w:tcPr>
          <w:p>
            <w:pPr>
              <w:jc w:val="right"/>
              <w:ind w:right="13"/>
              <w:spacing w:after="0"/>
              <w:rPr>
                <w:sz w:val="20"/>
                <w:szCs w:val="20"/>
                <w:color w:val="auto"/>
              </w:rPr>
            </w:pPr>
            <w:r>
              <w:rPr>
                <w:rFonts w:ascii="Arial" w:cs="Arial" w:eastAsia="Arial" w:hAnsi="Arial"/>
                <w:sz w:val="14"/>
                <w:szCs w:val="14"/>
                <w:b w:val="1"/>
                <w:bCs w:val="1"/>
                <w:color w:val="auto"/>
              </w:rPr>
              <w:t>Target</w:t>
            </w:r>
          </w:p>
        </w:tc>
        <w:tc>
          <w:tcPr>
            <w:tcW w:w="180" w:type="dxa"/>
            <w:vAlign w:val="bottom"/>
            <w:vMerge w:val="restart"/>
          </w:tcPr>
          <w:p>
            <w:pPr>
              <w:spacing w:after="0"/>
              <w:rPr>
                <w:sz w:val="9"/>
                <w:szCs w:val="9"/>
                <w:color w:val="auto"/>
              </w:rPr>
            </w:pPr>
          </w:p>
        </w:tc>
        <w:tc>
          <w:tcPr>
            <w:tcW w:w="40" w:type="dxa"/>
            <w:vAlign w:val="bottom"/>
            <w:vMerge w:val="restart"/>
          </w:tcPr>
          <w:p>
            <w:pPr>
              <w:spacing w:after="0"/>
              <w:rPr>
                <w:sz w:val="9"/>
                <w:szCs w:val="9"/>
                <w:color w:val="auto"/>
              </w:rPr>
            </w:pPr>
          </w:p>
        </w:tc>
        <w:tc>
          <w:tcPr>
            <w:tcW w:w="500" w:type="dxa"/>
            <w:vAlign w:val="bottom"/>
            <w:vMerge w:val="restart"/>
          </w:tcPr>
          <w:p>
            <w:pPr>
              <w:jc w:val="right"/>
              <w:ind w:right="76"/>
              <w:spacing w:after="0"/>
              <w:rPr>
                <w:sz w:val="20"/>
                <w:szCs w:val="20"/>
                <w:color w:val="auto"/>
              </w:rPr>
            </w:pPr>
            <w:r>
              <w:rPr>
                <w:rFonts w:ascii="Arial" w:cs="Arial" w:eastAsia="Arial" w:hAnsi="Arial"/>
                <w:sz w:val="14"/>
                <w:szCs w:val="14"/>
                <w:b w:val="1"/>
                <w:bCs w:val="1"/>
                <w:color w:val="auto"/>
              </w:rPr>
              <w:t>Max</w:t>
            </w:r>
          </w:p>
        </w:tc>
        <w:tc>
          <w:tcPr>
            <w:tcW w:w="180" w:type="dxa"/>
            <w:vAlign w:val="bottom"/>
            <w:vMerge w:val="restart"/>
          </w:tcPr>
          <w:p>
            <w:pPr>
              <w:spacing w:after="0"/>
              <w:rPr>
                <w:sz w:val="9"/>
                <w:szCs w:val="9"/>
                <w:color w:val="auto"/>
              </w:rPr>
            </w:pPr>
          </w:p>
        </w:tc>
        <w:tc>
          <w:tcPr>
            <w:tcW w:w="64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1"/>
              </w:rPr>
              <w:t>Threshold</w:t>
            </w:r>
          </w:p>
        </w:tc>
        <w:tc>
          <w:tcPr>
            <w:tcW w:w="180" w:type="dxa"/>
            <w:vAlign w:val="bottom"/>
            <w:vMerge w:val="restart"/>
          </w:tcPr>
          <w:p>
            <w:pPr>
              <w:spacing w:after="0"/>
              <w:rPr>
                <w:sz w:val="9"/>
                <w:szCs w:val="9"/>
                <w:color w:val="auto"/>
              </w:rPr>
            </w:pPr>
          </w:p>
        </w:tc>
        <w:tc>
          <w:tcPr>
            <w:tcW w:w="54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Target</w:t>
            </w:r>
          </w:p>
        </w:tc>
        <w:tc>
          <w:tcPr>
            <w:tcW w:w="180" w:type="dxa"/>
            <w:vAlign w:val="bottom"/>
            <w:vMerge w:val="restart"/>
          </w:tcPr>
          <w:p>
            <w:pPr>
              <w:spacing w:after="0"/>
              <w:rPr>
                <w:sz w:val="9"/>
                <w:szCs w:val="9"/>
                <w:color w:val="auto"/>
              </w:rPr>
            </w:pPr>
          </w:p>
        </w:tc>
        <w:tc>
          <w:tcPr>
            <w:tcW w:w="560" w:type="dxa"/>
            <w:vAlign w:val="bottom"/>
            <w:vMerge w:val="restart"/>
          </w:tcPr>
          <w:p>
            <w:pPr>
              <w:jc w:val="right"/>
              <w:ind w:right="76"/>
              <w:spacing w:after="0"/>
              <w:rPr>
                <w:sz w:val="20"/>
                <w:szCs w:val="20"/>
                <w:color w:val="auto"/>
              </w:rPr>
            </w:pPr>
            <w:r>
              <w:rPr>
                <w:rFonts w:ascii="Arial" w:cs="Arial" w:eastAsia="Arial" w:hAnsi="Arial"/>
                <w:sz w:val="14"/>
                <w:szCs w:val="14"/>
                <w:b w:val="1"/>
                <w:bCs w:val="1"/>
                <w:color w:val="auto"/>
              </w:rPr>
              <w:t>Max</w:t>
            </w:r>
          </w:p>
        </w:tc>
        <w:tc>
          <w:tcPr>
            <w:tcW w:w="180" w:type="dxa"/>
            <w:vAlign w:val="bottom"/>
            <w:vMerge w:val="restart"/>
          </w:tcPr>
          <w:p>
            <w:pPr>
              <w:spacing w:after="0"/>
              <w:rPr>
                <w:sz w:val="9"/>
                <w:szCs w:val="9"/>
                <w:color w:val="auto"/>
              </w:rPr>
            </w:pPr>
          </w:p>
        </w:tc>
        <w:tc>
          <w:tcPr>
            <w:tcW w:w="840" w:type="dxa"/>
            <w:vAlign w:val="bottom"/>
            <w:gridSpan w:val="2"/>
            <w:vMerge w:val="continue"/>
          </w:tcPr>
          <w:p>
            <w:pPr>
              <w:spacing w:after="0"/>
              <w:rPr>
                <w:sz w:val="9"/>
                <w:szCs w:val="9"/>
                <w:color w:val="auto"/>
              </w:rPr>
            </w:pPr>
          </w:p>
        </w:tc>
        <w:tc>
          <w:tcPr>
            <w:tcW w:w="880" w:type="dxa"/>
            <w:vAlign w:val="bottom"/>
            <w:gridSpan w:val="2"/>
            <w:vMerge w:val="continue"/>
          </w:tcPr>
          <w:p>
            <w:pPr>
              <w:spacing w:after="0"/>
              <w:rPr>
                <w:sz w:val="9"/>
                <w:szCs w:val="9"/>
                <w:color w:val="auto"/>
              </w:rPr>
            </w:pPr>
          </w:p>
        </w:tc>
        <w:tc>
          <w:tcPr>
            <w:tcW w:w="880" w:type="dxa"/>
            <w:vAlign w:val="bottom"/>
            <w:gridSpan w:val="2"/>
            <w:vMerge w:val="continue"/>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71"/>
        </w:trPr>
        <w:tc>
          <w:tcPr>
            <w:tcW w:w="380" w:type="dxa"/>
            <w:vAlign w:val="bottom"/>
            <w:tcBorders>
              <w:bottom w:val="single" w:sz="8" w:color="auto"/>
            </w:tcBorders>
            <w:vMerge w:val="continue"/>
          </w:tcPr>
          <w:p>
            <w:pPr>
              <w:spacing w:after="0"/>
              <w:rPr>
                <w:sz w:val="14"/>
                <w:szCs w:val="14"/>
                <w:color w:val="auto"/>
              </w:rPr>
            </w:pPr>
          </w:p>
        </w:tc>
        <w:tc>
          <w:tcPr>
            <w:tcW w:w="1700" w:type="dxa"/>
            <w:vAlign w:val="bottom"/>
            <w:tcBorders>
              <w:bottom w:val="single" w:sz="8" w:color="CCEEFF"/>
            </w:tcBorders>
            <w:vMerge w:val="continue"/>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Type</w:t>
            </w:r>
          </w:p>
        </w:tc>
        <w:tc>
          <w:tcPr>
            <w:tcW w:w="180" w:type="dxa"/>
            <w:vAlign w:val="bottom"/>
            <w:tcBorders>
              <w:bottom w:val="single" w:sz="8" w:color="CCEEFF"/>
            </w:tcBorders>
          </w:tcPr>
          <w:p>
            <w:pPr>
              <w:spacing w:after="0"/>
              <w:rPr>
                <w:sz w:val="14"/>
                <w:szCs w:val="14"/>
                <w:color w:val="auto"/>
              </w:rPr>
            </w:pPr>
          </w:p>
        </w:tc>
        <w:tc>
          <w:tcPr>
            <w:tcW w:w="560" w:type="dxa"/>
            <w:vAlign w:val="bottom"/>
            <w:tcBorders>
              <w:bottom w:val="single" w:sz="8" w:color="auto"/>
            </w:tcBorders>
          </w:tcPr>
          <w:p>
            <w:pPr>
              <w:jc w:val="right"/>
              <w:ind w:right="75"/>
              <w:spacing w:after="0"/>
              <w:rPr>
                <w:sz w:val="20"/>
                <w:szCs w:val="20"/>
                <w:color w:val="auto"/>
              </w:rPr>
            </w:pPr>
            <w:r>
              <w:rPr>
                <w:rFonts w:ascii="Arial" w:cs="Arial" w:eastAsia="Arial" w:hAnsi="Arial"/>
                <w:sz w:val="14"/>
                <w:szCs w:val="14"/>
                <w:b w:val="1"/>
                <w:bCs w:val="1"/>
                <w:color w:val="auto"/>
              </w:rPr>
              <w:t>Date</w:t>
            </w:r>
          </w:p>
        </w:tc>
        <w:tc>
          <w:tcPr>
            <w:tcW w:w="180" w:type="dxa"/>
            <w:vAlign w:val="bottom"/>
            <w:tcBorders>
              <w:bottom w:val="single" w:sz="8" w:color="CCEEFF"/>
            </w:tcBorders>
          </w:tcPr>
          <w:p>
            <w:pPr>
              <w:spacing w:after="0"/>
              <w:rPr>
                <w:sz w:val="14"/>
                <w:szCs w:val="14"/>
                <w:color w:val="auto"/>
              </w:rPr>
            </w:pPr>
          </w:p>
        </w:tc>
        <w:tc>
          <w:tcPr>
            <w:tcW w:w="620" w:type="dxa"/>
            <w:vAlign w:val="bottom"/>
            <w:tcBorders>
              <w:bottom w:val="single" w:sz="8" w:color="auto"/>
            </w:tcBorders>
            <w:vMerge w:val="continue"/>
          </w:tcPr>
          <w:p>
            <w:pPr>
              <w:spacing w:after="0"/>
              <w:rPr>
                <w:sz w:val="14"/>
                <w:szCs w:val="14"/>
                <w:color w:val="auto"/>
              </w:rPr>
            </w:pPr>
          </w:p>
        </w:tc>
        <w:tc>
          <w:tcPr>
            <w:tcW w:w="180" w:type="dxa"/>
            <w:vAlign w:val="bottom"/>
            <w:tcBorders>
              <w:bottom w:val="single" w:sz="8" w:color="CCEEFF"/>
            </w:tcBorders>
          </w:tcPr>
          <w:p>
            <w:pPr>
              <w:spacing w:after="0"/>
              <w:rPr>
                <w:sz w:val="14"/>
                <w:szCs w:val="14"/>
                <w:color w:val="auto"/>
              </w:rPr>
            </w:pPr>
          </w:p>
        </w:tc>
        <w:tc>
          <w:tcPr>
            <w:tcW w:w="560" w:type="dxa"/>
            <w:vAlign w:val="bottom"/>
            <w:tcBorders>
              <w:bottom w:val="single" w:sz="8" w:color="auto"/>
            </w:tcBorders>
            <w:vMerge w:val="continue"/>
          </w:tcPr>
          <w:p>
            <w:pPr>
              <w:spacing w:after="0"/>
              <w:rPr>
                <w:sz w:val="14"/>
                <w:szCs w:val="14"/>
                <w:color w:val="auto"/>
              </w:rPr>
            </w:pPr>
          </w:p>
        </w:tc>
        <w:tc>
          <w:tcPr>
            <w:tcW w:w="180" w:type="dxa"/>
            <w:vAlign w:val="bottom"/>
            <w:tcBorders>
              <w:bottom w:val="single" w:sz="8" w:color="CCEEFF"/>
            </w:tcBorders>
            <w:vMerge w:val="continue"/>
          </w:tcPr>
          <w:p>
            <w:pPr>
              <w:spacing w:after="0"/>
              <w:rPr>
                <w:sz w:val="14"/>
                <w:szCs w:val="14"/>
                <w:color w:val="auto"/>
              </w:rPr>
            </w:pPr>
          </w:p>
        </w:tc>
        <w:tc>
          <w:tcPr>
            <w:tcW w:w="40" w:type="dxa"/>
            <w:vAlign w:val="bottom"/>
            <w:tcBorders>
              <w:bottom w:val="single" w:sz="8" w:color="auto"/>
            </w:tcBorders>
            <w:vMerge w:val="continue"/>
          </w:tcPr>
          <w:p>
            <w:pPr>
              <w:spacing w:after="0"/>
              <w:rPr>
                <w:sz w:val="14"/>
                <w:szCs w:val="14"/>
                <w:color w:val="auto"/>
              </w:rPr>
            </w:pPr>
          </w:p>
        </w:tc>
        <w:tc>
          <w:tcPr>
            <w:tcW w:w="500" w:type="dxa"/>
            <w:vAlign w:val="bottom"/>
            <w:tcBorders>
              <w:bottom w:val="single" w:sz="8" w:color="auto"/>
            </w:tcBorders>
            <w:vMerge w:val="continue"/>
          </w:tcPr>
          <w:p>
            <w:pPr>
              <w:spacing w:after="0"/>
              <w:rPr>
                <w:sz w:val="14"/>
                <w:szCs w:val="14"/>
                <w:color w:val="auto"/>
              </w:rPr>
            </w:pPr>
          </w:p>
        </w:tc>
        <w:tc>
          <w:tcPr>
            <w:tcW w:w="180" w:type="dxa"/>
            <w:vAlign w:val="bottom"/>
            <w:tcBorders>
              <w:bottom w:val="single" w:sz="8" w:color="CCEEFF"/>
            </w:tcBorders>
            <w:vMerge w:val="continue"/>
          </w:tcPr>
          <w:p>
            <w:pPr>
              <w:spacing w:after="0"/>
              <w:rPr>
                <w:sz w:val="14"/>
                <w:szCs w:val="14"/>
                <w:color w:val="auto"/>
              </w:rPr>
            </w:pPr>
          </w:p>
        </w:tc>
        <w:tc>
          <w:tcPr>
            <w:tcW w:w="640" w:type="dxa"/>
            <w:vAlign w:val="bottom"/>
            <w:tcBorders>
              <w:bottom w:val="single" w:sz="8" w:color="auto"/>
            </w:tcBorders>
            <w:vMerge w:val="continue"/>
          </w:tcPr>
          <w:p>
            <w:pPr>
              <w:spacing w:after="0"/>
              <w:rPr>
                <w:sz w:val="14"/>
                <w:szCs w:val="14"/>
                <w:color w:val="auto"/>
              </w:rPr>
            </w:pPr>
          </w:p>
        </w:tc>
        <w:tc>
          <w:tcPr>
            <w:tcW w:w="180" w:type="dxa"/>
            <w:vAlign w:val="bottom"/>
            <w:tcBorders>
              <w:bottom w:val="single" w:sz="8" w:color="CCEEFF"/>
            </w:tcBorders>
            <w:vMerge w:val="continue"/>
          </w:tcPr>
          <w:p>
            <w:pPr>
              <w:spacing w:after="0"/>
              <w:rPr>
                <w:sz w:val="14"/>
                <w:szCs w:val="14"/>
                <w:color w:val="auto"/>
              </w:rPr>
            </w:pPr>
          </w:p>
        </w:tc>
        <w:tc>
          <w:tcPr>
            <w:tcW w:w="540" w:type="dxa"/>
            <w:vAlign w:val="bottom"/>
            <w:tcBorders>
              <w:bottom w:val="single" w:sz="8" w:color="auto"/>
            </w:tcBorders>
            <w:vMerge w:val="continue"/>
          </w:tcPr>
          <w:p>
            <w:pPr>
              <w:spacing w:after="0"/>
              <w:rPr>
                <w:sz w:val="14"/>
                <w:szCs w:val="14"/>
                <w:color w:val="auto"/>
              </w:rPr>
            </w:pPr>
          </w:p>
        </w:tc>
        <w:tc>
          <w:tcPr>
            <w:tcW w:w="180" w:type="dxa"/>
            <w:vAlign w:val="bottom"/>
            <w:tcBorders>
              <w:bottom w:val="single" w:sz="8" w:color="CCEEFF"/>
            </w:tcBorders>
            <w:vMerge w:val="continue"/>
          </w:tcPr>
          <w:p>
            <w:pPr>
              <w:spacing w:after="0"/>
              <w:rPr>
                <w:sz w:val="14"/>
                <w:szCs w:val="14"/>
                <w:color w:val="auto"/>
              </w:rPr>
            </w:pPr>
          </w:p>
        </w:tc>
        <w:tc>
          <w:tcPr>
            <w:tcW w:w="560" w:type="dxa"/>
            <w:vAlign w:val="bottom"/>
            <w:tcBorders>
              <w:bottom w:val="single" w:sz="8" w:color="auto"/>
            </w:tcBorders>
            <w:vMerge w:val="continue"/>
          </w:tcPr>
          <w:p>
            <w:pPr>
              <w:spacing w:after="0"/>
              <w:rPr>
                <w:sz w:val="14"/>
                <w:szCs w:val="14"/>
                <w:color w:val="auto"/>
              </w:rPr>
            </w:pPr>
          </w:p>
        </w:tc>
        <w:tc>
          <w:tcPr>
            <w:tcW w:w="180" w:type="dxa"/>
            <w:vAlign w:val="bottom"/>
            <w:tcBorders>
              <w:bottom w:val="single" w:sz="8" w:color="CCEEFF"/>
            </w:tcBorders>
            <w:vMerge w:val="continue"/>
          </w:tcPr>
          <w:p>
            <w:pPr>
              <w:spacing w:after="0"/>
              <w:rPr>
                <w:sz w:val="14"/>
                <w:szCs w:val="14"/>
                <w:color w:val="auto"/>
              </w:rPr>
            </w:pPr>
          </w:p>
        </w:tc>
        <w:tc>
          <w:tcPr>
            <w:tcW w:w="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 xml:space="preserve">(#) </w:t>
            </w:r>
            <w:r>
              <w:rPr>
                <w:rFonts w:ascii="Arial" w:cs="Arial" w:eastAsia="Arial" w:hAnsi="Arial"/>
                <w:sz w:val="12"/>
                <w:szCs w:val="12"/>
                <w:b w:val="1"/>
                <w:bCs w:val="1"/>
                <w:color w:val="auto"/>
                <w:w w:val="95"/>
              </w:rPr>
              <w:t>(2)</w:t>
            </w:r>
          </w:p>
        </w:tc>
        <w:tc>
          <w:tcPr>
            <w:tcW w:w="180" w:type="dxa"/>
            <w:vAlign w:val="bottom"/>
            <w:tcBorders>
              <w:bottom w:val="single" w:sz="8" w:color="CCEEFF"/>
            </w:tcBorders>
          </w:tcPr>
          <w:p>
            <w:pPr>
              <w:spacing w:after="0"/>
              <w:rPr>
                <w:sz w:val="14"/>
                <w:szCs w:val="14"/>
                <w:color w:val="auto"/>
              </w:rPr>
            </w:pPr>
          </w:p>
        </w:tc>
        <w:tc>
          <w:tcPr>
            <w:tcW w:w="7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w:t>
            </w:r>
          </w:p>
        </w:tc>
        <w:tc>
          <w:tcPr>
            <w:tcW w:w="180" w:type="dxa"/>
            <w:vAlign w:val="bottom"/>
            <w:tcBorders>
              <w:bottom w:val="single" w:sz="8" w:color="CCEEFF"/>
            </w:tcBorders>
          </w:tcPr>
          <w:p>
            <w:pPr>
              <w:spacing w:after="0"/>
              <w:rPr>
                <w:sz w:val="14"/>
                <w:szCs w:val="14"/>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($/Sh)</w:t>
            </w:r>
          </w:p>
        </w:tc>
        <w:tc>
          <w:tcPr>
            <w:tcW w:w="200" w:type="dxa"/>
            <w:vAlign w:val="bottom"/>
            <w:tcBorders>
              <w:bottom w:val="single" w:sz="8" w:color="CCEEFF"/>
            </w:tcBorders>
          </w:tcPr>
          <w:p>
            <w:pPr>
              <w:spacing w:after="0"/>
              <w:rPr>
                <w:sz w:val="14"/>
                <w:szCs w:val="14"/>
                <w:color w:val="auto"/>
              </w:rPr>
            </w:pPr>
          </w:p>
        </w:tc>
        <w:tc>
          <w:tcPr>
            <w:tcW w:w="7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 xml:space="preserve">($) </w:t>
            </w:r>
            <w:r>
              <w:rPr>
                <w:rFonts w:ascii="Arial" w:cs="Arial" w:eastAsia="Arial" w:hAnsi="Arial"/>
                <w:sz w:val="12"/>
                <w:szCs w:val="12"/>
                <w:b w:val="1"/>
                <w:bCs w:val="1"/>
                <w:color w:val="auto"/>
                <w:w w:val="95"/>
              </w:rPr>
              <w:t>(3)</w:t>
            </w:r>
          </w:p>
        </w:tc>
        <w:tc>
          <w:tcPr>
            <w:tcW w:w="4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80" w:type="dxa"/>
            <w:vAlign w:val="bottom"/>
            <w:gridSpan w:val="2"/>
            <w:shd w:val="clear" w:color="auto" w:fill="CCEEFF"/>
          </w:tcPr>
          <w:p>
            <w:pPr>
              <w:spacing w:after="0" w:line="114" w:lineRule="exact"/>
              <w:rPr>
                <w:sz w:val="20"/>
                <w:szCs w:val="20"/>
                <w:color w:val="auto"/>
              </w:rPr>
            </w:pPr>
            <w:r>
              <w:rPr>
                <w:rFonts w:ascii="Arial" w:cs="Arial" w:eastAsia="Arial" w:hAnsi="Arial"/>
                <w:sz w:val="13"/>
                <w:szCs w:val="13"/>
                <w:color w:val="auto"/>
              </w:rPr>
              <w:t>Mr. McInerney</w:t>
            </w:r>
          </w:p>
        </w:tc>
        <w:tc>
          <w:tcPr>
            <w:tcW w:w="120" w:type="dxa"/>
            <w:vAlign w:val="bottom"/>
            <w:shd w:val="clear" w:color="auto" w:fill="CCEEFF"/>
          </w:tcPr>
          <w:p>
            <w:pPr>
              <w:spacing w:after="0"/>
              <w:rPr>
                <w:sz w:val="9"/>
                <w:szCs w:val="9"/>
                <w:color w:val="auto"/>
              </w:rPr>
            </w:pPr>
          </w:p>
        </w:tc>
        <w:tc>
          <w:tcPr>
            <w:tcW w:w="420" w:type="dxa"/>
            <w:vAlign w:val="bottom"/>
            <w:shd w:val="clear" w:color="auto" w:fill="CCEEFF"/>
          </w:tcPr>
          <w:p>
            <w:pPr>
              <w:jc w:val="right"/>
              <w:spacing w:after="0" w:line="114" w:lineRule="exact"/>
              <w:rPr>
                <w:sz w:val="20"/>
                <w:szCs w:val="20"/>
                <w:color w:val="auto"/>
              </w:rPr>
            </w:pPr>
            <w:r>
              <w:rPr>
                <w:rFonts w:ascii="Arial" w:cs="Arial" w:eastAsia="Arial" w:hAnsi="Arial"/>
                <w:sz w:val="13"/>
                <w:szCs w:val="13"/>
                <w:color w:val="auto"/>
              </w:rPr>
              <w:t>AI</w:t>
            </w:r>
          </w:p>
        </w:tc>
        <w:tc>
          <w:tcPr>
            <w:tcW w:w="180" w:type="dxa"/>
            <w:vAlign w:val="bottom"/>
            <w:shd w:val="clear" w:color="auto" w:fill="CCEEFF"/>
          </w:tcPr>
          <w:p>
            <w:pPr>
              <w:spacing w:after="0"/>
              <w:rPr>
                <w:sz w:val="9"/>
                <w:szCs w:val="9"/>
                <w:color w:val="auto"/>
              </w:rPr>
            </w:pPr>
          </w:p>
        </w:tc>
        <w:tc>
          <w:tcPr>
            <w:tcW w:w="560" w:type="dxa"/>
            <w:vAlign w:val="bottom"/>
            <w:shd w:val="clear" w:color="auto" w:fill="CCEEFF"/>
          </w:tcPr>
          <w:p>
            <w:pPr>
              <w:spacing w:after="0"/>
              <w:rPr>
                <w:sz w:val="9"/>
                <w:szCs w:val="9"/>
                <w:color w:val="auto"/>
              </w:rPr>
            </w:pPr>
          </w:p>
        </w:tc>
        <w:tc>
          <w:tcPr>
            <w:tcW w:w="180" w:type="dxa"/>
            <w:vAlign w:val="bottom"/>
            <w:shd w:val="clear" w:color="auto" w:fill="CCEEFF"/>
          </w:tcPr>
          <w:p>
            <w:pPr>
              <w:spacing w:after="0"/>
              <w:rPr>
                <w:sz w:val="9"/>
                <w:szCs w:val="9"/>
                <w:color w:val="auto"/>
              </w:rPr>
            </w:pPr>
          </w:p>
        </w:tc>
        <w:tc>
          <w:tcPr>
            <w:tcW w:w="620" w:type="dxa"/>
            <w:vAlign w:val="bottom"/>
            <w:shd w:val="clear" w:color="auto" w:fill="CCEEFF"/>
          </w:tcPr>
          <w:p>
            <w:pPr>
              <w:ind w:left="440"/>
              <w:spacing w:after="0" w:line="114" w:lineRule="exact"/>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9"/>
                <w:szCs w:val="9"/>
                <w:color w:val="auto"/>
              </w:rPr>
            </w:pPr>
          </w:p>
        </w:tc>
        <w:tc>
          <w:tcPr>
            <w:tcW w:w="560" w:type="dxa"/>
            <w:vAlign w:val="bottom"/>
            <w:shd w:val="clear" w:color="auto" w:fill="CCEEFF"/>
          </w:tcPr>
          <w:p>
            <w:pPr>
              <w:jc w:val="right"/>
              <w:spacing w:after="0" w:line="114" w:lineRule="exact"/>
              <w:rPr>
                <w:sz w:val="20"/>
                <w:szCs w:val="20"/>
                <w:color w:val="auto"/>
              </w:rPr>
            </w:pPr>
            <w:r>
              <w:rPr>
                <w:rFonts w:ascii="Arial" w:cs="Arial" w:eastAsia="Arial" w:hAnsi="Arial"/>
                <w:sz w:val="13"/>
                <w:szCs w:val="13"/>
                <w:color w:val="auto"/>
                <w:w w:val="93"/>
              </w:rPr>
              <w:t>2,000,000</w:t>
            </w:r>
          </w:p>
        </w:tc>
        <w:tc>
          <w:tcPr>
            <w:tcW w:w="180" w:type="dxa"/>
            <w:vAlign w:val="bottom"/>
            <w:shd w:val="clear" w:color="auto" w:fill="CCEEFF"/>
          </w:tcPr>
          <w:p>
            <w:pPr>
              <w:spacing w:after="0"/>
              <w:rPr>
                <w:sz w:val="9"/>
                <w:szCs w:val="9"/>
                <w:color w:val="auto"/>
              </w:rPr>
            </w:pPr>
          </w:p>
        </w:tc>
        <w:tc>
          <w:tcPr>
            <w:tcW w:w="40" w:type="dxa"/>
            <w:vAlign w:val="bottom"/>
            <w:shd w:val="clear" w:color="auto" w:fill="CCEEFF"/>
          </w:tcPr>
          <w:p>
            <w:pPr>
              <w:spacing w:after="0"/>
              <w:rPr>
                <w:sz w:val="9"/>
                <w:szCs w:val="9"/>
                <w:color w:val="auto"/>
              </w:rPr>
            </w:pPr>
          </w:p>
        </w:tc>
        <w:tc>
          <w:tcPr>
            <w:tcW w:w="500" w:type="dxa"/>
            <w:vAlign w:val="bottom"/>
            <w:shd w:val="clear" w:color="auto" w:fill="CCEEFF"/>
          </w:tcPr>
          <w:p>
            <w:pPr>
              <w:jc w:val="right"/>
              <w:spacing w:after="0" w:line="114" w:lineRule="exact"/>
              <w:rPr>
                <w:sz w:val="20"/>
                <w:szCs w:val="20"/>
                <w:color w:val="auto"/>
              </w:rPr>
            </w:pPr>
            <w:r>
              <w:rPr>
                <w:rFonts w:ascii="Arial" w:cs="Arial" w:eastAsia="Arial" w:hAnsi="Arial"/>
                <w:sz w:val="13"/>
                <w:szCs w:val="13"/>
                <w:color w:val="auto"/>
                <w:w w:val="82"/>
              </w:rPr>
              <w:t>4,000,000</w:t>
            </w:r>
          </w:p>
        </w:tc>
        <w:tc>
          <w:tcPr>
            <w:tcW w:w="18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80" w:type="dxa"/>
            <w:vAlign w:val="bottom"/>
            <w:shd w:val="clear" w:color="auto" w:fill="CCEEFF"/>
          </w:tcPr>
          <w:p>
            <w:pPr>
              <w:spacing w:after="0"/>
              <w:rPr>
                <w:sz w:val="9"/>
                <w:szCs w:val="9"/>
                <w:color w:val="auto"/>
              </w:rPr>
            </w:pPr>
          </w:p>
        </w:tc>
        <w:tc>
          <w:tcPr>
            <w:tcW w:w="540" w:type="dxa"/>
            <w:vAlign w:val="bottom"/>
            <w:shd w:val="clear" w:color="auto" w:fill="CCEEFF"/>
          </w:tcPr>
          <w:p>
            <w:pPr>
              <w:spacing w:after="0"/>
              <w:rPr>
                <w:sz w:val="9"/>
                <w:szCs w:val="9"/>
                <w:color w:val="auto"/>
              </w:rPr>
            </w:pPr>
          </w:p>
        </w:tc>
        <w:tc>
          <w:tcPr>
            <w:tcW w:w="180" w:type="dxa"/>
            <w:vAlign w:val="bottom"/>
            <w:shd w:val="clear" w:color="auto" w:fill="CCEEFF"/>
          </w:tcPr>
          <w:p>
            <w:pPr>
              <w:spacing w:after="0"/>
              <w:rPr>
                <w:sz w:val="9"/>
                <w:szCs w:val="9"/>
                <w:color w:val="auto"/>
              </w:rPr>
            </w:pPr>
          </w:p>
        </w:tc>
        <w:tc>
          <w:tcPr>
            <w:tcW w:w="560" w:type="dxa"/>
            <w:vAlign w:val="bottom"/>
            <w:shd w:val="clear" w:color="auto" w:fill="CCEEFF"/>
          </w:tcPr>
          <w:p>
            <w:pPr>
              <w:spacing w:after="0"/>
              <w:rPr>
                <w:sz w:val="9"/>
                <w:szCs w:val="9"/>
                <w:color w:val="auto"/>
              </w:rPr>
            </w:pPr>
          </w:p>
        </w:tc>
        <w:tc>
          <w:tcPr>
            <w:tcW w:w="180" w:type="dxa"/>
            <w:vAlign w:val="bottom"/>
            <w:shd w:val="clear" w:color="auto" w:fill="CCEEFF"/>
          </w:tcPr>
          <w:p>
            <w:pPr>
              <w:spacing w:after="0"/>
              <w:rPr>
                <w:sz w:val="9"/>
                <w:szCs w:val="9"/>
                <w:color w:val="auto"/>
              </w:rPr>
            </w:pPr>
          </w:p>
        </w:tc>
        <w:tc>
          <w:tcPr>
            <w:tcW w:w="660" w:type="dxa"/>
            <w:vAlign w:val="bottom"/>
            <w:shd w:val="clear" w:color="auto" w:fill="CCEEFF"/>
          </w:tcPr>
          <w:p>
            <w:pPr>
              <w:spacing w:after="0"/>
              <w:rPr>
                <w:sz w:val="9"/>
                <w:szCs w:val="9"/>
                <w:color w:val="auto"/>
              </w:rPr>
            </w:pPr>
          </w:p>
        </w:tc>
        <w:tc>
          <w:tcPr>
            <w:tcW w:w="180" w:type="dxa"/>
            <w:vAlign w:val="bottom"/>
            <w:shd w:val="clear" w:color="auto" w:fill="CCEEFF"/>
          </w:tcPr>
          <w:p>
            <w:pPr>
              <w:spacing w:after="0"/>
              <w:rPr>
                <w:sz w:val="9"/>
                <w:szCs w:val="9"/>
                <w:color w:val="auto"/>
              </w:rPr>
            </w:pPr>
          </w:p>
        </w:tc>
        <w:tc>
          <w:tcPr>
            <w:tcW w:w="700" w:type="dxa"/>
            <w:vAlign w:val="bottom"/>
            <w:shd w:val="clear" w:color="auto" w:fill="CCEEFF"/>
          </w:tcPr>
          <w:p>
            <w:pPr>
              <w:spacing w:after="0"/>
              <w:rPr>
                <w:sz w:val="9"/>
                <w:szCs w:val="9"/>
                <w:color w:val="auto"/>
              </w:rPr>
            </w:pPr>
          </w:p>
        </w:tc>
        <w:tc>
          <w:tcPr>
            <w:tcW w:w="180" w:type="dxa"/>
            <w:vAlign w:val="bottom"/>
            <w:shd w:val="clear" w:color="auto" w:fill="CCEEFF"/>
          </w:tcPr>
          <w:p>
            <w:pPr>
              <w:spacing w:after="0"/>
              <w:rPr>
                <w:sz w:val="9"/>
                <w:szCs w:val="9"/>
                <w:color w:val="auto"/>
              </w:rPr>
            </w:pPr>
          </w:p>
        </w:tc>
        <w:tc>
          <w:tcPr>
            <w:tcW w:w="680" w:type="dxa"/>
            <w:vAlign w:val="bottom"/>
            <w:shd w:val="clear" w:color="auto" w:fill="CCEEFF"/>
          </w:tcPr>
          <w:p>
            <w:pPr>
              <w:spacing w:after="0"/>
              <w:rPr>
                <w:sz w:val="9"/>
                <w:szCs w:val="9"/>
                <w:color w:val="auto"/>
              </w:rPr>
            </w:pPr>
          </w:p>
        </w:tc>
        <w:tc>
          <w:tcPr>
            <w:tcW w:w="200" w:type="dxa"/>
            <w:vAlign w:val="bottom"/>
            <w:shd w:val="clear" w:color="auto" w:fill="CCEEFF"/>
          </w:tcPr>
          <w:p>
            <w:pPr>
              <w:spacing w:after="0"/>
              <w:rPr>
                <w:sz w:val="9"/>
                <w:szCs w:val="9"/>
                <w:color w:val="auto"/>
              </w:rPr>
            </w:pPr>
          </w:p>
        </w:tc>
        <w:tc>
          <w:tcPr>
            <w:tcW w:w="700" w:type="dxa"/>
            <w:vAlign w:val="bottom"/>
            <w:shd w:val="clear" w:color="auto" w:fill="CCEEFF"/>
          </w:tcPr>
          <w:p>
            <w:pPr>
              <w:spacing w:after="0"/>
              <w:rPr>
                <w:sz w:val="9"/>
                <w:szCs w:val="9"/>
                <w:color w:val="auto"/>
              </w:rPr>
            </w:pPr>
          </w:p>
        </w:tc>
        <w:tc>
          <w:tcPr>
            <w:tcW w:w="40" w:type="dxa"/>
            <w:vAlign w:val="bottom"/>
            <w:shd w:val="clear" w:color="auto" w:fill="CCEEFF"/>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PSU</w:t>
            </w: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w w:val="93"/>
              </w:rPr>
              <w:t>3/16/2016</w:t>
            </w:r>
          </w:p>
        </w:tc>
        <w:tc>
          <w:tcPr>
            <w:tcW w:w="6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750,000</w:t>
            </w:r>
          </w:p>
        </w:tc>
        <w:tc>
          <w:tcPr>
            <w:tcW w:w="5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9"/>
              </w:rPr>
              <w:t>1,500,000</w:t>
            </w:r>
          </w:p>
        </w:tc>
        <w:tc>
          <w:tcPr>
            <w:tcW w:w="1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w w:val="93"/>
              </w:rPr>
              <w:t>1,875,000</w:t>
            </w:r>
          </w:p>
        </w:tc>
        <w:tc>
          <w:tcPr>
            <w:tcW w:w="6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4,215,000</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21"/>
        </w:trPr>
        <w:tc>
          <w:tcPr>
            <w:tcW w:w="2080" w:type="dxa"/>
            <w:vAlign w:val="bottom"/>
            <w:gridSpan w:val="2"/>
          </w:tcPr>
          <w:p>
            <w:pPr>
              <w:spacing w:after="0" w:line="121" w:lineRule="exact"/>
              <w:rPr>
                <w:sz w:val="20"/>
                <w:szCs w:val="20"/>
                <w:color w:val="auto"/>
              </w:rPr>
            </w:pPr>
            <w:r>
              <w:rPr>
                <w:rFonts w:ascii="Arial" w:cs="Arial" w:eastAsia="Arial" w:hAnsi="Arial"/>
                <w:sz w:val="13"/>
                <w:szCs w:val="13"/>
                <w:color w:val="auto"/>
              </w:rPr>
              <w:t>Ms. Groh</w:t>
            </w:r>
          </w:p>
        </w:tc>
        <w:tc>
          <w:tcPr>
            <w:tcW w:w="120" w:type="dxa"/>
            <w:vAlign w:val="bottom"/>
          </w:tcPr>
          <w:p>
            <w:pPr>
              <w:spacing w:after="0"/>
              <w:rPr>
                <w:sz w:val="10"/>
                <w:szCs w:val="10"/>
                <w:color w:val="auto"/>
              </w:rPr>
            </w:pPr>
          </w:p>
        </w:tc>
        <w:tc>
          <w:tcPr>
            <w:tcW w:w="600" w:type="dxa"/>
            <w:vAlign w:val="bottom"/>
            <w:gridSpan w:val="2"/>
          </w:tcPr>
          <w:p>
            <w:pPr>
              <w:jc w:val="right"/>
              <w:ind w:right="180"/>
              <w:spacing w:after="0" w:line="121" w:lineRule="exact"/>
              <w:rPr>
                <w:sz w:val="20"/>
                <w:szCs w:val="20"/>
                <w:color w:val="auto"/>
              </w:rPr>
            </w:pPr>
            <w:r>
              <w:rPr>
                <w:rFonts w:ascii="Arial" w:cs="Arial" w:eastAsia="Arial" w:hAnsi="Arial"/>
                <w:sz w:val="13"/>
                <w:szCs w:val="13"/>
                <w:color w:val="auto"/>
              </w:rPr>
              <w:t>AI</w:t>
            </w:r>
          </w:p>
        </w:tc>
        <w:tc>
          <w:tcPr>
            <w:tcW w:w="5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20" w:type="dxa"/>
            <w:vAlign w:val="bottom"/>
          </w:tcPr>
          <w:p>
            <w:pPr>
              <w:ind w:left="440"/>
              <w:spacing w:after="0" w:line="121" w:lineRule="exact"/>
              <w:rPr>
                <w:sz w:val="20"/>
                <w:szCs w:val="20"/>
                <w:color w:val="auto"/>
              </w:rPr>
            </w:pPr>
            <w:r>
              <w:rPr>
                <w:rFonts w:ascii="Arial" w:cs="Arial" w:eastAsia="Arial" w:hAnsi="Arial"/>
                <w:sz w:val="13"/>
                <w:szCs w:val="13"/>
                <w:color w:val="auto"/>
              </w:rPr>
              <w:t>—</w:t>
            </w:r>
          </w:p>
        </w:tc>
        <w:tc>
          <w:tcPr>
            <w:tcW w:w="920" w:type="dxa"/>
            <w:vAlign w:val="bottom"/>
            <w:gridSpan w:val="3"/>
          </w:tcPr>
          <w:p>
            <w:pPr>
              <w:jc w:val="right"/>
              <w:ind w:right="180"/>
              <w:spacing w:after="0" w:line="121" w:lineRule="exact"/>
              <w:rPr>
                <w:sz w:val="20"/>
                <w:szCs w:val="20"/>
                <w:color w:val="auto"/>
              </w:rPr>
            </w:pPr>
            <w:r>
              <w:rPr>
                <w:rFonts w:ascii="Arial" w:cs="Arial" w:eastAsia="Arial" w:hAnsi="Arial"/>
                <w:sz w:val="13"/>
                <w:szCs w:val="13"/>
                <w:color w:val="auto"/>
              </w:rPr>
              <w:t>550,000</w:t>
            </w:r>
          </w:p>
        </w:tc>
        <w:tc>
          <w:tcPr>
            <w:tcW w:w="40" w:type="dxa"/>
            <w:vAlign w:val="bottom"/>
          </w:tcPr>
          <w:p>
            <w:pPr>
              <w:spacing w:after="0"/>
              <w:rPr>
                <w:sz w:val="10"/>
                <w:szCs w:val="10"/>
                <w:color w:val="auto"/>
              </w:rPr>
            </w:pPr>
          </w:p>
        </w:tc>
        <w:tc>
          <w:tcPr>
            <w:tcW w:w="500" w:type="dxa"/>
            <w:vAlign w:val="bottom"/>
          </w:tcPr>
          <w:p>
            <w:pPr>
              <w:jc w:val="right"/>
              <w:spacing w:after="0" w:line="121" w:lineRule="exact"/>
              <w:rPr>
                <w:sz w:val="20"/>
                <w:szCs w:val="20"/>
                <w:color w:val="auto"/>
              </w:rPr>
            </w:pPr>
            <w:r>
              <w:rPr>
                <w:rFonts w:ascii="Arial" w:cs="Arial" w:eastAsia="Arial" w:hAnsi="Arial"/>
                <w:sz w:val="13"/>
                <w:szCs w:val="13"/>
                <w:color w:val="auto"/>
                <w:w w:val="82"/>
              </w:rPr>
              <w:t>1,100,000</w:t>
            </w:r>
          </w:p>
        </w:tc>
        <w:tc>
          <w:tcPr>
            <w:tcW w:w="1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380" w:type="dxa"/>
            <w:vAlign w:val="bottom"/>
          </w:tcPr>
          <w:p>
            <w:pPr>
              <w:spacing w:after="0"/>
              <w:rPr>
                <w:sz w:val="11"/>
                <w:szCs w:val="11"/>
                <w:color w:val="auto"/>
              </w:rPr>
            </w:pPr>
          </w:p>
        </w:tc>
        <w:tc>
          <w:tcPr>
            <w:tcW w:w="17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rPr>
              <w:t>RSU</w:t>
            </w:r>
          </w:p>
        </w:tc>
        <w:tc>
          <w:tcPr>
            <w:tcW w:w="74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w w:val="93"/>
              </w:rPr>
              <w:t>2/25/2016</w:t>
            </w: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4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rPr>
              <w:t>180,000</w:t>
            </w: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gridSpan w:val="2"/>
          </w:tcPr>
          <w:p>
            <w:pPr>
              <w:jc w:val="right"/>
              <w:ind w:right="40"/>
              <w:spacing w:after="0" w:line="135" w:lineRule="exact"/>
              <w:rPr>
                <w:sz w:val="20"/>
                <w:szCs w:val="20"/>
                <w:color w:val="auto"/>
              </w:rPr>
            </w:pPr>
            <w:r>
              <w:rPr>
                <w:rFonts w:ascii="Arial" w:cs="Arial" w:eastAsia="Arial" w:hAnsi="Arial"/>
                <w:sz w:val="13"/>
                <w:szCs w:val="13"/>
                <w:color w:val="auto"/>
              </w:rPr>
              <w:t>354,600</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3"/>
                <w:szCs w:val="13"/>
                <w:color w:val="auto"/>
              </w:rPr>
              <w:t>PSU</w:t>
            </w:r>
          </w:p>
        </w:tc>
        <w:tc>
          <w:tcPr>
            <w:tcW w:w="740" w:type="dxa"/>
            <w:vAlign w:val="bottom"/>
            <w:gridSpan w:val="2"/>
          </w:tcPr>
          <w:p>
            <w:pPr>
              <w:jc w:val="right"/>
              <w:ind w:right="180"/>
              <w:spacing w:after="0"/>
              <w:rPr>
                <w:sz w:val="20"/>
                <w:szCs w:val="20"/>
                <w:color w:val="auto"/>
              </w:rPr>
            </w:pPr>
            <w:r>
              <w:rPr>
                <w:rFonts w:ascii="Arial" w:cs="Arial" w:eastAsia="Arial" w:hAnsi="Arial"/>
                <w:sz w:val="13"/>
                <w:szCs w:val="13"/>
                <w:color w:val="auto"/>
                <w:w w:val="93"/>
              </w:rPr>
              <w:t>3/16/2016</w:t>
            </w:r>
          </w:p>
        </w:tc>
        <w:tc>
          <w:tcPr>
            <w:tcW w:w="6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3"/>
                <w:szCs w:val="13"/>
                <w:color w:val="auto"/>
              </w:rPr>
              <w:t>90,000</w:t>
            </w:r>
          </w:p>
        </w:tc>
        <w:tc>
          <w:tcPr>
            <w:tcW w:w="540" w:type="dxa"/>
            <w:vAlign w:val="bottom"/>
          </w:tcPr>
          <w:p>
            <w:pPr>
              <w:jc w:val="right"/>
              <w:spacing w:after="0"/>
              <w:rPr>
                <w:sz w:val="20"/>
                <w:szCs w:val="20"/>
                <w:color w:val="auto"/>
              </w:rPr>
            </w:pPr>
            <w:r>
              <w:rPr>
                <w:rFonts w:ascii="Arial" w:cs="Arial" w:eastAsia="Arial" w:hAnsi="Arial"/>
                <w:sz w:val="13"/>
                <w:szCs w:val="13"/>
                <w:color w:val="auto"/>
              </w:rPr>
              <w:t>180,000</w:t>
            </w:r>
          </w:p>
        </w:tc>
        <w:tc>
          <w:tcPr>
            <w:tcW w:w="180" w:type="dxa"/>
            <w:vAlign w:val="bottom"/>
          </w:tcPr>
          <w:p>
            <w:pPr>
              <w:spacing w:after="0"/>
              <w:rPr>
                <w:sz w:val="12"/>
                <w:szCs w:val="12"/>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3"/>
                <w:szCs w:val="13"/>
                <w:color w:val="auto"/>
              </w:rPr>
              <w:t>225,000</w:t>
            </w: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3"/>
                <w:szCs w:val="13"/>
                <w:color w:val="auto"/>
              </w:rPr>
              <w:t>505,800</w:t>
            </w:r>
          </w:p>
        </w:tc>
        <w:tc>
          <w:tcPr>
            <w:tcW w:w="0" w:type="dxa"/>
            <w:vAlign w:val="bottom"/>
          </w:tcPr>
          <w:p>
            <w:pPr>
              <w:spacing w:after="0"/>
              <w:rPr>
                <w:sz w:val="1"/>
                <w:szCs w:val="1"/>
                <w:color w:val="auto"/>
              </w:rPr>
            </w:pPr>
          </w:p>
        </w:tc>
      </w:tr>
      <w:tr>
        <w:trPr>
          <w:trHeight w:val="121"/>
        </w:trPr>
        <w:tc>
          <w:tcPr>
            <w:tcW w:w="2080" w:type="dxa"/>
            <w:vAlign w:val="bottom"/>
            <w:gridSpan w:val="2"/>
            <w:shd w:val="clear" w:color="auto" w:fill="CCEEFF"/>
          </w:tcPr>
          <w:p>
            <w:pPr>
              <w:spacing w:after="0" w:line="121" w:lineRule="exact"/>
              <w:rPr>
                <w:sz w:val="20"/>
                <w:szCs w:val="20"/>
                <w:color w:val="auto"/>
              </w:rPr>
            </w:pPr>
            <w:r>
              <w:rPr>
                <w:rFonts w:ascii="Arial" w:cs="Arial" w:eastAsia="Arial" w:hAnsi="Arial"/>
                <w:sz w:val="13"/>
                <w:szCs w:val="13"/>
                <w:color w:val="auto"/>
              </w:rPr>
              <w:t>Mr. Schneider</w:t>
            </w:r>
          </w:p>
        </w:tc>
        <w:tc>
          <w:tcPr>
            <w:tcW w:w="120" w:type="dxa"/>
            <w:vAlign w:val="bottom"/>
            <w:shd w:val="clear" w:color="auto" w:fill="CCEEFF"/>
          </w:tcPr>
          <w:p>
            <w:pPr>
              <w:spacing w:after="0"/>
              <w:rPr>
                <w:sz w:val="10"/>
                <w:szCs w:val="10"/>
                <w:color w:val="auto"/>
              </w:rPr>
            </w:pPr>
          </w:p>
        </w:tc>
        <w:tc>
          <w:tcPr>
            <w:tcW w:w="600" w:type="dxa"/>
            <w:vAlign w:val="bottom"/>
            <w:gridSpan w:val="2"/>
            <w:shd w:val="clear" w:color="auto" w:fill="CCEEFF"/>
          </w:tcPr>
          <w:p>
            <w:pPr>
              <w:jc w:val="right"/>
              <w:ind w:right="180"/>
              <w:spacing w:after="0" w:line="121" w:lineRule="exact"/>
              <w:rPr>
                <w:sz w:val="20"/>
                <w:szCs w:val="20"/>
                <w:color w:val="auto"/>
              </w:rPr>
            </w:pPr>
            <w:r>
              <w:rPr>
                <w:rFonts w:ascii="Arial" w:cs="Arial" w:eastAsia="Arial" w:hAnsi="Arial"/>
                <w:sz w:val="13"/>
                <w:szCs w:val="13"/>
                <w:color w:val="auto"/>
              </w:rPr>
              <w:t>AI</w:t>
            </w:r>
          </w:p>
        </w:tc>
        <w:tc>
          <w:tcPr>
            <w:tcW w:w="56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620" w:type="dxa"/>
            <w:vAlign w:val="bottom"/>
            <w:shd w:val="clear" w:color="auto" w:fill="CCEEFF"/>
          </w:tcPr>
          <w:p>
            <w:pPr>
              <w:ind w:left="440"/>
              <w:spacing w:after="0" w:line="121" w:lineRule="exact"/>
              <w:rPr>
                <w:sz w:val="20"/>
                <w:szCs w:val="20"/>
                <w:color w:val="auto"/>
              </w:rPr>
            </w:pPr>
            <w:r>
              <w:rPr>
                <w:rFonts w:ascii="Arial" w:cs="Arial" w:eastAsia="Arial" w:hAnsi="Arial"/>
                <w:sz w:val="13"/>
                <w:szCs w:val="13"/>
                <w:color w:val="auto"/>
              </w:rPr>
              <w:t>—</w:t>
            </w:r>
          </w:p>
        </w:tc>
        <w:tc>
          <w:tcPr>
            <w:tcW w:w="920" w:type="dxa"/>
            <w:vAlign w:val="bottom"/>
            <w:gridSpan w:val="3"/>
            <w:shd w:val="clear" w:color="auto" w:fill="CCEEFF"/>
          </w:tcPr>
          <w:p>
            <w:pPr>
              <w:jc w:val="right"/>
              <w:ind w:right="180"/>
              <w:spacing w:after="0" w:line="121" w:lineRule="exact"/>
              <w:rPr>
                <w:sz w:val="20"/>
                <w:szCs w:val="20"/>
                <w:color w:val="auto"/>
              </w:rPr>
            </w:pPr>
            <w:r>
              <w:rPr>
                <w:rFonts w:ascii="Arial" w:cs="Arial" w:eastAsia="Arial" w:hAnsi="Arial"/>
                <w:sz w:val="13"/>
                <w:szCs w:val="13"/>
                <w:color w:val="auto"/>
              </w:rPr>
              <w:t>1,087,500</w:t>
            </w:r>
          </w:p>
        </w:tc>
        <w:tc>
          <w:tcPr>
            <w:tcW w:w="40" w:type="dxa"/>
            <w:vAlign w:val="bottom"/>
            <w:shd w:val="clear" w:color="auto" w:fill="CCEEFF"/>
          </w:tcPr>
          <w:p>
            <w:pPr>
              <w:spacing w:after="0"/>
              <w:rPr>
                <w:sz w:val="10"/>
                <w:szCs w:val="10"/>
                <w:color w:val="auto"/>
              </w:rPr>
            </w:pPr>
          </w:p>
        </w:tc>
        <w:tc>
          <w:tcPr>
            <w:tcW w:w="500" w:type="dxa"/>
            <w:vAlign w:val="bottom"/>
            <w:shd w:val="clear" w:color="auto" w:fill="CCEEFF"/>
          </w:tcPr>
          <w:p>
            <w:pPr>
              <w:jc w:val="right"/>
              <w:spacing w:after="0" w:line="121" w:lineRule="exact"/>
              <w:rPr>
                <w:sz w:val="20"/>
                <w:szCs w:val="20"/>
                <w:color w:val="auto"/>
              </w:rPr>
            </w:pPr>
            <w:r>
              <w:rPr>
                <w:rFonts w:ascii="Arial" w:cs="Arial" w:eastAsia="Arial" w:hAnsi="Arial"/>
                <w:sz w:val="13"/>
                <w:szCs w:val="13"/>
                <w:color w:val="auto"/>
                <w:w w:val="82"/>
              </w:rPr>
              <w:t>2,175,000</w:t>
            </w:r>
          </w:p>
        </w:tc>
        <w:tc>
          <w:tcPr>
            <w:tcW w:w="180" w:type="dxa"/>
            <w:vAlign w:val="bottom"/>
            <w:shd w:val="clear" w:color="auto" w:fill="CCEEFF"/>
          </w:tcPr>
          <w:p>
            <w:pPr>
              <w:spacing w:after="0"/>
              <w:rPr>
                <w:sz w:val="10"/>
                <w:szCs w:val="10"/>
                <w:color w:val="auto"/>
              </w:rPr>
            </w:pPr>
          </w:p>
        </w:tc>
        <w:tc>
          <w:tcPr>
            <w:tcW w:w="64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56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66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70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6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70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380" w:type="dxa"/>
            <w:vAlign w:val="bottom"/>
            <w:shd w:val="clear" w:color="auto" w:fill="CCEEFF"/>
          </w:tcPr>
          <w:p>
            <w:pPr>
              <w:spacing w:after="0"/>
              <w:rPr>
                <w:sz w:val="11"/>
                <w:szCs w:val="11"/>
                <w:color w:val="auto"/>
              </w:rPr>
            </w:pPr>
          </w:p>
        </w:tc>
        <w:tc>
          <w:tcPr>
            <w:tcW w:w="17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RSU</w:t>
            </w:r>
          </w:p>
        </w:tc>
        <w:tc>
          <w:tcPr>
            <w:tcW w:w="74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w w:val="93"/>
              </w:rPr>
              <w:t>2/25/2016</w:t>
            </w:r>
          </w:p>
        </w:tc>
        <w:tc>
          <w:tcPr>
            <w:tcW w:w="62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84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365,000</w:t>
            </w:r>
          </w:p>
        </w:tc>
        <w:tc>
          <w:tcPr>
            <w:tcW w:w="7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740" w:type="dxa"/>
            <w:vAlign w:val="bottom"/>
            <w:gridSpan w:val="2"/>
            <w:shd w:val="clear" w:color="auto" w:fill="CCEEFF"/>
          </w:tcPr>
          <w:p>
            <w:pPr>
              <w:jc w:val="right"/>
              <w:ind w:right="40"/>
              <w:spacing w:after="0" w:line="135" w:lineRule="exact"/>
              <w:rPr>
                <w:sz w:val="20"/>
                <w:szCs w:val="20"/>
                <w:color w:val="auto"/>
              </w:rPr>
            </w:pPr>
            <w:r>
              <w:rPr>
                <w:rFonts w:ascii="Arial" w:cs="Arial" w:eastAsia="Arial" w:hAnsi="Arial"/>
                <w:sz w:val="13"/>
                <w:szCs w:val="13"/>
                <w:color w:val="auto"/>
              </w:rPr>
              <w:t>719,050</w:t>
            </w: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PSU</w:t>
            </w: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w w:val="93"/>
              </w:rPr>
              <w:t>3/16/2016</w:t>
            </w:r>
          </w:p>
        </w:tc>
        <w:tc>
          <w:tcPr>
            <w:tcW w:w="6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182,500</w:t>
            </w:r>
          </w:p>
        </w:tc>
        <w:tc>
          <w:tcPr>
            <w:tcW w:w="5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365,000</w:t>
            </w:r>
          </w:p>
        </w:tc>
        <w:tc>
          <w:tcPr>
            <w:tcW w:w="1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456,250</w:t>
            </w:r>
          </w:p>
        </w:tc>
        <w:tc>
          <w:tcPr>
            <w:tcW w:w="6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1,025,650</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21"/>
        </w:trPr>
        <w:tc>
          <w:tcPr>
            <w:tcW w:w="2080" w:type="dxa"/>
            <w:vAlign w:val="bottom"/>
            <w:gridSpan w:val="2"/>
          </w:tcPr>
          <w:p>
            <w:pPr>
              <w:spacing w:after="0" w:line="121" w:lineRule="exact"/>
              <w:rPr>
                <w:sz w:val="20"/>
                <w:szCs w:val="20"/>
                <w:color w:val="auto"/>
              </w:rPr>
            </w:pPr>
            <w:r>
              <w:rPr>
                <w:rFonts w:ascii="Arial" w:cs="Arial" w:eastAsia="Arial" w:hAnsi="Arial"/>
                <w:sz w:val="13"/>
                <w:szCs w:val="13"/>
                <w:color w:val="auto"/>
              </w:rPr>
              <w:t>Mr. Bobitz</w:t>
            </w:r>
          </w:p>
        </w:tc>
        <w:tc>
          <w:tcPr>
            <w:tcW w:w="120" w:type="dxa"/>
            <w:vAlign w:val="bottom"/>
          </w:tcPr>
          <w:p>
            <w:pPr>
              <w:spacing w:after="0"/>
              <w:rPr>
                <w:sz w:val="10"/>
                <w:szCs w:val="10"/>
                <w:color w:val="auto"/>
              </w:rPr>
            </w:pPr>
          </w:p>
        </w:tc>
        <w:tc>
          <w:tcPr>
            <w:tcW w:w="600" w:type="dxa"/>
            <w:vAlign w:val="bottom"/>
            <w:gridSpan w:val="2"/>
          </w:tcPr>
          <w:p>
            <w:pPr>
              <w:jc w:val="right"/>
              <w:ind w:right="180"/>
              <w:spacing w:after="0" w:line="121" w:lineRule="exact"/>
              <w:rPr>
                <w:sz w:val="20"/>
                <w:szCs w:val="20"/>
                <w:color w:val="auto"/>
              </w:rPr>
            </w:pPr>
            <w:r>
              <w:rPr>
                <w:rFonts w:ascii="Arial" w:cs="Arial" w:eastAsia="Arial" w:hAnsi="Arial"/>
                <w:sz w:val="13"/>
                <w:szCs w:val="13"/>
                <w:color w:val="auto"/>
              </w:rPr>
              <w:t>AI</w:t>
            </w:r>
          </w:p>
        </w:tc>
        <w:tc>
          <w:tcPr>
            <w:tcW w:w="5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20" w:type="dxa"/>
            <w:vAlign w:val="bottom"/>
          </w:tcPr>
          <w:p>
            <w:pPr>
              <w:ind w:left="440"/>
              <w:spacing w:after="0" w:line="121" w:lineRule="exact"/>
              <w:rPr>
                <w:sz w:val="20"/>
                <w:szCs w:val="20"/>
                <w:color w:val="auto"/>
              </w:rPr>
            </w:pPr>
            <w:r>
              <w:rPr>
                <w:rFonts w:ascii="Arial" w:cs="Arial" w:eastAsia="Arial" w:hAnsi="Arial"/>
                <w:sz w:val="13"/>
                <w:szCs w:val="13"/>
                <w:color w:val="auto"/>
              </w:rPr>
              <w:t>—</w:t>
            </w:r>
          </w:p>
        </w:tc>
        <w:tc>
          <w:tcPr>
            <w:tcW w:w="920" w:type="dxa"/>
            <w:vAlign w:val="bottom"/>
            <w:gridSpan w:val="3"/>
          </w:tcPr>
          <w:p>
            <w:pPr>
              <w:jc w:val="right"/>
              <w:ind w:right="180"/>
              <w:spacing w:after="0" w:line="121" w:lineRule="exact"/>
              <w:rPr>
                <w:sz w:val="20"/>
                <w:szCs w:val="20"/>
                <w:color w:val="auto"/>
              </w:rPr>
            </w:pPr>
            <w:r>
              <w:rPr>
                <w:rFonts w:ascii="Arial" w:cs="Arial" w:eastAsia="Arial" w:hAnsi="Arial"/>
                <w:sz w:val="13"/>
                <w:szCs w:val="13"/>
                <w:color w:val="auto"/>
              </w:rPr>
              <w:t>425,000</w:t>
            </w:r>
          </w:p>
        </w:tc>
        <w:tc>
          <w:tcPr>
            <w:tcW w:w="40" w:type="dxa"/>
            <w:vAlign w:val="bottom"/>
          </w:tcPr>
          <w:p>
            <w:pPr>
              <w:spacing w:after="0"/>
              <w:rPr>
                <w:sz w:val="10"/>
                <w:szCs w:val="10"/>
                <w:color w:val="auto"/>
              </w:rPr>
            </w:pPr>
          </w:p>
        </w:tc>
        <w:tc>
          <w:tcPr>
            <w:tcW w:w="500" w:type="dxa"/>
            <w:vAlign w:val="bottom"/>
          </w:tcPr>
          <w:p>
            <w:pPr>
              <w:jc w:val="right"/>
              <w:spacing w:after="0" w:line="121" w:lineRule="exact"/>
              <w:rPr>
                <w:sz w:val="20"/>
                <w:szCs w:val="20"/>
                <w:color w:val="auto"/>
              </w:rPr>
            </w:pPr>
            <w:r>
              <w:rPr>
                <w:rFonts w:ascii="Arial" w:cs="Arial" w:eastAsia="Arial" w:hAnsi="Arial"/>
                <w:sz w:val="13"/>
                <w:szCs w:val="13"/>
                <w:color w:val="auto"/>
              </w:rPr>
              <w:t>850,000</w:t>
            </w:r>
          </w:p>
        </w:tc>
        <w:tc>
          <w:tcPr>
            <w:tcW w:w="1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380" w:type="dxa"/>
            <w:vAlign w:val="bottom"/>
          </w:tcPr>
          <w:p>
            <w:pPr>
              <w:spacing w:after="0"/>
              <w:rPr>
                <w:sz w:val="11"/>
                <w:szCs w:val="11"/>
                <w:color w:val="auto"/>
              </w:rPr>
            </w:pPr>
          </w:p>
        </w:tc>
        <w:tc>
          <w:tcPr>
            <w:tcW w:w="17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rPr>
              <w:t>RSU</w:t>
            </w:r>
          </w:p>
        </w:tc>
        <w:tc>
          <w:tcPr>
            <w:tcW w:w="74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w w:val="93"/>
              </w:rPr>
              <w:t>2/25/2016</w:t>
            </w: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4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rPr>
              <w:t>90,000</w:t>
            </w: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gridSpan w:val="2"/>
          </w:tcPr>
          <w:p>
            <w:pPr>
              <w:jc w:val="right"/>
              <w:ind w:right="40"/>
              <w:spacing w:after="0" w:line="135" w:lineRule="exact"/>
              <w:rPr>
                <w:sz w:val="20"/>
                <w:szCs w:val="20"/>
                <w:color w:val="auto"/>
              </w:rPr>
            </w:pPr>
            <w:r>
              <w:rPr>
                <w:rFonts w:ascii="Arial" w:cs="Arial" w:eastAsia="Arial" w:hAnsi="Arial"/>
                <w:sz w:val="13"/>
                <w:szCs w:val="13"/>
                <w:color w:val="auto"/>
              </w:rPr>
              <w:t>177,300</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3"/>
                <w:szCs w:val="13"/>
                <w:color w:val="auto"/>
              </w:rPr>
              <w:t>PSU</w:t>
            </w:r>
          </w:p>
        </w:tc>
        <w:tc>
          <w:tcPr>
            <w:tcW w:w="740" w:type="dxa"/>
            <w:vAlign w:val="bottom"/>
            <w:gridSpan w:val="2"/>
          </w:tcPr>
          <w:p>
            <w:pPr>
              <w:jc w:val="right"/>
              <w:ind w:right="180"/>
              <w:spacing w:after="0"/>
              <w:rPr>
                <w:sz w:val="20"/>
                <w:szCs w:val="20"/>
                <w:color w:val="auto"/>
              </w:rPr>
            </w:pPr>
            <w:r>
              <w:rPr>
                <w:rFonts w:ascii="Arial" w:cs="Arial" w:eastAsia="Arial" w:hAnsi="Arial"/>
                <w:sz w:val="13"/>
                <w:szCs w:val="13"/>
                <w:color w:val="auto"/>
                <w:w w:val="93"/>
              </w:rPr>
              <w:t>3/16/2016</w:t>
            </w:r>
          </w:p>
        </w:tc>
        <w:tc>
          <w:tcPr>
            <w:tcW w:w="6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3"/>
                <w:szCs w:val="13"/>
                <w:color w:val="auto"/>
              </w:rPr>
              <w:t>45,000</w:t>
            </w:r>
          </w:p>
        </w:tc>
        <w:tc>
          <w:tcPr>
            <w:tcW w:w="720" w:type="dxa"/>
            <w:vAlign w:val="bottom"/>
            <w:gridSpan w:val="2"/>
          </w:tcPr>
          <w:p>
            <w:pPr>
              <w:jc w:val="right"/>
              <w:ind w:right="180"/>
              <w:spacing w:after="0"/>
              <w:rPr>
                <w:sz w:val="20"/>
                <w:szCs w:val="20"/>
                <w:color w:val="auto"/>
              </w:rPr>
            </w:pPr>
            <w:r>
              <w:rPr>
                <w:rFonts w:ascii="Arial" w:cs="Arial" w:eastAsia="Arial" w:hAnsi="Arial"/>
                <w:sz w:val="13"/>
                <w:szCs w:val="13"/>
                <w:color w:val="auto"/>
              </w:rPr>
              <w:t>90,000</w:t>
            </w:r>
          </w:p>
        </w:tc>
        <w:tc>
          <w:tcPr>
            <w:tcW w:w="740" w:type="dxa"/>
            <w:vAlign w:val="bottom"/>
            <w:gridSpan w:val="2"/>
          </w:tcPr>
          <w:p>
            <w:pPr>
              <w:jc w:val="right"/>
              <w:ind w:right="180"/>
              <w:spacing w:after="0"/>
              <w:rPr>
                <w:sz w:val="20"/>
                <w:szCs w:val="20"/>
                <w:color w:val="auto"/>
              </w:rPr>
            </w:pPr>
            <w:r>
              <w:rPr>
                <w:rFonts w:ascii="Arial" w:cs="Arial" w:eastAsia="Arial" w:hAnsi="Arial"/>
                <w:sz w:val="13"/>
                <w:szCs w:val="13"/>
                <w:color w:val="auto"/>
              </w:rPr>
              <w:t>112,500</w:t>
            </w: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3"/>
                <w:szCs w:val="13"/>
                <w:color w:val="auto"/>
              </w:rPr>
              <w:t>252,900</w:t>
            </w:r>
          </w:p>
        </w:tc>
        <w:tc>
          <w:tcPr>
            <w:tcW w:w="0" w:type="dxa"/>
            <w:vAlign w:val="bottom"/>
          </w:tcPr>
          <w:p>
            <w:pPr>
              <w:spacing w:after="0"/>
              <w:rPr>
                <w:sz w:val="1"/>
                <w:szCs w:val="1"/>
                <w:color w:val="auto"/>
              </w:rPr>
            </w:pPr>
          </w:p>
        </w:tc>
      </w:tr>
      <w:tr>
        <w:trPr>
          <w:trHeight w:val="121"/>
        </w:trPr>
        <w:tc>
          <w:tcPr>
            <w:tcW w:w="2080" w:type="dxa"/>
            <w:vAlign w:val="bottom"/>
            <w:gridSpan w:val="2"/>
            <w:shd w:val="clear" w:color="auto" w:fill="CCEEFF"/>
          </w:tcPr>
          <w:p>
            <w:pPr>
              <w:spacing w:after="0" w:line="121" w:lineRule="exact"/>
              <w:rPr>
                <w:sz w:val="20"/>
                <w:szCs w:val="20"/>
                <w:color w:val="auto"/>
              </w:rPr>
            </w:pPr>
            <w:r>
              <w:rPr>
                <w:rFonts w:ascii="Arial" w:cs="Arial" w:eastAsia="Arial" w:hAnsi="Arial"/>
                <w:sz w:val="13"/>
                <w:szCs w:val="13"/>
                <w:color w:val="auto"/>
              </w:rPr>
              <w:t>Mr. Sheehan</w:t>
            </w:r>
          </w:p>
        </w:tc>
        <w:tc>
          <w:tcPr>
            <w:tcW w:w="120" w:type="dxa"/>
            <w:vAlign w:val="bottom"/>
            <w:shd w:val="clear" w:color="auto" w:fill="CCEEFF"/>
          </w:tcPr>
          <w:p>
            <w:pPr>
              <w:spacing w:after="0"/>
              <w:rPr>
                <w:sz w:val="10"/>
                <w:szCs w:val="10"/>
                <w:color w:val="auto"/>
              </w:rPr>
            </w:pPr>
          </w:p>
        </w:tc>
        <w:tc>
          <w:tcPr>
            <w:tcW w:w="600" w:type="dxa"/>
            <w:vAlign w:val="bottom"/>
            <w:gridSpan w:val="2"/>
            <w:shd w:val="clear" w:color="auto" w:fill="CCEEFF"/>
          </w:tcPr>
          <w:p>
            <w:pPr>
              <w:jc w:val="right"/>
              <w:ind w:right="180"/>
              <w:spacing w:after="0" w:line="121" w:lineRule="exact"/>
              <w:rPr>
                <w:sz w:val="20"/>
                <w:szCs w:val="20"/>
                <w:color w:val="auto"/>
              </w:rPr>
            </w:pPr>
            <w:r>
              <w:rPr>
                <w:rFonts w:ascii="Arial" w:cs="Arial" w:eastAsia="Arial" w:hAnsi="Arial"/>
                <w:sz w:val="13"/>
                <w:szCs w:val="13"/>
                <w:color w:val="auto"/>
              </w:rPr>
              <w:t>AI</w:t>
            </w:r>
          </w:p>
        </w:tc>
        <w:tc>
          <w:tcPr>
            <w:tcW w:w="56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620" w:type="dxa"/>
            <w:vAlign w:val="bottom"/>
            <w:shd w:val="clear" w:color="auto" w:fill="CCEEFF"/>
          </w:tcPr>
          <w:p>
            <w:pPr>
              <w:ind w:left="440"/>
              <w:spacing w:after="0" w:line="121" w:lineRule="exact"/>
              <w:rPr>
                <w:sz w:val="20"/>
                <w:szCs w:val="20"/>
                <w:color w:val="auto"/>
              </w:rPr>
            </w:pPr>
            <w:r>
              <w:rPr>
                <w:rFonts w:ascii="Arial" w:cs="Arial" w:eastAsia="Arial" w:hAnsi="Arial"/>
                <w:sz w:val="13"/>
                <w:szCs w:val="13"/>
                <w:color w:val="auto"/>
              </w:rPr>
              <w:t>—</w:t>
            </w:r>
          </w:p>
        </w:tc>
        <w:tc>
          <w:tcPr>
            <w:tcW w:w="920" w:type="dxa"/>
            <w:vAlign w:val="bottom"/>
            <w:gridSpan w:val="3"/>
            <w:shd w:val="clear" w:color="auto" w:fill="CCEEFF"/>
          </w:tcPr>
          <w:p>
            <w:pPr>
              <w:jc w:val="right"/>
              <w:ind w:right="180"/>
              <w:spacing w:after="0" w:line="121" w:lineRule="exact"/>
              <w:rPr>
                <w:sz w:val="20"/>
                <w:szCs w:val="20"/>
                <w:color w:val="auto"/>
              </w:rPr>
            </w:pPr>
            <w:r>
              <w:rPr>
                <w:rFonts w:ascii="Arial" w:cs="Arial" w:eastAsia="Arial" w:hAnsi="Arial"/>
                <w:sz w:val="13"/>
                <w:szCs w:val="13"/>
                <w:color w:val="auto"/>
              </w:rPr>
              <w:t>1,050,000</w:t>
            </w:r>
          </w:p>
        </w:tc>
        <w:tc>
          <w:tcPr>
            <w:tcW w:w="40" w:type="dxa"/>
            <w:vAlign w:val="bottom"/>
            <w:shd w:val="clear" w:color="auto" w:fill="CCEEFF"/>
          </w:tcPr>
          <w:p>
            <w:pPr>
              <w:spacing w:after="0"/>
              <w:rPr>
                <w:sz w:val="10"/>
                <w:szCs w:val="10"/>
                <w:color w:val="auto"/>
              </w:rPr>
            </w:pPr>
          </w:p>
        </w:tc>
        <w:tc>
          <w:tcPr>
            <w:tcW w:w="500" w:type="dxa"/>
            <w:vAlign w:val="bottom"/>
            <w:shd w:val="clear" w:color="auto" w:fill="CCEEFF"/>
          </w:tcPr>
          <w:p>
            <w:pPr>
              <w:jc w:val="right"/>
              <w:spacing w:after="0" w:line="121" w:lineRule="exact"/>
              <w:rPr>
                <w:sz w:val="20"/>
                <w:szCs w:val="20"/>
                <w:color w:val="auto"/>
              </w:rPr>
            </w:pPr>
            <w:r>
              <w:rPr>
                <w:rFonts w:ascii="Arial" w:cs="Arial" w:eastAsia="Arial" w:hAnsi="Arial"/>
                <w:sz w:val="13"/>
                <w:szCs w:val="13"/>
                <w:color w:val="auto"/>
                <w:w w:val="82"/>
              </w:rPr>
              <w:t>2,100,000</w:t>
            </w:r>
          </w:p>
        </w:tc>
        <w:tc>
          <w:tcPr>
            <w:tcW w:w="180" w:type="dxa"/>
            <w:vAlign w:val="bottom"/>
            <w:shd w:val="clear" w:color="auto" w:fill="CCEEFF"/>
          </w:tcPr>
          <w:p>
            <w:pPr>
              <w:spacing w:after="0"/>
              <w:rPr>
                <w:sz w:val="10"/>
                <w:szCs w:val="10"/>
                <w:color w:val="auto"/>
              </w:rPr>
            </w:pPr>
          </w:p>
        </w:tc>
        <w:tc>
          <w:tcPr>
            <w:tcW w:w="64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56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66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70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6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70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380" w:type="dxa"/>
            <w:vAlign w:val="bottom"/>
            <w:shd w:val="clear" w:color="auto" w:fill="CCEEFF"/>
          </w:tcPr>
          <w:p>
            <w:pPr>
              <w:spacing w:after="0"/>
              <w:rPr>
                <w:sz w:val="11"/>
                <w:szCs w:val="11"/>
                <w:color w:val="auto"/>
              </w:rPr>
            </w:pPr>
          </w:p>
        </w:tc>
        <w:tc>
          <w:tcPr>
            <w:tcW w:w="17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RSU</w:t>
            </w:r>
          </w:p>
        </w:tc>
        <w:tc>
          <w:tcPr>
            <w:tcW w:w="74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w w:val="93"/>
              </w:rPr>
              <w:t>2/25/2016</w:t>
            </w:r>
          </w:p>
        </w:tc>
        <w:tc>
          <w:tcPr>
            <w:tcW w:w="62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84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275,000</w:t>
            </w:r>
          </w:p>
        </w:tc>
        <w:tc>
          <w:tcPr>
            <w:tcW w:w="7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740" w:type="dxa"/>
            <w:vAlign w:val="bottom"/>
            <w:gridSpan w:val="2"/>
            <w:shd w:val="clear" w:color="auto" w:fill="CCEEFF"/>
          </w:tcPr>
          <w:p>
            <w:pPr>
              <w:jc w:val="right"/>
              <w:ind w:right="40"/>
              <w:spacing w:after="0" w:line="135" w:lineRule="exact"/>
              <w:rPr>
                <w:sz w:val="20"/>
                <w:szCs w:val="20"/>
                <w:color w:val="auto"/>
              </w:rPr>
            </w:pPr>
            <w:r>
              <w:rPr>
                <w:rFonts w:ascii="Arial" w:cs="Arial" w:eastAsia="Arial" w:hAnsi="Arial"/>
                <w:sz w:val="13"/>
                <w:szCs w:val="13"/>
                <w:color w:val="auto"/>
              </w:rPr>
              <w:t>541,750</w:t>
            </w: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PSU</w:t>
            </w: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w w:val="93"/>
              </w:rPr>
              <w:t>3/16/2016</w:t>
            </w:r>
          </w:p>
        </w:tc>
        <w:tc>
          <w:tcPr>
            <w:tcW w:w="6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137,500</w:t>
            </w:r>
          </w:p>
        </w:tc>
        <w:tc>
          <w:tcPr>
            <w:tcW w:w="5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275,000</w:t>
            </w:r>
          </w:p>
        </w:tc>
        <w:tc>
          <w:tcPr>
            <w:tcW w:w="1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343,750</w:t>
            </w:r>
          </w:p>
        </w:tc>
        <w:tc>
          <w:tcPr>
            <w:tcW w:w="6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40"/>
              <w:spacing w:after="0"/>
              <w:rPr>
                <w:sz w:val="20"/>
                <w:szCs w:val="20"/>
                <w:color w:val="auto"/>
              </w:rPr>
            </w:pPr>
            <w:r>
              <w:rPr>
                <w:rFonts w:ascii="Arial" w:cs="Arial" w:eastAsia="Arial" w:hAnsi="Arial"/>
                <w:sz w:val="13"/>
                <w:szCs w:val="13"/>
                <w:color w:val="auto"/>
              </w:rPr>
              <w:t>772,750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5" w:lineRule="exact"/>
        <w:rPr>
          <w:sz w:val="20"/>
          <w:szCs w:val="20"/>
          <w:color w:val="auto"/>
        </w:rPr>
      </w:pPr>
    </w:p>
    <w:p>
      <w:pPr>
        <w:ind w:left="460" w:right="520" w:hanging="452"/>
        <w:spacing w:after="0" w:line="258" w:lineRule="auto"/>
        <w:tabs>
          <w:tab w:leader="none" w:pos="460" w:val="left"/>
        </w:tabs>
        <w:numPr>
          <w:ilvl w:val="0"/>
          <w:numId w:val="44"/>
        </w:numPr>
        <w:rPr>
          <w:rFonts w:ascii="Arial" w:cs="Arial" w:eastAsia="Arial" w:hAnsi="Arial"/>
          <w:sz w:val="15"/>
          <w:szCs w:val="15"/>
          <w:color w:val="auto"/>
        </w:rPr>
      </w:pPr>
      <w:r>
        <w:rPr>
          <w:rFonts w:ascii="Arial" w:cs="Arial" w:eastAsia="Arial" w:hAnsi="Arial"/>
          <w:sz w:val="18"/>
          <w:szCs w:val="18"/>
          <w:color w:val="auto"/>
        </w:rPr>
        <w:t>The 2016-2018 PSUs may be earned and become vested based on our level of achievement of certain pre-established performance goals over the performance period ending on December 31, 2018.</w:t>
      </w:r>
    </w:p>
    <w:p>
      <w:pPr>
        <w:spacing w:after="0" w:line="1" w:lineRule="exact"/>
        <w:rPr>
          <w:rFonts w:ascii="Arial" w:cs="Arial" w:eastAsia="Arial" w:hAnsi="Arial"/>
          <w:sz w:val="15"/>
          <w:szCs w:val="15"/>
          <w:color w:val="auto"/>
        </w:rPr>
      </w:pPr>
    </w:p>
    <w:p>
      <w:pPr>
        <w:ind w:left="460" w:hanging="452"/>
        <w:spacing w:after="0"/>
        <w:tabs>
          <w:tab w:leader="none" w:pos="460" w:val="left"/>
        </w:tabs>
        <w:numPr>
          <w:ilvl w:val="0"/>
          <w:numId w:val="44"/>
        </w:numPr>
        <w:rPr>
          <w:rFonts w:ascii="Arial" w:cs="Arial" w:eastAsia="Arial" w:hAnsi="Arial"/>
          <w:sz w:val="15"/>
          <w:szCs w:val="15"/>
          <w:color w:val="auto"/>
        </w:rPr>
      </w:pPr>
      <w:r>
        <w:rPr>
          <w:rFonts w:ascii="Arial" w:cs="Arial" w:eastAsia="Arial" w:hAnsi="Arial"/>
          <w:sz w:val="18"/>
          <w:szCs w:val="18"/>
          <w:color w:val="auto"/>
        </w:rPr>
        <w:t>The RSUs granted are scheduled to vest one-third per year beginning on the first anniversary of the grant date.</w:t>
      </w:r>
    </w:p>
    <w:p>
      <w:pPr>
        <w:spacing w:after="0" w:line="9" w:lineRule="exact"/>
        <w:rPr>
          <w:rFonts w:ascii="Arial" w:cs="Arial" w:eastAsia="Arial" w:hAnsi="Arial"/>
          <w:sz w:val="15"/>
          <w:szCs w:val="15"/>
          <w:color w:val="auto"/>
        </w:rPr>
      </w:pPr>
    </w:p>
    <w:p>
      <w:pPr>
        <w:ind w:left="460" w:right="300" w:hanging="452"/>
        <w:spacing w:after="0" w:line="254" w:lineRule="auto"/>
        <w:tabs>
          <w:tab w:leader="none" w:pos="460" w:val="left"/>
        </w:tabs>
        <w:numPr>
          <w:ilvl w:val="0"/>
          <w:numId w:val="44"/>
        </w:numPr>
        <w:rPr>
          <w:rFonts w:ascii="Arial" w:cs="Arial" w:eastAsia="Arial" w:hAnsi="Arial"/>
          <w:sz w:val="15"/>
          <w:szCs w:val="15"/>
          <w:color w:val="auto"/>
        </w:rPr>
      </w:pPr>
      <w:r>
        <w:rPr>
          <w:rFonts w:ascii="Arial" w:cs="Arial" w:eastAsia="Arial" w:hAnsi="Arial"/>
          <w:sz w:val="18"/>
          <w:szCs w:val="18"/>
          <w:color w:val="auto"/>
        </w:rPr>
        <w:t>Reflects the aggregate grant date fair value of the award determined in accordance with FASB ASC Topic 718. Grant date fair value for the RSUs is based on the grant date fair value of the underlying shares. Grant date fair value for the PSUs is based on the grant date fair value of the underlying shares at target performance and the probable outcome of performance-based conditions at the time of grant, excluding the effect of estimated forfeitures.</w:t>
      </w:r>
    </w:p>
    <w:p>
      <w:pPr>
        <w:spacing w:after="0" w:line="1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459" w:right="2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Outstanding Equity Awards at 2016 Fiscal Year-End Table</w:t>
      </w:r>
    </w:p>
    <w:p>
      <w:pPr>
        <w:spacing w:after="0" w:line="22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table below provides information with respect to stock options, SARs, RSUs and PSUs outstanding on December 31, 2016:</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8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000" w:type="dxa"/>
            <w:vAlign w:val="bottom"/>
            <w:tcBorders>
              <w:bottom w:val="single" w:sz="8" w:color="auto"/>
            </w:tcBorders>
            <w:gridSpan w:val="5"/>
          </w:tcPr>
          <w:p>
            <w:pPr>
              <w:jc w:val="right"/>
              <w:ind w:right="720"/>
              <w:spacing w:after="0"/>
              <w:rPr>
                <w:sz w:val="20"/>
                <w:szCs w:val="20"/>
                <w:color w:val="auto"/>
              </w:rPr>
            </w:pPr>
            <w:r>
              <w:rPr>
                <w:rFonts w:ascii="Arial" w:cs="Arial" w:eastAsia="Arial" w:hAnsi="Arial"/>
                <w:sz w:val="14"/>
                <w:szCs w:val="14"/>
                <w:b w:val="1"/>
                <w:bCs w:val="1"/>
                <w:color w:val="auto"/>
              </w:rPr>
              <w:t>Option Awards</w:t>
            </w:r>
          </w:p>
        </w:tc>
        <w:tc>
          <w:tcPr>
            <w:tcW w:w="70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gridSpan w:val="3"/>
          </w:tcPr>
          <w:p>
            <w:pPr>
              <w:jc w:val="right"/>
              <w:ind w:right="719"/>
              <w:spacing w:after="0"/>
              <w:rPr>
                <w:sz w:val="20"/>
                <w:szCs w:val="20"/>
                <w:color w:val="auto"/>
              </w:rPr>
            </w:pPr>
            <w:r>
              <w:rPr>
                <w:rFonts w:ascii="Arial" w:cs="Arial" w:eastAsia="Arial" w:hAnsi="Arial"/>
                <w:sz w:val="14"/>
                <w:szCs w:val="14"/>
                <w:b w:val="1"/>
                <w:bCs w:val="1"/>
                <w:color w:val="auto"/>
              </w:rPr>
              <w:t>Stock Awards</w:t>
            </w:r>
          </w:p>
        </w:tc>
        <w:tc>
          <w:tcPr>
            <w:tcW w:w="146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380" w:type="dxa"/>
            <w:vAlign w:val="bottom"/>
          </w:tcPr>
          <w:p>
            <w:pPr>
              <w:spacing w:after="0"/>
              <w:rPr>
                <w:sz w:val="10"/>
                <w:szCs w:val="10"/>
                <w:color w:val="auto"/>
              </w:rPr>
            </w:pPr>
          </w:p>
        </w:tc>
        <w:tc>
          <w:tcPr>
            <w:tcW w:w="14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120" w:type="dxa"/>
            <w:vAlign w:val="bottom"/>
            <w:gridSpan w:val="2"/>
          </w:tcPr>
          <w:p>
            <w:pPr>
              <w:jc w:val="center"/>
              <w:ind w:right="460"/>
              <w:spacing w:after="0" w:line="119" w:lineRule="exact"/>
              <w:rPr>
                <w:sz w:val="20"/>
                <w:szCs w:val="20"/>
                <w:color w:val="auto"/>
              </w:rPr>
            </w:pPr>
            <w:r>
              <w:rPr>
                <w:rFonts w:ascii="Arial" w:cs="Arial" w:eastAsia="Arial" w:hAnsi="Arial"/>
                <w:sz w:val="13"/>
                <w:szCs w:val="13"/>
                <w:b w:val="1"/>
                <w:bCs w:val="1"/>
                <w:color w:val="auto"/>
              </w:rPr>
              <w:t>Number of</w:t>
            </w:r>
          </w:p>
        </w:tc>
        <w:tc>
          <w:tcPr>
            <w:tcW w:w="8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600" w:type="dxa"/>
            <w:vAlign w:val="bottom"/>
            <w:gridSpan w:val="2"/>
            <w:vMerge w:val="restart"/>
          </w:tcPr>
          <w:p>
            <w:pPr>
              <w:jc w:val="center"/>
              <w:ind w:right="439"/>
              <w:spacing w:after="0"/>
              <w:rPr>
                <w:sz w:val="20"/>
                <w:szCs w:val="20"/>
                <w:color w:val="auto"/>
              </w:rPr>
            </w:pPr>
            <w:r>
              <w:rPr>
                <w:rFonts w:ascii="Arial" w:cs="Arial" w:eastAsia="Arial" w:hAnsi="Arial"/>
                <w:sz w:val="14"/>
                <w:szCs w:val="14"/>
                <w:b w:val="1"/>
                <w:bCs w:val="1"/>
                <w:color w:val="auto"/>
                <w:w w:val="94"/>
              </w:rPr>
              <w:t>Equity Incentive</w:t>
            </w:r>
          </w:p>
        </w:tc>
        <w:tc>
          <w:tcPr>
            <w:tcW w:w="14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6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4"/>
              </w:rPr>
              <w:t>Number of</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vMerge w:val="restart"/>
          </w:tcPr>
          <w:p>
            <w:pPr>
              <w:jc w:val="center"/>
              <w:ind w:right="219"/>
              <w:spacing w:after="0"/>
              <w:rPr>
                <w:sz w:val="20"/>
                <w:szCs w:val="20"/>
                <w:color w:val="auto"/>
              </w:rPr>
            </w:pPr>
            <w:r>
              <w:rPr>
                <w:rFonts w:ascii="Arial" w:cs="Arial" w:eastAsia="Arial" w:hAnsi="Arial"/>
                <w:sz w:val="14"/>
                <w:szCs w:val="14"/>
                <w:b w:val="1"/>
                <w:bCs w:val="1"/>
                <w:color w:val="auto"/>
                <w:w w:val="97"/>
              </w:rPr>
              <w:t>Number of</w:t>
            </w: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2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89"/>
              </w:rPr>
              <w:t>Shares or</w:t>
            </w:r>
          </w:p>
        </w:tc>
        <w:tc>
          <w:tcPr>
            <w:tcW w:w="98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9"/>
              </w:rPr>
              <w:t>Market Value</w:t>
            </w:r>
          </w:p>
        </w:tc>
        <w:tc>
          <w:tcPr>
            <w:tcW w:w="160" w:type="dxa"/>
            <w:vAlign w:val="bottom"/>
          </w:tcPr>
          <w:p>
            <w:pPr>
              <w:spacing w:after="0"/>
              <w:rPr>
                <w:sz w:val="12"/>
                <w:szCs w:val="12"/>
                <w:color w:val="auto"/>
              </w:rPr>
            </w:pPr>
          </w:p>
        </w:tc>
        <w:tc>
          <w:tcPr>
            <w:tcW w:w="1600" w:type="dxa"/>
            <w:vAlign w:val="bottom"/>
            <w:gridSpan w:val="2"/>
            <w:vMerge w:val="continue"/>
          </w:tcPr>
          <w:p>
            <w:pPr>
              <w:spacing w:after="0"/>
              <w:rPr>
                <w:sz w:val="12"/>
                <w:szCs w:val="12"/>
                <w:color w:val="auto"/>
              </w:rPr>
            </w:pPr>
          </w:p>
        </w:tc>
        <w:tc>
          <w:tcPr>
            <w:tcW w:w="1500" w:type="dxa"/>
            <w:vAlign w:val="bottom"/>
            <w:gridSpan w:val="2"/>
            <w:vMerge w:val="restart"/>
          </w:tcPr>
          <w:p>
            <w:pPr>
              <w:jc w:val="center"/>
              <w:ind w:right="40"/>
              <w:spacing w:after="0"/>
              <w:rPr>
                <w:sz w:val="20"/>
                <w:szCs w:val="20"/>
                <w:color w:val="auto"/>
              </w:rPr>
            </w:pPr>
            <w:r>
              <w:rPr>
                <w:rFonts w:ascii="Arial" w:cs="Arial" w:eastAsia="Arial" w:hAnsi="Arial"/>
                <w:sz w:val="14"/>
                <w:szCs w:val="14"/>
                <w:b w:val="1"/>
                <w:bCs w:val="1"/>
                <w:color w:val="auto"/>
                <w:w w:val="95"/>
              </w:rPr>
              <w:t>Equity Incentive Plan</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6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2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92"/>
              </w:rPr>
              <w:t>Units of</w:t>
            </w:r>
          </w:p>
        </w:tc>
        <w:tc>
          <w:tcPr>
            <w:tcW w:w="9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600" w:type="dxa"/>
            <w:vAlign w:val="bottom"/>
            <w:gridSpan w:val="2"/>
          </w:tcPr>
          <w:p>
            <w:pPr>
              <w:jc w:val="center"/>
              <w:ind w:right="459"/>
              <w:spacing w:after="0" w:line="149" w:lineRule="exact"/>
              <w:rPr>
                <w:sz w:val="20"/>
                <w:szCs w:val="20"/>
                <w:color w:val="auto"/>
              </w:rPr>
            </w:pPr>
            <w:r>
              <w:rPr>
                <w:rFonts w:ascii="Arial" w:cs="Arial" w:eastAsia="Arial" w:hAnsi="Arial"/>
                <w:sz w:val="14"/>
                <w:szCs w:val="14"/>
                <w:b w:val="1"/>
                <w:bCs w:val="1"/>
                <w:color w:val="auto"/>
                <w:w w:val="94"/>
              </w:rPr>
              <w:t>Plan Awards:</w:t>
            </w:r>
          </w:p>
        </w:tc>
        <w:tc>
          <w:tcPr>
            <w:tcW w:w="15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6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89"/>
              </w:rPr>
              <w:t>Securities</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center"/>
              <w:ind w:right="219"/>
              <w:spacing w:after="0" w:line="149" w:lineRule="exact"/>
              <w:rPr>
                <w:sz w:val="20"/>
                <w:szCs w:val="20"/>
                <w:color w:val="auto"/>
              </w:rPr>
            </w:pPr>
            <w:r>
              <w:rPr>
                <w:rFonts w:ascii="Arial" w:cs="Arial" w:eastAsia="Arial" w:hAnsi="Arial"/>
                <w:sz w:val="14"/>
                <w:szCs w:val="14"/>
                <w:b w:val="1"/>
                <w:bCs w:val="1"/>
                <w:color w:val="auto"/>
                <w:w w:val="89"/>
              </w:rPr>
              <w:t>Securities</w:t>
            </w:r>
          </w:p>
        </w:tc>
        <w:tc>
          <w:tcPr>
            <w:tcW w:w="220" w:type="dxa"/>
            <w:vAlign w:val="bottom"/>
          </w:tcPr>
          <w:p>
            <w:pPr>
              <w:spacing w:after="0"/>
              <w:rPr>
                <w:sz w:val="12"/>
                <w:szCs w:val="12"/>
                <w:color w:val="auto"/>
              </w:rPr>
            </w:pPr>
          </w:p>
        </w:tc>
        <w:tc>
          <w:tcPr>
            <w:tcW w:w="78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3"/>
              </w:rPr>
              <w:t>Option</w:t>
            </w:r>
          </w:p>
        </w:tc>
        <w:tc>
          <w:tcPr>
            <w:tcW w:w="7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2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89"/>
              </w:rPr>
              <w:t>Stock</w:t>
            </w:r>
          </w:p>
        </w:tc>
        <w:tc>
          <w:tcPr>
            <w:tcW w:w="9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of Shares or</w:t>
            </w:r>
          </w:p>
        </w:tc>
        <w:tc>
          <w:tcPr>
            <w:tcW w:w="160" w:type="dxa"/>
            <w:vAlign w:val="bottom"/>
          </w:tcPr>
          <w:p>
            <w:pPr>
              <w:spacing w:after="0"/>
              <w:rPr>
                <w:sz w:val="12"/>
                <w:szCs w:val="12"/>
                <w:color w:val="auto"/>
              </w:rPr>
            </w:pPr>
          </w:p>
        </w:tc>
        <w:tc>
          <w:tcPr>
            <w:tcW w:w="1600" w:type="dxa"/>
            <w:vAlign w:val="bottom"/>
            <w:gridSpan w:val="2"/>
          </w:tcPr>
          <w:p>
            <w:pPr>
              <w:jc w:val="center"/>
              <w:ind w:right="459"/>
              <w:spacing w:after="0" w:line="149" w:lineRule="exact"/>
              <w:rPr>
                <w:sz w:val="20"/>
                <w:szCs w:val="20"/>
                <w:color w:val="auto"/>
              </w:rPr>
            </w:pPr>
            <w:r>
              <w:rPr>
                <w:rFonts w:ascii="Arial" w:cs="Arial" w:eastAsia="Arial" w:hAnsi="Arial"/>
                <w:sz w:val="14"/>
                <w:szCs w:val="14"/>
                <w:b w:val="1"/>
                <w:bCs w:val="1"/>
                <w:color w:val="auto"/>
                <w:w w:val="97"/>
              </w:rPr>
              <w:t>Number of</w:t>
            </w:r>
          </w:p>
        </w:tc>
        <w:tc>
          <w:tcPr>
            <w:tcW w:w="1500" w:type="dxa"/>
            <w:vAlign w:val="bottom"/>
            <w:gridSpan w:val="2"/>
          </w:tcPr>
          <w:p>
            <w:pPr>
              <w:jc w:val="center"/>
              <w:ind w:right="40"/>
              <w:spacing w:after="0" w:line="149" w:lineRule="exact"/>
              <w:rPr>
                <w:sz w:val="20"/>
                <w:szCs w:val="20"/>
                <w:color w:val="auto"/>
              </w:rPr>
            </w:pPr>
            <w:r>
              <w:rPr>
                <w:rFonts w:ascii="Arial" w:cs="Arial" w:eastAsia="Arial" w:hAnsi="Arial"/>
                <w:sz w:val="14"/>
                <w:szCs w:val="14"/>
                <w:b w:val="1"/>
                <w:bCs w:val="1"/>
                <w:color w:val="auto"/>
                <w:w w:val="96"/>
              </w:rPr>
              <w:t>Awards: Market or</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gridSpan w:val="3"/>
          </w:tcPr>
          <w:p>
            <w:pPr>
              <w:jc w:val="center"/>
              <w:ind w:right="60"/>
              <w:spacing w:after="0" w:line="149" w:lineRule="exact"/>
              <w:rPr>
                <w:sz w:val="20"/>
                <w:szCs w:val="20"/>
                <w:color w:val="auto"/>
              </w:rPr>
            </w:pPr>
            <w:r>
              <w:rPr>
                <w:rFonts w:ascii="Arial" w:cs="Arial" w:eastAsia="Arial" w:hAnsi="Arial"/>
                <w:sz w:val="14"/>
                <w:szCs w:val="14"/>
                <w:b w:val="1"/>
                <w:bCs w:val="1"/>
                <w:color w:val="auto"/>
                <w:w w:val="95"/>
              </w:rPr>
              <w:t>Underlying</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center"/>
              <w:ind w:right="219"/>
              <w:spacing w:after="0" w:line="149" w:lineRule="exact"/>
              <w:rPr>
                <w:sz w:val="20"/>
                <w:szCs w:val="20"/>
                <w:color w:val="auto"/>
              </w:rPr>
            </w:pPr>
            <w:r>
              <w:rPr>
                <w:rFonts w:ascii="Arial" w:cs="Arial" w:eastAsia="Arial" w:hAnsi="Arial"/>
                <w:sz w:val="14"/>
                <w:szCs w:val="14"/>
                <w:b w:val="1"/>
                <w:bCs w:val="1"/>
                <w:color w:val="auto"/>
                <w:w w:val="92"/>
              </w:rPr>
              <w:t>Underlying</w:t>
            </w:r>
          </w:p>
        </w:tc>
        <w:tc>
          <w:tcPr>
            <w:tcW w:w="22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98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7"/>
              </w:rPr>
              <w:t>Option</w:t>
            </w:r>
          </w:p>
        </w:tc>
        <w:tc>
          <w:tcPr>
            <w:tcW w:w="112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95"/>
              </w:rPr>
              <w:t>That Have</w:t>
            </w:r>
          </w:p>
        </w:tc>
        <w:tc>
          <w:tcPr>
            <w:tcW w:w="9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Units of Stock</w:t>
            </w:r>
          </w:p>
        </w:tc>
        <w:tc>
          <w:tcPr>
            <w:tcW w:w="160" w:type="dxa"/>
            <w:vAlign w:val="bottom"/>
          </w:tcPr>
          <w:p>
            <w:pPr>
              <w:spacing w:after="0"/>
              <w:rPr>
                <w:sz w:val="12"/>
                <w:szCs w:val="12"/>
                <w:color w:val="auto"/>
              </w:rPr>
            </w:pPr>
          </w:p>
        </w:tc>
        <w:tc>
          <w:tcPr>
            <w:tcW w:w="1600" w:type="dxa"/>
            <w:vAlign w:val="bottom"/>
            <w:gridSpan w:val="2"/>
          </w:tcPr>
          <w:p>
            <w:pPr>
              <w:jc w:val="center"/>
              <w:ind w:right="459"/>
              <w:spacing w:after="0" w:line="149" w:lineRule="exact"/>
              <w:rPr>
                <w:sz w:val="20"/>
                <w:szCs w:val="20"/>
                <w:color w:val="auto"/>
              </w:rPr>
            </w:pPr>
            <w:r>
              <w:rPr>
                <w:rFonts w:ascii="Arial" w:cs="Arial" w:eastAsia="Arial" w:hAnsi="Arial"/>
                <w:sz w:val="14"/>
                <w:szCs w:val="14"/>
                <w:b w:val="1"/>
                <w:bCs w:val="1"/>
                <w:color w:val="auto"/>
                <w:w w:val="90"/>
              </w:rPr>
              <w:t>Unearned Shares,</w:t>
            </w:r>
          </w:p>
        </w:tc>
        <w:tc>
          <w:tcPr>
            <w:tcW w:w="1500" w:type="dxa"/>
            <w:vAlign w:val="bottom"/>
            <w:gridSpan w:val="2"/>
          </w:tcPr>
          <w:p>
            <w:pPr>
              <w:jc w:val="center"/>
              <w:ind w:right="40"/>
              <w:spacing w:after="0" w:line="149" w:lineRule="exact"/>
              <w:rPr>
                <w:sz w:val="20"/>
                <w:szCs w:val="20"/>
                <w:color w:val="auto"/>
              </w:rPr>
            </w:pPr>
            <w:r>
              <w:rPr>
                <w:rFonts w:ascii="Arial" w:cs="Arial" w:eastAsia="Arial" w:hAnsi="Arial"/>
                <w:sz w:val="14"/>
                <w:szCs w:val="14"/>
                <w:b w:val="1"/>
                <w:bCs w:val="1"/>
                <w:color w:val="auto"/>
                <w:w w:val="93"/>
              </w:rPr>
              <w:t>Payout Value of</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gridSpan w:val="3"/>
          </w:tcPr>
          <w:p>
            <w:pPr>
              <w:jc w:val="right"/>
              <w:ind w:right="60"/>
              <w:spacing w:after="0" w:line="149" w:lineRule="exact"/>
              <w:rPr>
                <w:sz w:val="20"/>
                <w:szCs w:val="20"/>
                <w:color w:val="auto"/>
              </w:rPr>
            </w:pPr>
            <w:r>
              <w:rPr>
                <w:rFonts w:ascii="Arial" w:cs="Arial" w:eastAsia="Arial" w:hAnsi="Arial"/>
                <w:sz w:val="14"/>
                <w:szCs w:val="14"/>
                <w:b w:val="1"/>
                <w:bCs w:val="1"/>
                <w:color w:val="auto"/>
                <w:w w:val="86"/>
              </w:rPr>
              <w:t>Unexercised</w:t>
            </w:r>
          </w:p>
        </w:tc>
        <w:tc>
          <w:tcPr>
            <w:tcW w:w="200" w:type="dxa"/>
            <w:vAlign w:val="bottom"/>
          </w:tcPr>
          <w:p>
            <w:pPr>
              <w:spacing w:after="0"/>
              <w:rPr>
                <w:sz w:val="12"/>
                <w:szCs w:val="12"/>
                <w:color w:val="auto"/>
              </w:rPr>
            </w:pPr>
          </w:p>
        </w:tc>
        <w:tc>
          <w:tcPr>
            <w:tcW w:w="1080" w:type="dxa"/>
            <w:vAlign w:val="bottom"/>
            <w:gridSpan w:val="3"/>
          </w:tcPr>
          <w:p>
            <w:pPr>
              <w:jc w:val="center"/>
              <w:ind w:right="139"/>
              <w:spacing w:after="0" w:line="149" w:lineRule="exact"/>
              <w:rPr>
                <w:sz w:val="20"/>
                <w:szCs w:val="20"/>
                <w:color w:val="auto"/>
              </w:rPr>
            </w:pPr>
            <w:r>
              <w:rPr>
                <w:rFonts w:ascii="Arial" w:cs="Arial" w:eastAsia="Arial" w:hAnsi="Arial"/>
                <w:sz w:val="14"/>
                <w:szCs w:val="14"/>
                <w:b w:val="1"/>
                <w:bCs w:val="1"/>
                <w:color w:val="auto"/>
                <w:w w:val="91"/>
              </w:rPr>
              <w:t>Unexercised</w:t>
            </w:r>
          </w:p>
        </w:tc>
        <w:tc>
          <w:tcPr>
            <w:tcW w:w="220" w:type="dxa"/>
            <w:vAlign w:val="bottom"/>
          </w:tcPr>
          <w:p>
            <w:pPr>
              <w:spacing w:after="0"/>
              <w:rPr>
                <w:sz w:val="12"/>
                <w:szCs w:val="12"/>
                <w:color w:val="auto"/>
              </w:rPr>
            </w:pPr>
          </w:p>
        </w:tc>
        <w:tc>
          <w:tcPr>
            <w:tcW w:w="7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0"/>
              </w:rPr>
              <w:t>Exercise</w:t>
            </w:r>
          </w:p>
        </w:tc>
        <w:tc>
          <w:tcPr>
            <w:tcW w:w="980" w:type="dxa"/>
            <w:vAlign w:val="bottom"/>
            <w:gridSpan w:val="2"/>
            <w:vMerge w:val="continue"/>
          </w:tcPr>
          <w:p>
            <w:pPr>
              <w:spacing w:after="0"/>
              <w:rPr>
                <w:sz w:val="12"/>
                <w:szCs w:val="12"/>
                <w:color w:val="auto"/>
              </w:rPr>
            </w:pPr>
          </w:p>
        </w:tc>
        <w:tc>
          <w:tcPr>
            <w:tcW w:w="112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94"/>
              </w:rPr>
              <w:t>Not</w:t>
            </w:r>
          </w:p>
        </w:tc>
        <w:tc>
          <w:tcPr>
            <w:tcW w:w="9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8"/>
              </w:rPr>
              <w:t>That Have</w:t>
            </w:r>
          </w:p>
        </w:tc>
        <w:tc>
          <w:tcPr>
            <w:tcW w:w="160" w:type="dxa"/>
            <w:vAlign w:val="bottom"/>
          </w:tcPr>
          <w:p>
            <w:pPr>
              <w:spacing w:after="0"/>
              <w:rPr>
                <w:sz w:val="12"/>
                <w:szCs w:val="12"/>
                <w:color w:val="auto"/>
              </w:rPr>
            </w:pPr>
          </w:p>
        </w:tc>
        <w:tc>
          <w:tcPr>
            <w:tcW w:w="1600" w:type="dxa"/>
            <w:vAlign w:val="bottom"/>
            <w:gridSpan w:val="2"/>
          </w:tcPr>
          <w:p>
            <w:pPr>
              <w:jc w:val="center"/>
              <w:ind w:right="459"/>
              <w:spacing w:after="0" w:line="149" w:lineRule="exact"/>
              <w:rPr>
                <w:sz w:val="20"/>
                <w:szCs w:val="20"/>
                <w:color w:val="auto"/>
              </w:rPr>
            </w:pPr>
            <w:r>
              <w:rPr>
                <w:rFonts w:ascii="Arial" w:cs="Arial" w:eastAsia="Arial" w:hAnsi="Arial"/>
                <w:sz w:val="14"/>
                <w:szCs w:val="14"/>
                <w:b w:val="1"/>
                <w:bCs w:val="1"/>
                <w:color w:val="auto"/>
                <w:w w:val="97"/>
              </w:rPr>
              <w:t>Units or Other</w:t>
            </w:r>
          </w:p>
        </w:tc>
        <w:tc>
          <w:tcPr>
            <w:tcW w:w="1500" w:type="dxa"/>
            <w:vAlign w:val="bottom"/>
            <w:gridSpan w:val="2"/>
          </w:tcPr>
          <w:p>
            <w:pPr>
              <w:jc w:val="center"/>
              <w:ind w:right="40"/>
              <w:spacing w:after="0" w:line="149" w:lineRule="exact"/>
              <w:rPr>
                <w:sz w:val="20"/>
                <w:szCs w:val="20"/>
                <w:color w:val="auto"/>
              </w:rPr>
            </w:pPr>
            <w:r>
              <w:rPr>
                <w:rFonts w:ascii="Arial" w:cs="Arial" w:eastAsia="Arial" w:hAnsi="Arial"/>
                <w:sz w:val="14"/>
                <w:szCs w:val="14"/>
                <w:b w:val="1"/>
                <w:bCs w:val="1"/>
                <w:color w:val="auto"/>
                <w:w w:val="92"/>
              </w:rPr>
              <w:t>Unearned Shares, Units</w:t>
            </w:r>
          </w:p>
        </w:tc>
        <w:tc>
          <w:tcPr>
            <w:tcW w:w="0" w:type="dxa"/>
            <w:vAlign w:val="bottom"/>
          </w:tcPr>
          <w:p>
            <w:pPr>
              <w:spacing w:after="0"/>
              <w:rPr>
                <w:sz w:val="1"/>
                <w:szCs w:val="1"/>
                <w:color w:val="auto"/>
              </w:rPr>
            </w:pPr>
          </w:p>
        </w:tc>
      </w:tr>
      <w:tr>
        <w:trPr>
          <w:trHeight w:val="149"/>
        </w:trPr>
        <w:tc>
          <w:tcPr>
            <w:tcW w:w="17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w:t>
            </w:r>
          </w:p>
        </w:tc>
        <w:tc>
          <w:tcPr>
            <w:tcW w:w="220" w:type="dxa"/>
            <w:vAlign w:val="bottom"/>
          </w:tcPr>
          <w:p>
            <w:pPr>
              <w:spacing w:after="0"/>
              <w:rPr>
                <w:sz w:val="12"/>
                <w:szCs w:val="12"/>
                <w:color w:val="auto"/>
              </w:rPr>
            </w:pPr>
          </w:p>
        </w:tc>
        <w:tc>
          <w:tcPr>
            <w:tcW w:w="800" w:type="dxa"/>
            <w:vAlign w:val="bottom"/>
            <w:gridSpan w:val="3"/>
          </w:tcPr>
          <w:p>
            <w:pPr>
              <w:jc w:val="center"/>
              <w:ind w:right="60"/>
              <w:spacing w:after="0" w:line="149" w:lineRule="exact"/>
              <w:rPr>
                <w:sz w:val="20"/>
                <w:szCs w:val="20"/>
                <w:color w:val="auto"/>
              </w:rPr>
            </w:pPr>
            <w:r>
              <w:rPr>
                <w:rFonts w:ascii="Arial" w:cs="Arial" w:eastAsia="Arial" w:hAnsi="Arial"/>
                <w:sz w:val="14"/>
                <w:szCs w:val="14"/>
                <w:b w:val="1"/>
                <w:bCs w:val="1"/>
                <w:color w:val="auto"/>
                <w:w w:val="94"/>
              </w:rPr>
              <w:t>Options (#)</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center"/>
              <w:ind w:right="219"/>
              <w:spacing w:after="0" w:line="149" w:lineRule="exact"/>
              <w:rPr>
                <w:sz w:val="20"/>
                <w:szCs w:val="20"/>
                <w:color w:val="auto"/>
              </w:rPr>
            </w:pPr>
            <w:r>
              <w:rPr>
                <w:rFonts w:ascii="Arial" w:cs="Arial" w:eastAsia="Arial" w:hAnsi="Arial"/>
                <w:sz w:val="14"/>
                <w:szCs w:val="14"/>
                <w:b w:val="1"/>
                <w:bCs w:val="1"/>
                <w:color w:val="auto"/>
                <w:w w:val="91"/>
              </w:rPr>
              <w:t>Options (#)</w:t>
            </w:r>
          </w:p>
        </w:tc>
        <w:tc>
          <w:tcPr>
            <w:tcW w:w="220" w:type="dxa"/>
            <w:vAlign w:val="bottom"/>
          </w:tcPr>
          <w:p>
            <w:pPr>
              <w:spacing w:after="0"/>
              <w:rPr>
                <w:sz w:val="12"/>
                <w:szCs w:val="12"/>
                <w:color w:val="auto"/>
              </w:rPr>
            </w:pPr>
          </w:p>
        </w:tc>
        <w:tc>
          <w:tcPr>
            <w:tcW w:w="7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3"/>
              </w:rPr>
              <w:t>Price</w:t>
            </w: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6"/>
              </w:rPr>
              <w:t>Expiration</w:t>
            </w:r>
          </w:p>
        </w:tc>
        <w:tc>
          <w:tcPr>
            <w:tcW w:w="112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7"/>
              </w:rPr>
              <w:t>Vested</w:t>
            </w:r>
          </w:p>
        </w:tc>
        <w:tc>
          <w:tcPr>
            <w:tcW w:w="9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Not Vested</w:t>
            </w:r>
          </w:p>
        </w:tc>
        <w:tc>
          <w:tcPr>
            <w:tcW w:w="160" w:type="dxa"/>
            <w:vAlign w:val="bottom"/>
          </w:tcPr>
          <w:p>
            <w:pPr>
              <w:spacing w:after="0"/>
              <w:rPr>
                <w:sz w:val="12"/>
                <w:szCs w:val="12"/>
                <w:color w:val="auto"/>
              </w:rPr>
            </w:pPr>
          </w:p>
        </w:tc>
        <w:tc>
          <w:tcPr>
            <w:tcW w:w="1600" w:type="dxa"/>
            <w:vAlign w:val="bottom"/>
            <w:gridSpan w:val="2"/>
          </w:tcPr>
          <w:p>
            <w:pPr>
              <w:jc w:val="center"/>
              <w:ind w:right="459"/>
              <w:spacing w:after="0" w:line="149" w:lineRule="exact"/>
              <w:rPr>
                <w:sz w:val="20"/>
                <w:szCs w:val="20"/>
                <w:color w:val="auto"/>
              </w:rPr>
            </w:pPr>
            <w:r>
              <w:rPr>
                <w:rFonts w:ascii="Arial" w:cs="Arial" w:eastAsia="Arial" w:hAnsi="Arial"/>
                <w:sz w:val="14"/>
                <w:szCs w:val="14"/>
                <w:b w:val="1"/>
                <w:bCs w:val="1"/>
                <w:color w:val="auto"/>
                <w:w w:val="94"/>
              </w:rPr>
              <w:t>Rights That Have</w:t>
            </w:r>
          </w:p>
        </w:tc>
        <w:tc>
          <w:tcPr>
            <w:tcW w:w="1500" w:type="dxa"/>
            <w:vAlign w:val="bottom"/>
            <w:gridSpan w:val="2"/>
          </w:tcPr>
          <w:p>
            <w:pPr>
              <w:jc w:val="center"/>
              <w:ind w:right="40"/>
              <w:spacing w:after="0" w:line="149" w:lineRule="exact"/>
              <w:rPr>
                <w:sz w:val="20"/>
                <w:szCs w:val="20"/>
                <w:color w:val="auto"/>
              </w:rPr>
            </w:pPr>
            <w:r>
              <w:rPr>
                <w:rFonts w:ascii="Arial" w:cs="Arial" w:eastAsia="Arial" w:hAnsi="Arial"/>
                <w:sz w:val="14"/>
                <w:szCs w:val="14"/>
                <w:b w:val="1"/>
                <w:bCs w:val="1"/>
                <w:color w:val="auto"/>
                <w:w w:val="95"/>
              </w:rPr>
              <w:t>or Other Rights That</w:t>
            </w:r>
          </w:p>
        </w:tc>
        <w:tc>
          <w:tcPr>
            <w:tcW w:w="0" w:type="dxa"/>
            <w:vAlign w:val="bottom"/>
          </w:tcPr>
          <w:p>
            <w:pPr>
              <w:spacing w:after="0"/>
              <w:rPr>
                <w:sz w:val="1"/>
                <w:szCs w:val="1"/>
                <w:color w:val="auto"/>
              </w:rPr>
            </w:pPr>
          </w:p>
        </w:tc>
      </w:tr>
      <w:tr>
        <w:trPr>
          <w:trHeight w:val="171"/>
        </w:trPr>
        <w:tc>
          <w:tcPr>
            <w:tcW w:w="1780" w:type="dxa"/>
            <w:vAlign w:val="bottom"/>
            <w:gridSpan w:val="2"/>
            <w:vMerge w:val="continue"/>
          </w:tcPr>
          <w:p>
            <w:pPr>
              <w:spacing w:after="0"/>
              <w:rPr>
                <w:sz w:val="14"/>
                <w:szCs w:val="14"/>
                <w:color w:val="auto"/>
              </w:rPr>
            </w:pPr>
          </w:p>
        </w:tc>
        <w:tc>
          <w:tcPr>
            <w:tcW w:w="220" w:type="dxa"/>
            <w:vAlign w:val="bottom"/>
          </w:tcPr>
          <w:p>
            <w:pPr>
              <w:spacing w:after="0"/>
              <w:rPr>
                <w:sz w:val="14"/>
                <w:szCs w:val="14"/>
                <w:color w:val="auto"/>
              </w:rPr>
            </w:pPr>
          </w:p>
        </w:tc>
        <w:tc>
          <w:tcPr>
            <w:tcW w:w="800" w:type="dxa"/>
            <w:vAlign w:val="bottom"/>
            <w:gridSpan w:val="3"/>
          </w:tcPr>
          <w:p>
            <w:pPr>
              <w:jc w:val="center"/>
              <w:ind w:right="60"/>
              <w:spacing w:after="0"/>
              <w:rPr>
                <w:sz w:val="20"/>
                <w:szCs w:val="20"/>
                <w:color w:val="auto"/>
              </w:rPr>
            </w:pPr>
            <w:r>
              <w:rPr>
                <w:rFonts w:ascii="Arial" w:cs="Arial" w:eastAsia="Arial" w:hAnsi="Arial"/>
                <w:sz w:val="14"/>
                <w:szCs w:val="14"/>
                <w:b w:val="1"/>
                <w:bCs w:val="1"/>
                <w:color w:val="auto"/>
                <w:w w:val="89"/>
              </w:rPr>
              <w:t>Exercisable</w:t>
            </w:r>
          </w:p>
        </w:tc>
        <w:tc>
          <w:tcPr>
            <w:tcW w:w="200" w:type="dxa"/>
            <w:vAlign w:val="bottom"/>
          </w:tcPr>
          <w:p>
            <w:pPr>
              <w:spacing w:after="0"/>
              <w:rPr>
                <w:sz w:val="14"/>
                <w:szCs w:val="14"/>
                <w:color w:val="auto"/>
              </w:rPr>
            </w:pPr>
          </w:p>
        </w:tc>
        <w:tc>
          <w:tcPr>
            <w:tcW w:w="1080" w:type="dxa"/>
            <w:vAlign w:val="bottom"/>
            <w:gridSpan w:val="3"/>
          </w:tcPr>
          <w:p>
            <w:pPr>
              <w:jc w:val="center"/>
              <w:ind w:right="159"/>
              <w:spacing w:after="0"/>
              <w:rPr>
                <w:sz w:val="20"/>
                <w:szCs w:val="20"/>
                <w:color w:val="auto"/>
              </w:rPr>
            </w:pPr>
            <w:r>
              <w:rPr>
                <w:rFonts w:ascii="Arial" w:cs="Arial" w:eastAsia="Arial" w:hAnsi="Arial"/>
                <w:sz w:val="14"/>
                <w:szCs w:val="14"/>
                <w:b w:val="1"/>
                <w:bCs w:val="1"/>
                <w:color w:val="auto"/>
                <w:w w:val="90"/>
              </w:rPr>
              <w:t>Unexercisable</w:t>
            </w:r>
          </w:p>
        </w:tc>
        <w:tc>
          <w:tcPr>
            <w:tcW w:w="740" w:type="dxa"/>
            <w:vAlign w:val="bottom"/>
            <w:gridSpan w:val="2"/>
          </w:tcPr>
          <w:p>
            <w:pPr>
              <w:jc w:val="center"/>
              <w:ind w:left="148"/>
              <w:spacing w:after="0"/>
              <w:rPr>
                <w:sz w:val="20"/>
                <w:szCs w:val="20"/>
                <w:color w:val="auto"/>
              </w:rPr>
            </w:pPr>
            <w:r>
              <w:rPr>
                <w:rFonts w:ascii="Arial" w:cs="Arial" w:eastAsia="Arial" w:hAnsi="Arial"/>
                <w:sz w:val="14"/>
                <w:szCs w:val="14"/>
                <w:b w:val="1"/>
                <w:bCs w:val="1"/>
                <w:color w:val="auto"/>
                <w:w w:val="93"/>
              </w:rPr>
              <w:t>($)</w:t>
            </w:r>
          </w:p>
        </w:tc>
        <w:tc>
          <w:tcPr>
            <w:tcW w:w="260" w:type="dxa"/>
            <w:vAlign w:val="bottom"/>
          </w:tcPr>
          <w:p>
            <w:pPr>
              <w:spacing w:after="0"/>
              <w:rPr>
                <w:sz w:val="14"/>
                <w:szCs w:val="14"/>
                <w:color w:val="auto"/>
              </w:rPr>
            </w:pPr>
          </w:p>
        </w:tc>
        <w:tc>
          <w:tcPr>
            <w:tcW w:w="9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2"/>
              </w:rPr>
              <w:t>Date</w:t>
            </w: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93"/>
              </w:rPr>
              <w:t>(#)</w:t>
            </w:r>
          </w:p>
        </w:tc>
        <w:tc>
          <w:tcPr>
            <w:tcW w:w="440" w:type="dxa"/>
            <w:vAlign w:val="bottom"/>
          </w:tcPr>
          <w:p>
            <w:pPr>
              <w:spacing w:after="0"/>
              <w:rPr>
                <w:sz w:val="14"/>
                <w:szCs w:val="14"/>
                <w:color w:val="auto"/>
              </w:rPr>
            </w:pPr>
          </w:p>
        </w:tc>
        <w:tc>
          <w:tcPr>
            <w:tcW w:w="860" w:type="dxa"/>
            <w:vAlign w:val="bottom"/>
          </w:tcPr>
          <w:p>
            <w:pPr>
              <w:jc w:val="center"/>
              <w:spacing w:after="0"/>
              <w:rPr>
                <w:sz w:val="20"/>
                <w:szCs w:val="20"/>
                <w:color w:val="auto"/>
              </w:rPr>
            </w:pPr>
            <w:r>
              <w:rPr>
                <w:rFonts w:ascii="Arial" w:cs="Arial" w:eastAsia="Arial" w:hAnsi="Arial"/>
                <w:sz w:val="14"/>
                <w:szCs w:val="14"/>
                <w:b w:val="1"/>
                <w:bCs w:val="1"/>
                <w:color w:val="auto"/>
                <w:w w:val="95"/>
              </w:rPr>
              <w:t xml:space="preserve">($) </w:t>
            </w:r>
            <w:r>
              <w:rPr>
                <w:rFonts w:ascii="Arial" w:cs="Arial" w:eastAsia="Arial" w:hAnsi="Arial"/>
                <w:sz w:val="12"/>
                <w:szCs w:val="12"/>
                <w:b w:val="1"/>
                <w:bCs w:val="1"/>
                <w:color w:val="auto"/>
                <w:w w:val="95"/>
              </w:rPr>
              <w:t>(8)</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0" w:type="dxa"/>
            <w:vAlign w:val="bottom"/>
            <w:gridSpan w:val="2"/>
          </w:tcPr>
          <w:p>
            <w:pPr>
              <w:jc w:val="center"/>
              <w:ind w:right="459"/>
              <w:spacing w:after="0"/>
              <w:rPr>
                <w:sz w:val="20"/>
                <w:szCs w:val="20"/>
                <w:color w:val="auto"/>
              </w:rPr>
            </w:pPr>
            <w:r>
              <w:rPr>
                <w:rFonts w:ascii="Arial" w:cs="Arial" w:eastAsia="Arial" w:hAnsi="Arial"/>
                <w:sz w:val="14"/>
                <w:szCs w:val="14"/>
                <w:b w:val="1"/>
                <w:bCs w:val="1"/>
                <w:color w:val="auto"/>
                <w:w w:val="92"/>
              </w:rPr>
              <w:t xml:space="preserve">Not Vested (#) </w:t>
            </w:r>
            <w:r>
              <w:rPr>
                <w:rFonts w:ascii="Arial" w:cs="Arial" w:eastAsia="Arial" w:hAnsi="Arial"/>
                <w:sz w:val="12"/>
                <w:szCs w:val="12"/>
                <w:b w:val="1"/>
                <w:bCs w:val="1"/>
                <w:color w:val="auto"/>
                <w:w w:val="92"/>
              </w:rPr>
              <w:t>(9)</w:t>
            </w:r>
          </w:p>
        </w:tc>
        <w:tc>
          <w:tcPr>
            <w:tcW w:w="1500" w:type="dxa"/>
            <w:vAlign w:val="bottom"/>
            <w:gridSpan w:val="2"/>
          </w:tcPr>
          <w:p>
            <w:pPr>
              <w:jc w:val="center"/>
              <w:ind w:right="40"/>
              <w:spacing w:after="0"/>
              <w:rPr>
                <w:sz w:val="20"/>
                <w:szCs w:val="20"/>
                <w:color w:val="auto"/>
              </w:rPr>
            </w:pPr>
            <w:r>
              <w:rPr>
                <w:rFonts w:ascii="Arial" w:cs="Arial" w:eastAsia="Arial" w:hAnsi="Arial"/>
                <w:sz w:val="14"/>
                <w:szCs w:val="14"/>
                <w:b w:val="1"/>
                <w:bCs w:val="1"/>
                <w:color w:val="auto"/>
                <w:w w:val="91"/>
              </w:rPr>
              <w:t xml:space="preserve">Have Not Vested </w:t>
            </w:r>
            <w:r>
              <w:rPr>
                <w:rFonts w:ascii="Arial" w:cs="Arial" w:eastAsia="Arial" w:hAnsi="Arial"/>
                <w:sz w:val="14"/>
                <w:szCs w:val="14"/>
                <w:b w:val="1"/>
                <w:bCs w:val="1"/>
                <w:u w:val="single" w:color="auto"/>
                <w:color w:val="auto"/>
                <w:w w:val="91"/>
              </w:rPr>
              <w:t>($</w:t>
            </w:r>
            <w:r>
              <w:rPr>
                <w:rFonts w:ascii="Arial" w:cs="Arial" w:eastAsia="Arial" w:hAnsi="Arial"/>
                <w:sz w:val="14"/>
                <w:szCs w:val="14"/>
                <w:b w:val="1"/>
                <w:bCs w:val="1"/>
                <w:color w:val="auto"/>
                <w:w w:val="91"/>
              </w:rPr>
              <w:t xml:space="preserve">) </w:t>
            </w:r>
            <w:r>
              <w:rPr>
                <w:rFonts w:ascii="Arial" w:cs="Arial" w:eastAsia="Arial" w:hAnsi="Arial"/>
                <w:sz w:val="12"/>
                <w:szCs w:val="12"/>
                <w:b w:val="1"/>
                <w:bCs w:val="1"/>
                <w:color w:val="auto"/>
                <w:w w:val="91"/>
              </w:rPr>
              <w:t>(8)</w:t>
            </w:r>
          </w:p>
        </w:tc>
        <w:tc>
          <w:tcPr>
            <w:tcW w:w="0" w:type="dxa"/>
            <w:vAlign w:val="bottom"/>
          </w:tcPr>
          <w:p>
            <w:pPr>
              <w:spacing w:after="0"/>
              <w:rPr>
                <w:sz w:val="1"/>
                <w:szCs w:val="1"/>
                <w:color w:val="auto"/>
              </w:rPr>
            </w:pPr>
          </w:p>
        </w:tc>
      </w:tr>
      <w:tr>
        <w:trPr>
          <w:trHeight w:val="123"/>
        </w:trPr>
        <w:tc>
          <w:tcPr>
            <w:tcW w:w="380" w:type="dxa"/>
            <w:vAlign w:val="bottom"/>
            <w:tcBorders>
              <w:top w:val="single" w:sz="8" w:color="auto"/>
            </w:tcBorders>
            <w:shd w:val="clear" w:color="auto" w:fill="CCEEFF"/>
          </w:tcPr>
          <w:p>
            <w:pPr>
              <w:spacing w:after="0" w:line="123" w:lineRule="exact"/>
              <w:rPr>
                <w:sz w:val="20"/>
                <w:szCs w:val="20"/>
                <w:color w:val="auto"/>
              </w:rPr>
            </w:pPr>
            <w:r>
              <w:rPr>
                <w:rFonts w:ascii="Arial" w:cs="Arial" w:eastAsia="Arial" w:hAnsi="Arial"/>
                <w:sz w:val="14"/>
                <w:szCs w:val="14"/>
                <w:color w:val="auto"/>
              </w:rPr>
              <w:t>Mr.</w:t>
            </w:r>
          </w:p>
        </w:tc>
        <w:tc>
          <w:tcPr>
            <w:tcW w:w="1400" w:type="dxa"/>
            <w:vAlign w:val="bottom"/>
            <w:tcBorders>
              <w:top w:val="single" w:sz="8" w:color="CCEEFF"/>
            </w:tcBorders>
            <w:shd w:val="clear" w:color="auto" w:fill="CCEEFF"/>
          </w:tcPr>
          <w:p>
            <w:pPr>
              <w:spacing w:after="0" w:line="123" w:lineRule="exact"/>
              <w:rPr>
                <w:sz w:val="20"/>
                <w:szCs w:val="20"/>
                <w:color w:val="auto"/>
              </w:rPr>
            </w:pPr>
            <w:r>
              <w:rPr>
                <w:rFonts w:ascii="Arial" w:cs="Arial" w:eastAsia="Arial" w:hAnsi="Arial"/>
                <w:sz w:val="14"/>
                <w:szCs w:val="14"/>
                <w:color w:val="auto"/>
              </w:rPr>
              <w:t>McInerney</w:t>
            </w:r>
          </w:p>
        </w:tc>
        <w:tc>
          <w:tcPr>
            <w:tcW w:w="220" w:type="dxa"/>
            <w:vAlign w:val="bottom"/>
            <w:tcBorders>
              <w:top w:val="single" w:sz="8" w:color="CCEEFF"/>
            </w:tcBorders>
            <w:shd w:val="clear" w:color="auto" w:fill="CCEEFF"/>
          </w:tcPr>
          <w:p>
            <w:pPr>
              <w:spacing w:after="0"/>
              <w:rPr>
                <w:sz w:val="10"/>
                <w:szCs w:val="10"/>
                <w:color w:val="auto"/>
              </w:rPr>
            </w:pPr>
          </w:p>
        </w:tc>
        <w:tc>
          <w:tcPr>
            <w:tcW w:w="740" w:type="dxa"/>
            <w:vAlign w:val="bottom"/>
            <w:tcBorders>
              <w:top w:val="single" w:sz="8" w:color="auto"/>
            </w:tcBorders>
            <w:gridSpan w:val="2"/>
            <w:shd w:val="clear" w:color="auto" w:fill="CCEEFF"/>
          </w:tcPr>
          <w:p>
            <w:pPr>
              <w:jc w:val="right"/>
              <w:spacing w:after="0" w:line="123" w:lineRule="exact"/>
              <w:rPr>
                <w:sz w:val="20"/>
                <w:szCs w:val="20"/>
                <w:color w:val="auto"/>
              </w:rPr>
            </w:pPr>
            <w:r>
              <w:rPr>
                <w:rFonts w:ascii="Arial" w:cs="Arial" w:eastAsia="Arial" w:hAnsi="Arial"/>
                <w:sz w:val="14"/>
                <w:szCs w:val="14"/>
                <w:color w:val="auto"/>
              </w:rPr>
              <w:t>1,200,000</w:t>
            </w:r>
          </w:p>
        </w:tc>
        <w:tc>
          <w:tcPr>
            <w:tcW w:w="60" w:type="dxa"/>
            <w:vAlign w:val="bottom"/>
            <w:tcBorders>
              <w:top w:val="single" w:sz="8" w:color="CCEEFF"/>
            </w:tcBorders>
            <w:shd w:val="clear" w:color="auto" w:fill="CCEEFF"/>
          </w:tcPr>
          <w:p>
            <w:pPr>
              <w:spacing w:after="0"/>
              <w:rPr>
                <w:sz w:val="10"/>
                <w:szCs w:val="10"/>
                <w:color w:val="auto"/>
              </w:rPr>
            </w:pPr>
          </w:p>
        </w:tc>
        <w:tc>
          <w:tcPr>
            <w:tcW w:w="20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800" w:type="dxa"/>
            <w:vAlign w:val="bottom"/>
            <w:tcBorders>
              <w:top w:val="single" w:sz="8" w:color="auto"/>
            </w:tcBorders>
            <w:shd w:val="clear" w:color="auto" w:fill="CCEEFF"/>
          </w:tcPr>
          <w:p>
            <w:pPr>
              <w:jc w:val="right"/>
              <w:ind w:right="8"/>
              <w:spacing w:after="0" w:line="123" w:lineRule="exact"/>
              <w:rPr>
                <w:sz w:val="20"/>
                <w:szCs w:val="20"/>
                <w:color w:val="auto"/>
              </w:rPr>
            </w:pPr>
            <w:r>
              <w:rPr>
                <w:rFonts w:ascii="Arial" w:cs="Arial" w:eastAsia="Arial" w:hAnsi="Arial"/>
                <w:sz w:val="14"/>
                <w:szCs w:val="14"/>
                <w:color w:val="auto"/>
              </w:rPr>
              <w:t>—</w:t>
            </w:r>
          </w:p>
        </w:tc>
        <w:tc>
          <w:tcPr>
            <w:tcW w:w="200" w:type="dxa"/>
            <w:vAlign w:val="bottom"/>
            <w:tcBorders>
              <w:top w:val="single" w:sz="8" w:color="CCEEFF"/>
            </w:tcBorders>
            <w:shd w:val="clear" w:color="auto" w:fill="CCEEFF"/>
          </w:tcPr>
          <w:p>
            <w:pPr>
              <w:spacing w:after="0"/>
              <w:rPr>
                <w:sz w:val="10"/>
                <w:szCs w:val="10"/>
                <w:color w:val="auto"/>
              </w:rPr>
            </w:pPr>
          </w:p>
        </w:tc>
        <w:tc>
          <w:tcPr>
            <w:tcW w:w="220" w:type="dxa"/>
            <w:vAlign w:val="bottom"/>
            <w:tcBorders>
              <w:top w:val="single" w:sz="8" w:color="CCEEFF"/>
            </w:tcBorders>
            <w:shd w:val="clear" w:color="auto" w:fill="CCEEFF"/>
          </w:tcPr>
          <w:p>
            <w:pPr>
              <w:spacing w:after="0"/>
              <w:rPr>
                <w:sz w:val="10"/>
                <w:szCs w:val="10"/>
                <w:color w:val="auto"/>
              </w:rPr>
            </w:pPr>
          </w:p>
        </w:tc>
        <w:tc>
          <w:tcPr>
            <w:tcW w:w="520" w:type="dxa"/>
            <w:vAlign w:val="bottom"/>
            <w:tcBorders>
              <w:top w:val="single" w:sz="8" w:color="auto"/>
            </w:tcBorders>
            <w:shd w:val="clear" w:color="auto" w:fill="CCEEFF"/>
          </w:tcPr>
          <w:p>
            <w:pPr>
              <w:jc w:val="right"/>
              <w:spacing w:after="0" w:line="123" w:lineRule="exact"/>
              <w:rPr>
                <w:sz w:val="20"/>
                <w:szCs w:val="20"/>
                <w:color w:val="auto"/>
              </w:rPr>
            </w:pPr>
            <w:r>
              <w:rPr>
                <w:rFonts w:ascii="Arial" w:cs="Arial" w:eastAsia="Arial" w:hAnsi="Arial"/>
                <w:sz w:val="14"/>
                <w:szCs w:val="14"/>
                <w:color w:val="auto"/>
              </w:rPr>
              <w:t>7.90</w:t>
            </w:r>
          </w:p>
        </w:tc>
        <w:tc>
          <w:tcPr>
            <w:tcW w:w="260" w:type="dxa"/>
            <w:vAlign w:val="bottom"/>
            <w:tcBorders>
              <w:top w:val="single" w:sz="8" w:color="CCEEFF"/>
            </w:tcBorders>
            <w:shd w:val="clear" w:color="auto" w:fill="CCEEFF"/>
          </w:tcPr>
          <w:p>
            <w:pPr>
              <w:spacing w:after="0"/>
              <w:rPr>
                <w:sz w:val="10"/>
                <w:szCs w:val="10"/>
                <w:color w:val="auto"/>
              </w:rPr>
            </w:pPr>
          </w:p>
        </w:tc>
        <w:tc>
          <w:tcPr>
            <w:tcW w:w="700" w:type="dxa"/>
            <w:vAlign w:val="bottom"/>
            <w:tcBorders>
              <w:top w:val="single" w:sz="8" w:color="auto"/>
            </w:tcBorders>
            <w:shd w:val="clear" w:color="auto" w:fill="CCEEFF"/>
          </w:tcPr>
          <w:p>
            <w:pPr>
              <w:ind w:left="60"/>
              <w:spacing w:after="0" w:line="123" w:lineRule="exact"/>
              <w:rPr>
                <w:sz w:val="20"/>
                <w:szCs w:val="20"/>
                <w:color w:val="auto"/>
              </w:rPr>
            </w:pPr>
            <w:r>
              <w:rPr>
                <w:rFonts w:ascii="Arial" w:cs="Arial" w:eastAsia="Arial" w:hAnsi="Arial"/>
                <w:sz w:val="14"/>
                <w:szCs w:val="14"/>
                <w:color w:val="auto"/>
                <w:w w:val="88"/>
              </w:rPr>
              <w:t>01/02/2023</w:t>
            </w:r>
          </w:p>
        </w:tc>
        <w:tc>
          <w:tcPr>
            <w:tcW w:w="280" w:type="dxa"/>
            <w:vAlign w:val="bottom"/>
            <w:tcBorders>
              <w:top w:val="single" w:sz="8" w:color="CCEEFF"/>
            </w:tcBorders>
            <w:shd w:val="clear" w:color="auto" w:fill="CCEEFF"/>
          </w:tcPr>
          <w:p>
            <w:pPr>
              <w:spacing w:after="0"/>
              <w:rPr>
                <w:sz w:val="10"/>
                <w:szCs w:val="10"/>
                <w:color w:val="auto"/>
              </w:rPr>
            </w:pPr>
          </w:p>
        </w:tc>
        <w:tc>
          <w:tcPr>
            <w:tcW w:w="680" w:type="dxa"/>
            <w:vAlign w:val="bottom"/>
            <w:tcBorders>
              <w:top w:val="single" w:sz="8" w:color="auto"/>
            </w:tcBorders>
            <w:shd w:val="clear" w:color="auto" w:fill="CCEEFF"/>
          </w:tcPr>
          <w:p>
            <w:pPr>
              <w:ind w:left="460"/>
              <w:spacing w:after="0" w:line="123" w:lineRule="exact"/>
              <w:rPr>
                <w:sz w:val="20"/>
                <w:szCs w:val="20"/>
                <w:color w:val="auto"/>
              </w:rPr>
            </w:pPr>
            <w:r>
              <w:rPr>
                <w:rFonts w:ascii="Arial" w:cs="Arial" w:eastAsia="Arial" w:hAnsi="Arial"/>
                <w:sz w:val="14"/>
                <w:szCs w:val="14"/>
                <w:color w:val="auto"/>
              </w:rPr>
              <w:t>—</w:t>
            </w:r>
          </w:p>
        </w:tc>
        <w:tc>
          <w:tcPr>
            <w:tcW w:w="440" w:type="dxa"/>
            <w:vAlign w:val="bottom"/>
            <w:tcBorders>
              <w:top w:val="single" w:sz="8" w:color="CCEEFF"/>
            </w:tcBorders>
            <w:shd w:val="clear" w:color="auto" w:fill="CCEEFF"/>
          </w:tcPr>
          <w:p>
            <w:pPr>
              <w:spacing w:after="0"/>
              <w:rPr>
                <w:sz w:val="10"/>
                <w:szCs w:val="10"/>
                <w:color w:val="auto"/>
              </w:rPr>
            </w:pPr>
          </w:p>
        </w:tc>
        <w:tc>
          <w:tcPr>
            <w:tcW w:w="860" w:type="dxa"/>
            <w:vAlign w:val="bottom"/>
            <w:tcBorders>
              <w:top w:val="single" w:sz="8" w:color="auto"/>
            </w:tcBorders>
            <w:shd w:val="clear" w:color="auto" w:fill="CCEEFF"/>
          </w:tcPr>
          <w:p>
            <w:pPr>
              <w:jc w:val="right"/>
              <w:spacing w:after="0" w:line="123" w:lineRule="exact"/>
              <w:rPr>
                <w:sz w:val="20"/>
                <w:szCs w:val="20"/>
                <w:color w:val="auto"/>
              </w:rPr>
            </w:pPr>
            <w:r>
              <w:rPr>
                <w:rFonts w:ascii="Arial" w:cs="Arial" w:eastAsia="Arial" w:hAnsi="Arial"/>
                <w:sz w:val="14"/>
                <w:szCs w:val="14"/>
                <w:color w:val="auto"/>
              </w:rPr>
              <w:t>—</w:t>
            </w:r>
          </w:p>
        </w:tc>
        <w:tc>
          <w:tcPr>
            <w:tcW w:w="120" w:type="dxa"/>
            <w:vAlign w:val="bottom"/>
            <w:tcBorders>
              <w:top w:val="single" w:sz="8" w:color="CCEEFF"/>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1080" w:type="dxa"/>
            <w:vAlign w:val="bottom"/>
            <w:tcBorders>
              <w:top w:val="single" w:sz="8" w:color="auto"/>
            </w:tcBorders>
            <w:shd w:val="clear" w:color="auto" w:fill="CCEEFF"/>
          </w:tcPr>
          <w:p>
            <w:pPr>
              <w:jc w:val="right"/>
              <w:spacing w:after="0" w:line="123" w:lineRule="exact"/>
              <w:rPr>
                <w:sz w:val="20"/>
                <w:szCs w:val="20"/>
                <w:color w:val="auto"/>
              </w:rPr>
            </w:pPr>
            <w:r>
              <w:rPr>
                <w:rFonts w:ascii="Arial" w:cs="Arial" w:eastAsia="Arial" w:hAnsi="Arial"/>
                <w:sz w:val="14"/>
                <w:szCs w:val="14"/>
                <w:color w:val="auto"/>
              </w:rPr>
              <w:t>50,000</w:t>
            </w:r>
          </w:p>
        </w:tc>
        <w:tc>
          <w:tcPr>
            <w:tcW w:w="520" w:type="dxa"/>
            <w:vAlign w:val="bottom"/>
            <w:tcBorders>
              <w:top w:val="single" w:sz="8" w:color="CCEEFF"/>
            </w:tcBorders>
            <w:shd w:val="clear" w:color="auto" w:fill="CCEEFF"/>
          </w:tcPr>
          <w:p>
            <w:pPr>
              <w:jc w:val="right"/>
              <w:ind w:right="239"/>
              <w:spacing w:after="0" w:line="124" w:lineRule="exact"/>
              <w:rPr>
                <w:sz w:val="20"/>
                <w:szCs w:val="20"/>
                <w:color w:val="auto"/>
              </w:rPr>
            </w:pPr>
            <w:r>
              <w:rPr>
                <w:rFonts w:ascii="Arial" w:cs="Arial" w:eastAsia="Arial" w:hAnsi="Arial"/>
                <w:sz w:val="12"/>
                <w:szCs w:val="12"/>
                <w:color w:val="auto"/>
                <w:w w:val="93"/>
              </w:rPr>
              <w:t>(10)</w:t>
            </w:r>
          </w:p>
        </w:tc>
        <w:tc>
          <w:tcPr>
            <w:tcW w:w="1460" w:type="dxa"/>
            <w:vAlign w:val="bottom"/>
            <w:tcBorders>
              <w:top w:val="single" w:sz="8" w:color="auto"/>
            </w:tcBorders>
            <w:shd w:val="clear" w:color="auto" w:fill="CCEEFF"/>
          </w:tcPr>
          <w:p>
            <w:pPr>
              <w:jc w:val="right"/>
              <w:spacing w:after="0" w:line="123" w:lineRule="exact"/>
              <w:rPr>
                <w:sz w:val="20"/>
                <w:szCs w:val="20"/>
                <w:color w:val="auto"/>
              </w:rPr>
            </w:pPr>
            <w:r>
              <w:rPr>
                <w:rFonts w:ascii="Arial" w:cs="Arial" w:eastAsia="Arial" w:hAnsi="Arial"/>
                <w:sz w:val="14"/>
                <w:szCs w:val="14"/>
                <w:color w:val="auto"/>
              </w:rPr>
              <w:t>190,500</w:t>
            </w:r>
          </w:p>
        </w:tc>
        <w:tc>
          <w:tcPr>
            <w:tcW w:w="40" w:type="dxa"/>
            <w:vAlign w:val="bottom"/>
            <w:tcBorders>
              <w:top w:val="single" w:sz="8" w:color="CCEEFF"/>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67"/>
        </w:trPr>
        <w:tc>
          <w:tcPr>
            <w:tcW w:w="380" w:type="dxa"/>
            <w:vAlign w:val="bottom"/>
            <w:shd w:val="clear" w:color="auto" w:fill="CCEEFF"/>
          </w:tcPr>
          <w:p>
            <w:pPr>
              <w:spacing w:after="0"/>
              <w:rPr>
                <w:sz w:val="14"/>
                <w:szCs w:val="14"/>
                <w:color w:val="auto"/>
              </w:rPr>
            </w:pPr>
          </w:p>
        </w:tc>
        <w:tc>
          <w:tcPr>
            <w:tcW w:w="14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760" w:type="dxa"/>
            <w:vAlign w:val="bottom"/>
            <w:gridSpan w:val="3"/>
            <w:shd w:val="clear" w:color="auto" w:fill="CCEEFF"/>
          </w:tcPr>
          <w:p>
            <w:pPr>
              <w:jc w:val="right"/>
              <w:ind w:right="219"/>
              <w:spacing w:after="0"/>
              <w:rPr>
                <w:sz w:val="20"/>
                <w:szCs w:val="20"/>
                <w:color w:val="auto"/>
              </w:rPr>
            </w:pPr>
            <w:r>
              <w:rPr>
                <w:rFonts w:ascii="Arial" w:cs="Arial" w:eastAsia="Arial" w:hAnsi="Arial"/>
                <w:sz w:val="14"/>
                <w:szCs w:val="14"/>
                <w:color w:val="auto"/>
              </w:rPr>
              <w:t xml:space="preserve">1,875,000 </w:t>
            </w:r>
            <w:r>
              <w:rPr>
                <w:rFonts w:ascii="Arial" w:cs="Arial" w:eastAsia="Arial" w:hAnsi="Arial"/>
                <w:sz w:val="12"/>
                <w:szCs w:val="12"/>
                <w:color w:val="auto"/>
              </w:rPr>
              <w:t>(11)</w:t>
            </w:r>
          </w:p>
        </w:tc>
        <w:tc>
          <w:tcPr>
            <w:tcW w:w="1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7,143,750</w:t>
            </w:r>
          </w:p>
        </w:tc>
        <w:tc>
          <w:tcPr>
            <w:tcW w:w="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1780" w:type="dxa"/>
            <w:vAlign w:val="bottom"/>
            <w:gridSpan w:val="2"/>
          </w:tcPr>
          <w:p>
            <w:pPr>
              <w:spacing w:after="0" w:line="130" w:lineRule="exact"/>
              <w:rPr>
                <w:sz w:val="20"/>
                <w:szCs w:val="20"/>
                <w:color w:val="auto"/>
              </w:rPr>
            </w:pPr>
            <w:r>
              <w:rPr>
                <w:rFonts w:ascii="Arial" w:cs="Arial" w:eastAsia="Arial" w:hAnsi="Arial"/>
                <w:sz w:val="14"/>
                <w:szCs w:val="14"/>
                <w:color w:val="auto"/>
              </w:rPr>
              <w:t>Ms. Groh</w:t>
            </w:r>
          </w:p>
        </w:tc>
        <w:tc>
          <w:tcPr>
            <w:tcW w:w="1020" w:type="dxa"/>
            <w:vAlign w:val="bottom"/>
            <w:gridSpan w:val="4"/>
          </w:tcPr>
          <w:p>
            <w:pPr>
              <w:jc w:val="right"/>
              <w:ind w:right="60"/>
              <w:spacing w:after="0" w:line="130" w:lineRule="exact"/>
              <w:rPr>
                <w:sz w:val="20"/>
                <w:szCs w:val="20"/>
                <w:color w:val="auto"/>
              </w:rPr>
            </w:pPr>
            <w:r>
              <w:rPr>
                <w:rFonts w:ascii="Arial" w:cs="Arial" w:eastAsia="Arial" w:hAnsi="Arial"/>
                <w:sz w:val="14"/>
                <w:szCs w:val="14"/>
                <w:color w:val="auto"/>
              </w:rPr>
              <w:t>2,150</w:t>
            </w: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right"/>
              <w:ind w:right="219"/>
              <w:spacing w:after="0" w:line="130" w:lineRule="exact"/>
              <w:rPr>
                <w:sz w:val="20"/>
                <w:szCs w:val="20"/>
                <w:color w:val="auto"/>
              </w:rPr>
            </w:pPr>
            <w:r>
              <w:rPr>
                <w:rFonts w:ascii="Arial" w:cs="Arial" w:eastAsia="Arial" w:hAnsi="Arial"/>
                <w:sz w:val="14"/>
                <w:szCs w:val="14"/>
                <w:color w:val="auto"/>
              </w:rPr>
              <w:t>—</w:t>
            </w:r>
          </w:p>
        </w:tc>
        <w:tc>
          <w:tcPr>
            <w:tcW w:w="1000" w:type="dxa"/>
            <w:vAlign w:val="bottom"/>
            <w:gridSpan w:val="3"/>
          </w:tcPr>
          <w:p>
            <w:pPr>
              <w:jc w:val="right"/>
              <w:ind w:right="260"/>
              <w:spacing w:after="0" w:line="130" w:lineRule="exact"/>
              <w:rPr>
                <w:sz w:val="20"/>
                <w:szCs w:val="20"/>
                <w:color w:val="auto"/>
              </w:rPr>
            </w:pPr>
            <w:r>
              <w:rPr>
                <w:rFonts w:ascii="Arial" w:cs="Arial" w:eastAsia="Arial" w:hAnsi="Arial"/>
                <w:sz w:val="14"/>
                <w:szCs w:val="14"/>
                <w:color w:val="auto"/>
              </w:rPr>
              <w:t>7.80</w:t>
            </w:r>
          </w:p>
        </w:tc>
        <w:tc>
          <w:tcPr>
            <w:tcW w:w="980" w:type="dxa"/>
            <w:vAlign w:val="bottom"/>
            <w:gridSpan w:val="2"/>
          </w:tcPr>
          <w:p>
            <w:pPr>
              <w:ind w:left="60"/>
              <w:spacing w:after="0" w:line="130" w:lineRule="exact"/>
              <w:rPr>
                <w:sz w:val="20"/>
                <w:szCs w:val="20"/>
                <w:color w:val="auto"/>
              </w:rPr>
            </w:pPr>
            <w:r>
              <w:rPr>
                <w:rFonts w:ascii="Arial" w:cs="Arial" w:eastAsia="Arial" w:hAnsi="Arial"/>
                <w:sz w:val="14"/>
                <w:szCs w:val="14"/>
                <w:color w:val="auto"/>
              </w:rPr>
              <w:t>07/31/2017</w:t>
            </w:r>
          </w:p>
        </w:tc>
        <w:tc>
          <w:tcPr>
            <w:tcW w:w="1120" w:type="dxa"/>
            <w:vAlign w:val="bottom"/>
            <w:gridSpan w:val="2"/>
          </w:tcPr>
          <w:p>
            <w:pPr>
              <w:jc w:val="right"/>
              <w:ind w:right="300"/>
              <w:spacing w:after="0" w:line="130" w:lineRule="exact"/>
              <w:rPr>
                <w:sz w:val="20"/>
                <w:szCs w:val="20"/>
                <w:color w:val="auto"/>
              </w:rPr>
            </w:pPr>
            <w:r>
              <w:rPr>
                <w:rFonts w:ascii="Arial" w:cs="Arial" w:eastAsia="Arial" w:hAnsi="Arial"/>
                <w:sz w:val="14"/>
                <w:szCs w:val="14"/>
                <w:color w:val="auto"/>
              </w:rPr>
              <w:t>2,887</w:t>
            </w:r>
            <w:r>
              <w:rPr>
                <w:rFonts w:ascii="Arial" w:cs="Arial" w:eastAsia="Arial" w:hAnsi="Arial"/>
                <w:sz w:val="12"/>
                <w:szCs w:val="12"/>
                <w:color w:val="auto"/>
              </w:rPr>
              <w:t>(3)</w:t>
            </w:r>
          </w:p>
        </w:tc>
        <w:tc>
          <w:tcPr>
            <w:tcW w:w="980" w:type="dxa"/>
            <w:vAlign w:val="bottom"/>
            <w:gridSpan w:val="2"/>
          </w:tcPr>
          <w:p>
            <w:pPr>
              <w:jc w:val="right"/>
              <w:ind w:right="120"/>
              <w:spacing w:after="0" w:line="130" w:lineRule="exact"/>
              <w:rPr>
                <w:sz w:val="20"/>
                <w:szCs w:val="20"/>
                <w:color w:val="auto"/>
              </w:rPr>
            </w:pPr>
            <w:r>
              <w:rPr>
                <w:rFonts w:ascii="Arial" w:cs="Arial" w:eastAsia="Arial" w:hAnsi="Arial"/>
                <w:sz w:val="14"/>
                <w:szCs w:val="14"/>
                <w:color w:val="auto"/>
              </w:rPr>
              <w:t>10,999</w:t>
            </w:r>
          </w:p>
        </w:tc>
        <w:tc>
          <w:tcPr>
            <w:tcW w:w="1760" w:type="dxa"/>
            <w:vAlign w:val="bottom"/>
            <w:gridSpan w:val="3"/>
          </w:tcPr>
          <w:p>
            <w:pPr>
              <w:jc w:val="right"/>
              <w:ind w:right="219"/>
              <w:spacing w:after="0" w:line="130" w:lineRule="exact"/>
              <w:rPr>
                <w:sz w:val="20"/>
                <w:szCs w:val="20"/>
                <w:color w:val="auto"/>
              </w:rPr>
            </w:pPr>
            <w:r>
              <w:rPr>
                <w:rFonts w:ascii="Arial" w:cs="Arial" w:eastAsia="Arial" w:hAnsi="Arial"/>
                <w:sz w:val="14"/>
                <w:szCs w:val="14"/>
                <w:color w:val="auto"/>
              </w:rPr>
              <w:t xml:space="preserve">225,000 </w:t>
            </w:r>
            <w:r>
              <w:rPr>
                <w:rFonts w:ascii="Arial" w:cs="Arial" w:eastAsia="Arial" w:hAnsi="Arial"/>
                <w:sz w:val="12"/>
                <w:szCs w:val="12"/>
                <w:color w:val="auto"/>
              </w:rPr>
              <w:t>(11)</w:t>
            </w:r>
          </w:p>
        </w:tc>
        <w:tc>
          <w:tcPr>
            <w:tcW w:w="1500" w:type="dxa"/>
            <w:vAlign w:val="bottom"/>
            <w:gridSpan w:val="2"/>
          </w:tcPr>
          <w:p>
            <w:pPr>
              <w:jc w:val="right"/>
              <w:ind w:right="40"/>
              <w:spacing w:after="0" w:line="130" w:lineRule="exact"/>
              <w:rPr>
                <w:sz w:val="20"/>
                <w:szCs w:val="20"/>
                <w:color w:val="auto"/>
              </w:rPr>
            </w:pPr>
            <w:r>
              <w:rPr>
                <w:rFonts w:ascii="Arial" w:cs="Arial" w:eastAsia="Arial" w:hAnsi="Arial"/>
                <w:sz w:val="14"/>
                <w:szCs w:val="14"/>
                <w:color w:val="auto"/>
              </w:rPr>
              <w:t>857,250</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020" w:type="dxa"/>
            <w:vAlign w:val="bottom"/>
            <w:gridSpan w:val="4"/>
          </w:tcPr>
          <w:p>
            <w:pPr>
              <w:jc w:val="right"/>
              <w:ind w:right="60"/>
              <w:spacing w:after="0" w:line="149" w:lineRule="exact"/>
              <w:rPr>
                <w:sz w:val="20"/>
                <w:szCs w:val="20"/>
                <w:color w:val="auto"/>
              </w:rPr>
            </w:pPr>
            <w:r>
              <w:rPr>
                <w:rFonts w:ascii="Arial" w:cs="Arial" w:eastAsia="Arial" w:hAnsi="Arial"/>
                <w:sz w:val="14"/>
                <w:szCs w:val="14"/>
                <w:color w:val="auto"/>
              </w:rPr>
              <w:t>4,500</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right"/>
              <w:ind w:right="219"/>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tcPr>
          <w:p>
            <w:pPr>
              <w:jc w:val="right"/>
              <w:ind w:right="260"/>
              <w:spacing w:after="0" w:line="149" w:lineRule="exact"/>
              <w:rPr>
                <w:sz w:val="20"/>
                <w:szCs w:val="20"/>
                <w:color w:val="auto"/>
              </w:rPr>
            </w:pPr>
            <w:r>
              <w:rPr>
                <w:rFonts w:ascii="Arial" w:cs="Arial" w:eastAsia="Arial" w:hAnsi="Arial"/>
                <w:sz w:val="14"/>
                <w:szCs w:val="14"/>
                <w:color w:val="auto"/>
              </w:rPr>
              <w:t>7.80</w:t>
            </w:r>
          </w:p>
        </w:tc>
        <w:tc>
          <w:tcPr>
            <w:tcW w:w="980" w:type="dxa"/>
            <w:vAlign w:val="bottom"/>
            <w:gridSpan w:val="2"/>
          </w:tcPr>
          <w:p>
            <w:pPr>
              <w:ind w:left="60"/>
              <w:spacing w:after="0" w:line="149" w:lineRule="exact"/>
              <w:rPr>
                <w:sz w:val="20"/>
                <w:szCs w:val="20"/>
                <w:color w:val="auto"/>
              </w:rPr>
            </w:pPr>
            <w:r>
              <w:rPr>
                <w:rFonts w:ascii="Arial" w:cs="Arial" w:eastAsia="Arial" w:hAnsi="Arial"/>
                <w:sz w:val="14"/>
                <w:szCs w:val="14"/>
                <w:color w:val="auto"/>
              </w:rPr>
              <w:t>02/13/2018</w:t>
            </w:r>
          </w:p>
        </w:tc>
        <w:tc>
          <w:tcPr>
            <w:tcW w:w="1120" w:type="dxa"/>
            <w:vAlign w:val="bottom"/>
            <w:gridSpan w:val="2"/>
          </w:tcPr>
          <w:p>
            <w:pPr>
              <w:jc w:val="right"/>
              <w:ind w:right="300"/>
              <w:spacing w:after="0" w:line="149" w:lineRule="exact"/>
              <w:rPr>
                <w:sz w:val="20"/>
                <w:szCs w:val="20"/>
                <w:color w:val="auto"/>
              </w:rPr>
            </w:pPr>
            <w:r>
              <w:rPr>
                <w:rFonts w:ascii="Arial" w:cs="Arial" w:eastAsia="Arial" w:hAnsi="Arial"/>
                <w:sz w:val="14"/>
                <w:szCs w:val="14"/>
                <w:color w:val="auto"/>
              </w:rPr>
              <w:t>2,124</w:t>
            </w:r>
            <w:r>
              <w:rPr>
                <w:rFonts w:ascii="Arial" w:cs="Arial" w:eastAsia="Arial" w:hAnsi="Arial"/>
                <w:sz w:val="12"/>
                <w:szCs w:val="12"/>
                <w:color w:val="auto"/>
              </w:rPr>
              <w:t>(4)</w:t>
            </w:r>
          </w:p>
        </w:tc>
        <w:tc>
          <w:tcPr>
            <w:tcW w:w="9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8,092</w:t>
            </w: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020" w:type="dxa"/>
            <w:vAlign w:val="bottom"/>
            <w:gridSpan w:val="4"/>
          </w:tcPr>
          <w:p>
            <w:pPr>
              <w:ind w:left="580"/>
              <w:spacing w:after="0" w:line="149" w:lineRule="exact"/>
              <w:rPr>
                <w:sz w:val="20"/>
                <w:szCs w:val="20"/>
                <w:color w:val="auto"/>
              </w:rPr>
            </w:pPr>
            <w:r>
              <w:rPr>
                <w:rFonts w:ascii="Arial" w:cs="Arial" w:eastAsia="Arial" w:hAnsi="Arial"/>
                <w:sz w:val="14"/>
                <w:szCs w:val="14"/>
                <w:color w:val="auto"/>
                <w:w w:val="97"/>
              </w:rPr>
              <w:t>39,000</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right"/>
              <w:ind w:right="219"/>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tcPr>
          <w:p>
            <w:pPr>
              <w:jc w:val="right"/>
              <w:ind w:right="260"/>
              <w:spacing w:after="0" w:line="149" w:lineRule="exact"/>
              <w:rPr>
                <w:sz w:val="20"/>
                <w:szCs w:val="20"/>
                <w:color w:val="auto"/>
              </w:rPr>
            </w:pPr>
            <w:r>
              <w:rPr>
                <w:rFonts w:ascii="Arial" w:cs="Arial" w:eastAsia="Arial" w:hAnsi="Arial"/>
                <w:sz w:val="14"/>
                <w:szCs w:val="14"/>
                <w:color w:val="auto"/>
              </w:rPr>
              <w:t>14.18</w:t>
            </w:r>
          </w:p>
        </w:tc>
        <w:tc>
          <w:tcPr>
            <w:tcW w:w="980" w:type="dxa"/>
            <w:vAlign w:val="bottom"/>
            <w:gridSpan w:val="2"/>
          </w:tcPr>
          <w:p>
            <w:pPr>
              <w:ind w:left="60"/>
              <w:spacing w:after="0" w:line="149" w:lineRule="exact"/>
              <w:rPr>
                <w:sz w:val="20"/>
                <w:szCs w:val="20"/>
                <w:color w:val="auto"/>
              </w:rPr>
            </w:pPr>
            <w:r>
              <w:rPr>
                <w:rFonts w:ascii="Arial" w:cs="Arial" w:eastAsia="Arial" w:hAnsi="Arial"/>
                <w:sz w:val="14"/>
                <w:szCs w:val="14"/>
                <w:color w:val="auto"/>
              </w:rPr>
              <w:t>02/10/2020</w:t>
            </w:r>
          </w:p>
        </w:tc>
        <w:tc>
          <w:tcPr>
            <w:tcW w:w="1120" w:type="dxa"/>
            <w:vAlign w:val="bottom"/>
            <w:gridSpan w:val="2"/>
          </w:tcPr>
          <w:p>
            <w:pPr>
              <w:jc w:val="right"/>
              <w:ind w:right="300"/>
              <w:spacing w:after="0" w:line="149" w:lineRule="exact"/>
              <w:rPr>
                <w:sz w:val="20"/>
                <w:szCs w:val="20"/>
                <w:color w:val="auto"/>
              </w:rPr>
            </w:pPr>
            <w:r>
              <w:rPr>
                <w:rFonts w:ascii="Arial" w:cs="Arial" w:eastAsia="Arial" w:hAnsi="Arial"/>
                <w:sz w:val="14"/>
                <w:szCs w:val="14"/>
                <w:color w:val="auto"/>
              </w:rPr>
              <w:t>5,000</w:t>
            </w:r>
            <w:r>
              <w:rPr>
                <w:rFonts w:ascii="Arial" w:cs="Arial" w:eastAsia="Arial" w:hAnsi="Arial"/>
                <w:sz w:val="12"/>
                <w:szCs w:val="12"/>
                <w:color w:val="auto"/>
              </w:rPr>
              <w:t>(5)</w:t>
            </w:r>
          </w:p>
        </w:tc>
        <w:tc>
          <w:tcPr>
            <w:tcW w:w="9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19,050</w:t>
            </w: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020" w:type="dxa"/>
            <w:vAlign w:val="bottom"/>
            <w:gridSpan w:val="4"/>
          </w:tcPr>
          <w:p>
            <w:pPr>
              <w:ind w:left="580"/>
              <w:spacing w:after="0" w:line="149" w:lineRule="exact"/>
              <w:rPr>
                <w:sz w:val="20"/>
                <w:szCs w:val="20"/>
                <w:color w:val="auto"/>
              </w:rPr>
            </w:pPr>
            <w:r>
              <w:rPr>
                <w:rFonts w:ascii="Arial" w:cs="Arial" w:eastAsia="Arial" w:hAnsi="Arial"/>
                <w:sz w:val="14"/>
                <w:szCs w:val="14"/>
                <w:color w:val="auto"/>
                <w:w w:val="97"/>
              </w:rPr>
              <w:t>24,000</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right"/>
              <w:ind w:right="219"/>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tcPr>
          <w:p>
            <w:pPr>
              <w:jc w:val="right"/>
              <w:ind w:right="260"/>
              <w:spacing w:after="0" w:line="149" w:lineRule="exact"/>
              <w:rPr>
                <w:sz w:val="20"/>
                <w:szCs w:val="20"/>
                <w:color w:val="auto"/>
              </w:rPr>
            </w:pPr>
            <w:r>
              <w:rPr>
                <w:rFonts w:ascii="Arial" w:cs="Arial" w:eastAsia="Arial" w:hAnsi="Arial"/>
                <w:sz w:val="14"/>
                <w:szCs w:val="14"/>
                <w:color w:val="auto"/>
              </w:rPr>
              <w:t>12.75</w:t>
            </w:r>
          </w:p>
        </w:tc>
        <w:tc>
          <w:tcPr>
            <w:tcW w:w="980" w:type="dxa"/>
            <w:vAlign w:val="bottom"/>
            <w:gridSpan w:val="2"/>
          </w:tcPr>
          <w:p>
            <w:pPr>
              <w:ind w:left="60"/>
              <w:spacing w:after="0" w:line="149" w:lineRule="exact"/>
              <w:rPr>
                <w:sz w:val="20"/>
                <w:szCs w:val="20"/>
                <w:color w:val="auto"/>
              </w:rPr>
            </w:pPr>
            <w:r>
              <w:rPr>
                <w:rFonts w:ascii="Arial" w:cs="Arial" w:eastAsia="Arial" w:hAnsi="Arial"/>
                <w:sz w:val="14"/>
                <w:szCs w:val="14"/>
                <w:color w:val="auto"/>
              </w:rPr>
              <w:t>02/09/2021</w:t>
            </w:r>
          </w:p>
        </w:tc>
        <w:tc>
          <w:tcPr>
            <w:tcW w:w="1120" w:type="dxa"/>
            <w:vAlign w:val="bottom"/>
            <w:gridSpan w:val="2"/>
          </w:tcPr>
          <w:p>
            <w:pPr>
              <w:jc w:val="right"/>
              <w:ind w:right="280"/>
              <w:spacing w:after="0" w:line="149" w:lineRule="exact"/>
              <w:rPr>
                <w:sz w:val="20"/>
                <w:szCs w:val="20"/>
                <w:color w:val="auto"/>
              </w:rPr>
            </w:pPr>
            <w:r>
              <w:rPr>
                <w:rFonts w:ascii="Arial" w:cs="Arial" w:eastAsia="Arial" w:hAnsi="Arial"/>
                <w:sz w:val="14"/>
                <w:szCs w:val="14"/>
                <w:color w:val="auto"/>
              </w:rPr>
              <w:t xml:space="preserve">15,550 </w:t>
            </w:r>
            <w:r>
              <w:rPr>
                <w:rFonts w:ascii="Arial" w:cs="Arial" w:eastAsia="Arial" w:hAnsi="Arial"/>
                <w:sz w:val="12"/>
                <w:szCs w:val="12"/>
                <w:color w:val="auto"/>
              </w:rPr>
              <w:t>(6)</w:t>
            </w:r>
          </w:p>
        </w:tc>
        <w:tc>
          <w:tcPr>
            <w:tcW w:w="9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59,246</w:t>
            </w: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020" w:type="dxa"/>
            <w:vAlign w:val="bottom"/>
            <w:gridSpan w:val="4"/>
          </w:tcPr>
          <w:p>
            <w:pPr>
              <w:ind w:left="580"/>
              <w:spacing w:after="0" w:line="149" w:lineRule="exact"/>
              <w:rPr>
                <w:sz w:val="20"/>
                <w:szCs w:val="20"/>
                <w:color w:val="auto"/>
              </w:rPr>
            </w:pPr>
            <w:r>
              <w:rPr>
                <w:rFonts w:ascii="Arial" w:cs="Arial" w:eastAsia="Arial" w:hAnsi="Arial"/>
                <w:sz w:val="14"/>
                <w:szCs w:val="14"/>
                <w:color w:val="auto"/>
                <w:w w:val="97"/>
              </w:rPr>
              <w:t>30,000</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right"/>
              <w:ind w:right="219"/>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tcPr>
          <w:p>
            <w:pPr>
              <w:jc w:val="right"/>
              <w:ind w:right="260"/>
              <w:spacing w:after="0" w:line="149" w:lineRule="exact"/>
              <w:rPr>
                <w:sz w:val="20"/>
                <w:szCs w:val="20"/>
                <w:color w:val="auto"/>
              </w:rPr>
            </w:pPr>
            <w:r>
              <w:rPr>
                <w:rFonts w:ascii="Arial" w:cs="Arial" w:eastAsia="Arial" w:hAnsi="Arial"/>
                <w:sz w:val="14"/>
                <w:szCs w:val="14"/>
                <w:color w:val="auto"/>
              </w:rPr>
              <w:t>8.88</w:t>
            </w:r>
          </w:p>
        </w:tc>
        <w:tc>
          <w:tcPr>
            <w:tcW w:w="980" w:type="dxa"/>
            <w:vAlign w:val="bottom"/>
            <w:gridSpan w:val="2"/>
          </w:tcPr>
          <w:p>
            <w:pPr>
              <w:ind w:left="60"/>
              <w:spacing w:after="0" w:line="149" w:lineRule="exact"/>
              <w:rPr>
                <w:sz w:val="20"/>
                <w:szCs w:val="20"/>
                <w:color w:val="auto"/>
              </w:rPr>
            </w:pPr>
            <w:r>
              <w:rPr>
                <w:rFonts w:ascii="Arial" w:cs="Arial" w:eastAsia="Arial" w:hAnsi="Arial"/>
                <w:sz w:val="14"/>
                <w:szCs w:val="14"/>
                <w:color w:val="auto"/>
              </w:rPr>
              <w:t>02/14/2022</w:t>
            </w:r>
          </w:p>
        </w:tc>
        <w:tc>
          <w:tcPr>
            <w:tcW w:w="1120" w:type="dxa"/>
            <w:vAlign w:val="bottom"/>
            <w:gridSpan w:val="2"/>
          </w:tcPr>
          <w:p>
            <w:pPr>
              <w:jc w:val="right"/>
              <w:ind w:right="280"/>
              <w:spacing w:after="0" w:line="149" w:lineRule="exact"/>
              <w:rPr>
                <w:sz w:val="20"/>
                <w:szCs w:val="20"/>
                <w:color w:val="auto"/>
              </w:rPr>
            </w:pPr>
            <w:r>
              <w:rPr>
                <w:rFonts w:ascii="Arial" w:cs="Arial" w:eastAsia="Arial" w:hAnsi="Arial"/>
                <w:sz w:val="14"/>
                <w:szCs w:val="14"/>
                <w:color w:val="auto"/>
              </w:rPr>
              <w:t xml:space="preserve">180,000 </w:t>
            </w:r>
            <w:r>
              <w:rPr>
                <w:rFonts w:ascii="Arial" w:cs="Arial" w:eastAsia="Arial" w:hAnsi="Arial"/>
                <w:sz w:val="12"/>
                <w:szCs w:val="12"/>
                <w:color w:val="auto"/>
              </w:rPr>
              <w:t>(7)</w:t>
            </w:r>
          </w:p>
        </w:tc>
        <w:tc>
          <w:tcPr>
            <w:tcW w:w="9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685,800</w:t>
            </w: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020" w:type="dxa"/>
            <w:vAlign w:val="bottom"/>
            <w:gridSpan w:val="4"/>
          </w:tcPr>
          <w:p>
            <w:pPr>
              <w:ind w:left="580"/>
              <w:spacing w:after="0" w:line="149" w:lineRule="exact"/>
              <w:rPr>
                <w:sz w:val="20"/>
                <w:szCs w:val="20"/>
                <w:color w:val="auto"/>
              </w:rPr>
            </w:pPr>
            <w:r>
              <w:rPr>
                <w:rFonts w:ascii="Arial" w:cs="Arial" w:eastAsia="Arial" w:hAnsi="Arial"/>
                <w:sz w:val="14"/>
                <w:szCs w:val="14"/>
                <w:color w:val="auto"/>
                <w:w w:val="97"/>
              </w:rPr>
              <w:t>19,500</w:t>
            </w:r>
          </w:p>
        </w:tc>
        <w:tc>
          <w:tcPr>
            <w:tcW w:w="1280" w:type="dxa"/>
            <w:vAlign w:val="bottom"/>
            <w:gridSpan w:val="4"/>
          </w:tcPr>
          <w:p>
            <w:pPr>
              <w:jc w:val="right"/>
              <w:spacing w:after="0" w:line="149" w:lineRule="exact"/>
              <w:rPr>
                <w:sz w:val="20"/>
                <w:szCs w:val="20"/>
                <w:color w:val="auto"/>
              </w:rPr>
            </w:pPr>
            <w:r>
              <w:rPr>
                <w:rFonts w:ascii="Arial" w:cs="Arial" w:eastAsia="Arial" w:hAnsi="Arial"/>
                <w:sz w:val="14"/>
                <w:szCs w:val="14"/>
                <w:color w:val="auto"/>
              </w:rPr>
              <w:t>6,500</w:t>
            </w:r>
            <w:r>
              <w:rPr>
                <w:rFonts w:ascii="Arial" w:cs="Arial" w:eastAsia="Arial" w:hAnsi="Arial"/>
                <w:sz w:val="12"/>
                <w:szCs w:val="12"/>
                <w:color w:val="auto"/>
              </w:rPr>
              <w:t>(1)</w:t>
            </w:r>
          </w:p>
        </w:tc>
        <w:tc>
          <w:tcPr>
            <w:tcW w:w="1000" w:type="dxa"/>
            <w:vAlign w:val="bottom"/>
            <w:gridSpan w:val="3"/>
          </w:tcPr>
          <w:p>
            <w:pPr>
              <w:jc w:val="right"/>
              <w:ind w:right="260"/>
              <w:spacing w:after="0" w:line="149" w:lineRule="exact"/>
              <w:rPr>
                <w:sz w:val="20"/>
                <w:szCs w:val="20"/>
                <w:color w:val="auto"/>
              </w:rPr>
            </w:pPr>
            <w:r>
              <w:rPr>
                <w:rFonts w:ascii="Arial" w:cs="Arial" w:eastAsia="Arial" w:hAnsi="Arial"/>
                <w:sz w:val="14"/>
                <w:szCs w:val="14"/>
                <w:color w:val="auto"/>
              </w:rPr>
              <w:t>9.06</w:t>
            </w:r>
          </w:p>
        </w:tc>
        <w:tc>
          <w:tcPr>
            <w:tcW w:w="980" w:type="dxa"/>
            <w:vAlign w:val="bottom"/>
            <w:gridSpan w:val="2"/>
          </w:tcPr>
          <w:p>
            <w:pPr>
              <w:ind w:left="60"/>
              <w:spacing w:after="0" w:line="149" w:lineRule="exact"/>
              <w:rPr>
                <w:sz w:val="20"/>
                <w:szCs w:val="20"/>
                <w:color w:val="auto"/>
              </w:rPr>
            </w:pPr>
            <w:r>
              <w:rPr>
                <w:rFonts w:ascii="Arial" w:cs="Arial" w:eastAsia="Arial" w:hAnsi="Arial"/>
                <w:sz w:val="14"/>
                <w:szCs w:val="14"/>
                <w:color w:val="auto"/>
              </w:rPr>
              <w:t>02/15/2023</w:t>
            </w:r>
          </w:p>
        </w:tc>
        <w:tc>
          <w:tcPr>
            <w:tcW w:w="6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38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020" w:type="dxa"/>
            <w:vAlign w:val="bottom"/>
            <w:gridSpan w:val="4"/>
          </w:tcPr>
          <w:p>
            <w:pPr>
              <w:jc w:val="right"/>
              <w:ind w:right="60"/>
              <w:spacing w:after="0"/>
              <w:rPr>
                <w:sz w:val="20"/>
                <w:szCs w:val="20"/>
                <w:color w:val="auto"/>
              </w:rPr>
            </w:pPr>
            <w:r>
              <w:rPr>
                <w:rFonts w:ascii="Arial" w:cs="Arial" w:eastAsia="Arial" w:hAnsi="Arial"/>
                <w:sz w:val="14"/>
                <w:szCs w:val="14"/>
                <w:color w:val="auto"/>
              </w:rPr>
              <w:t>7,326</w:t>
            </w:r>
          </w:p>
        </w:tc>
        <w:tc>
          <w:tcPr>
            <w:tcW w:w="1280" w:type="dxa"/>
            <w:vAlign w:val="bottom"/>
            <w:gridSpan w:val="4"/>
          </w:tcPr>
          <w:p>
            <w:pPr>
              <w:jc w:val="right"/>
              <w:spacing w:after="0"/>
              <w:rPr>
                <w:sz w:val="20"/>
                <w:szCs w:val="20"/>
                <w:color w:val="auto"/>
              </w:rPr>
            </w:pPr>
            <w:r>
              <w:rPr>
                <w:rFonts w:ascii="Arial" w:cs="Arial" w:eastAsia="Arial" w:hAnsi="Arial"/>
                <w:sz w:val="14"/>
                <w:szCs w:val="14"/>
                <w:color w:val="auto"/>
              </w:rPr>
              <w:t>7,324</w:t>
            </w:r>
            <w:r>
              <w:rPr>
                <w:rFonts w:ascii="Arial" w:cs="Arial" w:eastAsia="Arial" w:hAnsi="Arial"/>
                <w:sz w:val="12"/>
                <w:szCs w:val="12"/>
                <w:color w:val="auto"/>
              </w:rPr>
              <w:t>(2)</w:t>
            </w:r>
          </w:p>
        </w:tc>
        <w:tc>
          <w:tcPr>
            <w:tcW w:w="1000" w:type="dxa"/>
            <w:vAlign w:val="bottom"/>
            <w:gridSpan w:val="3"/>
          </w:tcPr>
          <w:p>
            <w:pPr>
              <w:jc w:val="right"/>
              <w:ind w:right="260"/>
              <w:spacing w:after="0"/>
              <w:rPr>
                <w:sz w:val="20"/>
                <w:szCs w:val="20"/>
                <w:color w:val="auto"/>
              </w:rPr>
            </w:pPr>
            <w:r>
              <w:rPr>
                <w:rFonts w:ascii="Arial" w:cs="Arial" w:eastAsia="Arial" w:hAnsi="Arial"/>
                <w:sz w:val="14"/>
                <w:szCs w:val="14"/>
                <w:color w:val="auto"/>
              </w:rPr>
              <w:t>15.23</w:t>
            </w:r>
          </w:p>
        </w:tc>
        <w:tc>
          <w:tcPr>
            <w:tcW w:w="980" w:type="dxa"/>
            <w:vAlign w:val="bottom"/>
            <w:gridSpan w:val="2"/>
          </w:tcPr>
          <w:p>
            <w:pPr>
              <w:ind w:left="60"/>
              <w:spacing w:after="0"/>
              <w:rPr>
                <w:sz w:val="20"/>
                <w:szCs w:val="20"/>
                <w:color w:val="auto"/>
              </w:rPr>
            </w:pPr>
            <w:r>
              <w:rPr>
                <w:rFonts w:ascii="Arial" w:cs="Arial" w:eastAsia="Arial" w:hAnsi="Arial"/>
                <w:sz w:val="14"/>
                <w:szCs w:val="14"/>
                <w:color w:val="auto"/>
              </w:rPr>
              <w:t>02/20/2024</w:t>
            </w: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1780" w:type="dxa"/>
            <w:vAlign w:val="bottom"/>
            <w:gridSpan w:val="2"/>
            <w:shd w:val="clear" w:color="auto" w:fill="CCEEFF"/>
          </w:tcPr>
          <w:p>
            <w:pPr>
              <w:spacing w:after="0" w:line="130" w:lineRule="exact"/>
              <w:rPr>
                <w:sz w:val="20"/>
                <w:szCs w:val="20"/>
                <w:color w:val="auto"/>
              </w:rPr>
            </w:pPr>
            <w:r>
              <w:rPr>
                <w:rFonts w:ascii="Arial" w:cs="Arial" w:eastAsia="Arial" w:hAnsi="Arial"/>
                <w:sz w:val="14"/>
                <w:szCs w:val="14"/>
                <w:color w:val="auto"/>
              </w:rPr>
              <w:t>Mr. Schneider</w:t>
            </w:r>
          </w:p>
        </w:tc>
        <w:tc>
          <w:tcPr>
            <w:tcW w:w="1020" w:type="dxa"/>
            <w:vAlign w:val="bottom"/>
            <w:gridSpan w:val="4"/>
            <w:shd w:val="clear" w:color="auto" w:fill="CCEEFF"/>
          </w:tcPr>
          <w:p>
            <w:pPr>
              <w:jc w:val="right"/>
              <w:ind w:right="60"/>
              <w:spacing w:after="0" w:line="130" w:lineRule="exact"/>
              <w:rPr>
                <w:sz w:val="20"/>
                <w:szCs w:val="20"/>
                <w:color w:val="auto"/>
              </w:rPr>
            </w:pPr>
            <w:r>
              <w:rPr>
                <w:rFonts w:ascii="Arial" w:cs="Arial" w:eastAsia="Arial" w:hAnsi="Arial"/>
                <w:sz w:val="14"/>
                <w:szCs w:val="14"/>
                <w:color w:val="auto"/>
              </w:rPr>
              <w:t>6,300</w:t>
            </w:r>
          </w:p>
        </w:tc>
        <w:tc>
          <w:tcPr>
            <w:tcW w:w="2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0" w:type="dxa"/>
            <w:vAlign w:val="bottom"/>
            <w:gridSpan w:val="2"/>
            <w:shd w:val="clear" w:color="auto" w:fill="CCEEFF"/>
          </w:tcPr>
          <w:p>
            <w:pPr>
              <w:jc w:val="right"/>
              <w:ind w:right="219"/>
              <w:spacing w:after="0" w:line="130" w:lineRule="exact"/>
              <w:rPr>
                <w:sz w:val="20"/>
                <w:szCs w:val="20"/>
                <w:color w:val="auto"/>
              </w:rPr>
            </w:pPr>
            <w:r>
              <w:rPr>
                <w:rFonts w:ascii="Arial" w:cs="Arial" w:eastAsia="Arial" w:hAnsi="Arial"/>
                <w:sz w:val="14"/>
                <w:szCs w:val="14"/>
                <w:color w:val="auto"/>
              </w:rPr>
              <w:t>—</w:t>
            </w:r>
          </w:p>
        </w:tc>
        <w:tc>
          <w:tcPr>
            <w:tcW w:w="1000" w:type="dxa"/>
            <w:vAlign w:val="bottom"/>
            <w:gridSpan w:val="3"/>
            <w:shd w:val="clear" w:color="auto" w:fill="CCEEFF"/>
          </w:tcPr>
          <w:p>
            <w:pPr>
              <w:jc w:val="right"/>
              <w:ind w:right="260"/>
              <w:spacing w:after="0" w:line="130" w:lineRule="exact"/>
              <w:rPr>
                <w:sz w:val="20"/>
                <w:szCs w:val="20"/>
                <w:color w:val="auto"/>
              </w:rPr>
            </w:pPr>
            <w:r>
              <w:rPr>
                <w:rFonts w:ascii="Arial" w:cs="Arial" w:eastAsia="Arial" w:hAnsi="Arial"/>
                <w:sz w:val="14"/>
                <w:szCs w:val="14"/>
                <w:color w:val="auto"/>
              </w:rPr>
              <w:t>7.80</w:t>
            </w:r>
          </w:p>
        </w:tc>
        <w:tc>
          <w:tcPr>
            <w:tcW w:w="980" w:type="dxa"/>
            <w:vAlign w:val="bottom"/>
            <w:gridSpan w:val="2"/>
            <w:shd w:val="clear" w:color="auto" w:fill="CCEEFF"/>
          </w:tcPr>
          <w:p>
            <w:pPr>
              <w:ind w:left="60"/>
              <w:spacing w:after="0" w:line="130" w:lineRule="exact"/>
              <w:rPr>
                <w:sz w:val="20"/>
                <w:szCs w:val="20"/>
                <w:color w:val="auto"/>
              </w:rPr>
            </w:pPr>
            <w:r>
              <w:rPr>
                <w:rFonts w:ascii="Arial" w:cs="Arial" w:eastAsia="Arial" w:hAnsi="Arial"/>
                <w:sz w:val="14"/>
                <w:szCs w:val="14"/>
                <w:color w:val="auto"/>
              </w:rPr>
              <w:t>07/31/2017</w:t>
            </w:r>
          </w:p>
        </w:tc>
        <w:tc>
          <w:tcPr>
            <w:tcW w:w="1120" w:type="dxa"/>
            <w:vAlign w:val="bottom"/>
            <w:gridSpan w:val="2"/>
            <w:shd w:val="clear" w:color="auto" w:fill="CCEEFF"/>
          </w:tcPr>
          <w:p>
            <w:pPr>
              <w:jc w:val="right"/>
              <w:ind w:right="280"/>
              <w:spacing w:after="0" w:line="130" w:lineRule="exact"/>
              <w:rPr>
                <w:sz w:val="20"/>
                <w:szCs w:val="20"/>
                <w:color w:val="auto"/>
              </w:rPr>
            </w:pPr>
            <w:r>
              <w:rPr>
                <w:rFonts w:ascii="Arial" w:cs="Arial" w:eastAsia="Arial" w:hAnsi="Arial"/>
                <w:sz w:val="14"/>
                <w:szCs w:val="14"/>
                <w:color w:val="auto"/>
              </w:rPr>
              <w:t xml:space="preserve">53,333 </w:t>
            </w:r>
            <w:r>
              <w:rPr>
                <w:rFonts w:ascii="Arial" w:cs="Arial" w:eastAsia="Arial" w:hAnsi="Arial"/>
                <w:sz w:val="12"/>
                <w:szCs w:val="12"/>
                <w:color w:val="auto"/>
              </w:rPr>
              <w:t>(4)</w:t>
            </w:r>
          </w:p>
        </w:tc>
        <w:tc>
          <w:tcPr>
            <w:tcW w:w="980" w:type="dxa"/>
            <w:vAlign w:val="bottom"/>
            <w:gridSpan w:val="2"/>
            <w:shd w:val="clear" w:color="auto" w:fill="CCEEFF"/>
          </w:tcPr>
          <w:p>
            <w:pPr>
              <w:jc w:val="right"/>
              <w:ind w:right="120"/>
              <w:spacing w:after="0" w:line="130" w:lineRule="exact"/>
              <w:rPr>
                <w:sz w:val="20"/>
                <w:szCs w:val="20"/>
                <w:color w:val="auto"/>
              </w:rPr>
            </w:pPr>
            <w:r>
              <w:rPr>
                <w:rFonts w:ascii="Arial" w:cs="Arial" w:eastAsia="Arial" w:hAnsi="Arial"/>
                <w:sz w:val="14"/>
                <w:szCs w:val="14"/>
                <w:color w:val="auto"/>
              </w:rPr>
              <w:t>203,199</w:t>
            </w:r>
          </w:p>
        </w:tc>
        <w:tc>
          <w:tcPr>
            <w:tcW w:w="1760" w:type="dxa"/>
            <w:vAlign w:val="bottom"/>
            <w:gridSpan w:val="3"/>
            <w:shd w:val="clear" w:color="auto" w:fill="CCEEFF"/>
          </w:tcPr>
          <w:p>
            <w:pPr>
              <w:jc w:val="right"/>
              <w:ind w:right="219"/>
              <w:spacing w:after="0" w:line="130" w:lineRule="exact"/>
              <w:rPr>
                <w:sz w:val="20"/>
                <w:szCs w:val="20"/>
                <w:color w:val="auto"/>
              </w:rPr>
            </w:pPr>
            <w:r>
              <w:rPr>
                <w:rFonts w:ascii="Arial" w:cs="Arial" w:eastAsia="Arial" w:hAnsi="Arial"/>
                <w:sz w:val="14"/>
                <w:szCs w:val="14"/>
                <w:color w:val="auto"/>
              </w:rPr>
              <w:t xml:space="preserve">52,500 </w:t>
            </w:r>
            <w:r>
              <w:rPr>
                <w:rFonts w:ascii="Arial" w:cs="Arial" w:eastAsia="Arial" w:hAnsi="Arial"/>
                <w:sz w:val="12"/>
                <w:szCs w:val="12"/>
                <w:color w:val="auto"/>
              </w:rPr>
              <w:t>(10)</w:t>
            </w:r>
          </w:p>
        </w:tc>
        <w:tc>
          <w:tcPr>
            <w:tcW w:w="1500" w:type="dxa"/>
            <w:vAlign w:val="bottom"/>
            <w:gridSpan w:val="2"/>
            <w:shd w:val="clear" w:color="auto" w:fill="CCEEFF"/>
          </w:tcPr>
          <w:p>
            <w:pPr>
              <w:jc w:val="right"/>
              <w:ind w:right="40"/>
              <w:spacing w:after="0" w:line="130" w:lineRule="exact"/>
              <w:rPr>
                <w:sz w:val="20"/>
                <w:szCs w:val="20"/>
                <w:color w:val="auto"/>
              </w:rPr>
            </w:pPr>
            <w:r>
              <w:rPr>
                <w:rFonts w:ascii="Arial" w:cs="Arial" w:eastAsia="Arial" w:hAnsi="Arial"/>
                <w:sz w:val="14"/>
                <w:szCs w:val="14"/>
                <w:color w:val="auto"/>
              </w:rPr>
              <w:t>200,025</w:t>
            </w: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4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00" w:type="dxa"/>
            <w:vAlign w:val="bottom"/>
            <w:gridSpan w:val="3"/>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8,400</w:t>
            </w: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219"/>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7.80</w:t>
            </w:r>
          </w:p>
        </w:tc>
        <w:tc>
          <w:tcPr>
            <w:tcW w:w="98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rPr>
              <w:t>02/13/2018</w:t>
            </w:r>
          </w:p>
        </w:tc>
        <w:tc>
          <w:tcPr>
            <w:tcW w:w="1120" w:type="dxa"/>
            <w:vAlign w:val="bottom"/>
            <w:gridSpan w:val="2"/>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 xml:space="preserve">365,000 </w:t>
            </w:r>
            <w:r>
              <w:rPr>
                <w:rFonts w:ascii="Arial" w:cs="Arial" w:eastAsia="Arial" w:hAnsi="Arial"/>
                <w:sz w:val="12"/>
                <w:szCs w:val="12"/>
                <w:color w:val="auto"/>
              </w:rPr>
              <w:t>(7)</w:t>
            </w: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1,390,650</w:t>
            </w:r>
          </w:p>
        </w:tc>
        <w:tc>
          <w:tcPr>
            <w:tcW w:w="120" w:type="dxa"/>
            <w:vAlign w:val="bottom"/>
            <w:shd w:val="clear" w:color="auto" w:fill="CCEEFF"/>
          </w:tcPr>
          <w:p>
            <w:pPr>
              <w:spacing w:after="0"/>
              <w:rPr>
                <w:sz w:val="12"/>
                <w:szCs w:val="12"/>
                <w:color w:val="auto"/>
              </w:rPr>
            </w:pPr>
          </w:p>
        </w:tc>
        <w:tc>
          <w:tcPr>
            <w:tcW w:w="1760" w:type="dxa"/>
            <w:vAlign w:val="bottom"/>
            <w:gridSpan w:val="3"/>
            <w:shd w:val="clear" w:color="auto" w:fill="CCEEFF"/>
          </w:tcPr>
          <w:p>
            <w:pPr>
              <w:jc w:val="right"/>
              <w:ind w:right="219"/>
              <w:spacing w:after="0" w:line="149" w:lineRule="exact"/>
              <w:rPr>
                <w:sz w:val="20"/>
                <w:szCs w:val="20"/>
                <w:color w:val="auto"/>
              </w:rPr>
            </w:pPr>
            <w:r>
              <w:rPr>
                <w:rFonts w:ascii="Arial" w:cs="Arial" w:eastAsia="Arial" w:hAnsi="Arial"/>
                <w:sz w:val="14"/>
                <w:szCs w:val="14"/>
                <w:color w:val="auto"/>
              </w:rPr>
              <w:t xml:space="preserve">456,250 </w:t>
            </w:r>
            <w:r>
              <w:rPr>
                <w:rFonts w:ascii="Arial" w:cs="Arial" w:eastAsia="Arial" w:hAnsi="Arial"/>
                <w:sz w:val="12"/>
                <w:szCs w:val="12"/>
                <w:color w:val="auto"/>
              </w:rPr>
              <w:t>(11)</w:t>
            </w:r>
          </w:p>
        </w:tc>
        <w:tc>
          <w:tcPr>
            <w:tcW w:w="1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1,738,313</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4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60" w:type="dxa"/>
            <w:vAlign w:val="bottom"/>
            <w:gridSpan w:val="2"/>
            <w:shd w:val="clear" w:color="auto" w:fill="CCEEFF"/>
          </w:tcPr>
          <w:p>
            <w:pPr>
              <w:ind w:left="320"/>
              <w:spacing w:after="0" w:line="149" w:lineRule="exact"/>
              <w:rPr>
                <w:sz w:val="20"/>
                <w:szCs w:val="20"/>
                <w:color w:val="auto"/>
              </w:rPr>
            </w:pPr>
            <w:r>
              <w:rPr>
                <w:rFonts w:ascii="Arial" w:cs="Arial" w:eastAsia="Arial" w:hAnsi="Arial"/>
                <w:sz w:val="14"/>
                <w:szCs w:val="14"/>
                <w:color w:val="auto"/>
                <w:w w:val="97"/>
              </w:rPr>
              <w:t>45,000</w:t>
            </w: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219"/>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16.31</w:t>
            </w:r>
          </w:p>
        </w:tc>
        <w:tc>
          <w:tcPr>
            <w:tcW w:w="98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rPr>
              <w:t>08/01/2018</w:t>
            </w:r>
          </w:p>
        </w:tc>
        <w:tc>
          <w:tcPr>
            <w:tcW w:w="6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4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100,000</w:t>
            </w:r>
          </w:p>
        </w:tc>
        <w:tc>
          <w:tcPr>
            <w:tcW w:w="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219"/>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7.80</w:t>
            </w:r>
          </w:p>
        </w:tc>
        <w:tc>
          <w:tcPr>
            <w:tcW w:w="98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rPr>
              <w:t>08/19/2019</w:t>
            </w:r>
          </w:p>
        </w:tc>
        <w:tc>
          <w:tcPr>
            <w:tcW w:w="6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4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00" w:type="dxa"/>
            <w:vAlign w:val="bottom"/>
            <w:shd w:val="clear" w:color="auto" w:fill="CCEEFF"/>
          </w:tcPr>
          <w:p>
            <w:pPr>
              <w:ind w:left="320"/>
              <w:spacing w:after="0" w:line="149" w:lineRule="exact"/>
              <w:rPr>
                <w:sz w:val="20"/>
                <w:szCs w:val="20"/>
                <w:color w:val="auto"/>
              </w:rPr>
            </w:pPr>
            <w:r>
              <w:rPr>
                <w:rFonts w:ascii="Arial" w:cs="Arial" w:eastAsia="Arial" w:hAnsi="Arial"/>
                <w:sz w:val="14"/>
                <w:szCs w:val="14"/>
                <w:color w:val="auto"/>
                <w:w w:val="83"/>
              </w:rPr>
              <w:t>85,000</w:t>
            </w:r>
          </w:p>
        </w:tc>
        <w:tc>
          <w:tcPr>
            <w:tcW w:w="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219"/>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14.18</w:t>
            </w:r>
          </w:p>
        </w:tc>
        <w:tc>
          <w:tcPr>
            <w:tcW w:w="98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rPr>
              <w:t>02/10/2020</w:t>
            </w:r>
          </w:p>
        </w:tc>
        <w:tc>
          <w:tcPr>
            <w:tcW w:w="6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4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00" w:type="dxa"/>
            <w:vAlign w:val="bottom"/>
            <w:shd w:val="clear" w:color="auto" w:fill="CCEEFF"/>
          </w:tcPr>
          <w:p>
            <w:pPr>
              <w:ind w:left="320"/>
              <w:spacing w:after="0" w:line="149" w:lineRule="exact"/>
              <w:rPr>
                <w:sz w:val="20"/>
                <w:szCs w:val="20"/>
                <w:color w:val="auto"/>
              </w:rPr>
            </w:pPr>
            <w:r>
              <w:rPr>
                <w:rFonts w:ascii="Arial" w:cs="Arial" w:eastAsia="Arial" w:hAnsi="Arial"/>
                <w:sz w:val="14"/>
                <w:szCs w:val="14"/>
                <w:color w:val="auto"/>
                <w:w w:val="83"/>
              </w:rPr>
              <w:t>85,000</w:t>
            </w:r>
          </w:p>
        </w:tc>
        <w:tc>
          <w:tcPr>
            <w:tcW w:w="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219"/>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12.75</w:t>
            </w:r>
          </w:p>
        </w:tc>
        <w:tc>
          <w:tcPr>
            <w:tcW w:w="98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rPr>
              <w:t>02/09/2021</w:t>
            </w:r>
          </w:p>
        </w:tc>
        <w:tc>
          <w:tcPr>
            <w:tcW w:w="6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4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152,000</w:t>
            </w:r>
          </w:p>
        </w:tc>
        <w:tc>
          <w:tcPr>
            <w:tcW w:w="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219"/>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8.88</w:t>
            </w:r>
          </w:p>
        </w:tc>
        <w:tc>
          <w:tcPr>
            <w:tcW w:w="98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rPr>
              <w:t>02/14/2022</w:t>
            </w:r>
          </w:p>
        </w:tc>
        <w:tc>
          <w:tcPr>
            <w:tcW w:w="6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4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100,000</w:t>
            </w:r>
          </w:p>
        </w:tc>
        <w:tc>
          <w:tcPr>
            <w:tcW w:w="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100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5.13</w:t>
            </w:r>
          </w:p>
        </w:tc>
        <w:tc>
          <w:tcPr>
            <w:tcW w:w="98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rPr>
              <w:t>06/01/2022</w:t>
            </w:r>
          </w:p>
        </w:tc>
        <w:tc>
          <w:tcPr>
            <w:tcW w:w="6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4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200,000</w:t>
            </w:r>
          </w:p>
        </w:tc>
        <w:tc>
          <w:tcPr>
            <w:tcW w:w="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100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5.96</w:t>
            </w:r>
          </w:p>
        </w:tc>
        <w:tc>
          <w:tcPr>
            <w:tcW w:w="98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rPr>
              <w:t>10/31/2022</w:t>
            </w:r>
          </w:p>
        </w:tc>
        <w:tc>
          <w:tcPr>
            <w:tcW w:w="6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4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161,250</w:t>
            </w:r>
          </w:p>
        </w:tc>
        <w:tc>
          <w:tcPr>
            <w:tcW w:w="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53,750</w:t>
            </w:r>
          </w:p>
        </w:tc>
        <w:tc>
          <w:tcPr>
            <w:tcW w:w="200" w:type="dxa"/>
            <w:vAlign w:val="bottom"/>
            <w:shd w:val="clear" w:color="auto" w:fill="CCEEFF"/>
          </w:tcPr>
          <w:p>
            <w:pPr>
              <w:jc w:val="right"/>
              <w:spacing w:after="0"/>
              <w:rPr>
                <w:sz w:val="20"/>
                <w:szCs w:val="20"/>
                <w:color w:val="auto"/>
              </w:rPr>
            </w:pPr>
            <w:r>
              <w:rPr>
                <w:rFonts w:ascii="Arial" w:cs="Arial" w:eastAsia="Arial" w:hAnsi="Arial"/>
                <w:sz w:val="12"/>
                <w:szCs w:val="12"/>
                <w:color w:val="auto"/>
                <w:w w:val="95"/>
              </w:rPr>
              <w:t>(1)</w:t>
            </w:r>
          </w:p>
        </w:tc>
        <w:tc>
          <w:tcPr>
            <w:tcW w:w="2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9.06</w:t>
            </w:r>
          </w:p>
        </w:tc>
        <w:tc>
          <w:tcPr>
            <w:tcW w:w="98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rPr>
              <w:t>02/15/2023</w:t>
            </w:r>
          </w:p>
        </w:tc>
        <w:tc>
          <w:tcPr>
            <w:tcW w:w="6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4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00" w:type="dxa"/>
            <w:vAlign w:val="bottom"/>
            <w:shd w:val="clear" w:color="auto" w:fill="CCEEFF"/>
          </w:tcPr>
          <w:p>
            <w:pPr>
              <w:ind w:left="320"/>
              <w:spacing w:after="0" w:line="149" w:lineRule="exact"/>
              <w:rPr>
                <w:sz w:val="20"/>
                <w:szCs w:val="20"/>
                <w:color w:val="auto"/>
              </w:rPr>
            </w:pPr>
            <w:r>
              <w:rPr>
                <w:rFonts w:ascii="Arial" w:cs="Arial" w:eastAsia="Arial" w:hAnsi="Arial"/>
                <w:sz w:val="14"/>
                <w:szCs w:val="14"/>
                <w:color w:val="auto"/>
                <w:w w:val="83"/>
              </w:rPr>
              <w:t>75,000</w:t>
            </w:r>
          </w:p>
        </w:tc>
        <w:tc>
          <w:tcPr>
            <w:tcW w:w="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75,000</w:t>
            </w:r>
          </w:p>
        </w:tc>
        <w:tc>
          <w:tcPr>
            <w:tcW w:w="200" w:type="dxa"/>
            <w:vAlign w:val="bottom"/>
            <w:shd w:val="clear" w:color="auto" w:fill="CCEEFF"/>
          </w:tcPr>
          <w:p>
            <w:pPr>
              <w:jc w:val="right"/>
              <w:spacing w:after="0"/>
              <w:rPr>
                <w:sz w:val="20"/>
                <w:szCs w:val="20"/>
                <w:color w:val="auto"/>
              </w:rPr>
            </w:pPr>
            <w:r>
              <w:rPr>
                <w:rFonts w:ascii="Arial" w:cs="Arial" w:eastAsia="Arial" w:hAnsi="Arial"/>
                <w:sz w:val="12"/>
                <w:szCs w:val="12"/>
                <w:color w:val="auto"/>
                <w:w w:val="95"/>
              </w:rPr>
              <w:t>(2)</w:t>
            </w:r>
          </w:p>
        </w:tc>
        <w:tc>
          <w:tcPr>
            <w:tcW w:w="2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15.23</w:t>
            </w:r>
          </w:p>
        </w:tc>
        <w:tc>
          <w:tcPr>
            <w:tcW w:w="98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rPr>
              <w:t>02/20/2024</w:t>
            </w:r>
          </w:p>
        </w:tc>
        <w:tc>
          <w:tcPr>
            <w:tcW w:w="6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380" w:type="dxa"/>
            <w:vAlign w:val="bottom"/>
            <w:shd w:val="clear" w:color="auto" w:fill="CCEEFF"/>
          </w:tcPr>
          <w:p>
            <w:pPr>
              <w:spacing w:after="0"/>
              <w:rPr>
                <w:sz w:val="14"/>
                <w:szCs w:val="14"/>
                <w:color w:val="auto"/>
              </w:rPr>
            </w:pPr>
          </w:p>
        </w:tc>
        <w:tc>
          <w:tcPr>
            <w:tcW w:w="14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700" w:type="dxa"/>
            <w:vAlign w:val="bottom"/>
            <w:shd w:val="clear" w:color="auto" w:fill="CCEEFF"/>
          </w:tcPr>
          <w:p>
            <w:pPr>
              <w:ind w:left="320"/>
              <w:spacing w:after="0"/>
              <w:rPr>
                <w:sz w:val="20"/>
                <w:szCs w:val="20"/>
                <w:color w:val="auto"/>
              </w:rPr>
            </w:pPr>
            <w:r>
              <w:rPr>
                <w:rFonts w:ascii="Arial" w:cs="Arial" w:eastAsia="Arial" w:hAnsi="Arial"/>
                <w:sz w:val="14"/>
                <w:szCs w:val="14"/>
                <w:color w:val="auto"/>
                <w:w w:val="83"/>
              </w:rPr>
              <w:t>88,334</w:t>
            </w:r>
          </w:p>
        </w:tc>
        <w:tc>
          <w:tcPr>
            <w:tcW w:w="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176,666</w:t>
            </w:r>
          </w:p>
        </w:tc>
        <w:tc>
          <w:tcPr>
            <w:tcW w:w="200" w:type="dxa"/>
            <w:vAlign w:val="bottom"/>
            <w:shd w:val="clear" w:color="auto" w:fill="CCEEFF"/>
          </w:tcPr>
          <w:p>
            <w:pPr>
              <w:jc w:val="right"/>
              <w:spacing w:after="0"/>
              <w:rPr>
                <w:sz w:val="20"/>
                <w:szCs w:val="20"/>
                <w:color w:val="auto"/>
              </w:rPr>
            </w:pPr>
            <w:r>
              <w:rPr>
                <w:rFonts w:ascii="Arial" w:cs="Arial" w:eastAsia="Arial" w:hAnsi="Arial"/>
                <w:sz w:val="12"/>
                <w:szCs w:val="12"/>
                <w:color w:val="auto"/>
                <w:w w:val="95"/>
              </w:rPr>
              <w:t>(2)</w:t>
            </w:r>
          </w:p>
        </w:tc>
        <w:tc>
          <w:tcPr>
            <w:tcW w:w="220" w:type="dxa"/>
            <w:vAlign w:val="bottom"/>
            <w:shd w:val="clear" w:color="auto" w:fill="CCEEFF"/>
          </w:tcPr>
          <w:p>
            <w:pPr>
              <w:spacing w:after="0"/>
              <w:rPr>
                <w:sz w:val="14"/>
                <w:szCs w:val="14"/>
                <w:color w:val="auto"/>
              </w:rPr>
            </w:pPr>
          </w:p>
        </w:tc>
        <w:tc>
          <w:tcPr>
            <w:tcW w:w="78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7.99</w:t>
            </w:r>
          </w:p>
        </w:tc>
        <w:tc>
          <w:tcPr>
            <w:tcW w:w="980" w:type="dxa"/>
            <w:vAlign w:val="bottom"/>
            <w:gridSpan w:val="2"/>
            <w:shd w:val="clear" w:color="auto" w:fill="CCEEFF"/>
          </w:tcPr>
          <w:p>
            <w:pPr>
              <w:ind w:left="60"/>
              <w:spacing w:after="0"/>
              <w:rPr>
                <w:sz w:val="20"/>
                <w:szCs w:val="20"/>
                <w:color w:val="auto"/>
              </w:rPr>
            </w:pPr>
            <w:r>
              <w:rPr>
                <w:rFonts w:ascii="Arial" w:cs="Arial" w:eastAsia="Arial" w:hAnsi="Arial"/>
                <w:sz w:val="14"/>
                <w:szCs w:val="14"/>
                <w:color w:val="auto"/>
              </w:rPr>
              <w:t>02/20/2025</w:t>
            </w:r>
          </w:p>
        </w:tc>
        <w:tc>
          <w:tcPr>
            <w:tcW w:w="68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8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4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1780" w:type="dxa"/>
            <w:vAlign w:val="bottom"/>
            <w:gridSpan w:val="2"/>
          </w:tcPr>
          <w:p>
            <w:pPr>
              <w:spacing w:after="0" w:line="130" w:lineRule="exact"/>
              <w:rPr>
                <w:sz w:val="20"/>
                <w:szCs w:val="20"/>
                <w:color w:val="auto"/>
              </w:rPr>
            </w:pPr>
            <w:r>
              <w:rPr>
                <w:rFonts w:ascii="Arial" w:cs="Arial" w:eastAsia="Arial" w:hAnsi="Arial"/>
                <w:sz w:val="14"/>
                <w:szCs w:val="14"/>
                <w:color w:val="auto"/>
              </w:rPr>
              <w:t>Mr. Bobitz</w:t>
            </w: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jc w:val="right"/>
              <w:spacing w:after="0" w:line="130" w:lineRule="exact"/>
              <w:rPr>
                <w:sz w:val="20"/>
                <w:szCs w:val="20"/>
                <w:color w:val="auto"/>
              </w:rPr>
            </w:pPr>
            <w:r>
              <w:rPr>
                <w:rFonts w:ascii="Arial" w:cs="Arial" w:eastAsia="Arial" w:hAnsi="Arial"/>
                <w:sz w:val="14"/>
                <w:szCs w:val="14"/>
                <w:color w:val="auto"/>
              </w:rPr>
              <w:t>3,200</w:t>
            </w:r>
          </w:p>
        </w:tc>
        <w:tc>
          <w:tcPr>
            <w:tcW w:w="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tcPr>
          <w:p>
            <w:pPr>
              <w:jc w:val="right"/>
              <w:ind w:right="8"/>
              <w:spacing w:after="0" w:line="130"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gridSpan w:val="2"/>
          </w:tcPr>
          <w:p>
            <w:pPr>
              <w:jc w:val="right"/>
              <w:ind w:right="260"/>
              <w:spacing w:after="0" w:line="130" w:lineRule="exact"/>
              <w:rPr>
                <w:sz w:val="20"/>
                <w:szCs w:val="20"/>
                <w:color w:val="auto"/>
              </w:rPr>
            </w:pPr>
            <w:r>
              <w:rPr>
                <w:rFonts w:ascii="Arial" w:cs="Arial" w:eastAsia="Arial" w:hAnsi="Arial"/>
                <w:sz w:val="14"/>
                <w:szCs w:val="14"/>
                <w:color w:val="auto"/>
              </w:rPr>
              <w:t>7.80</w:t>
            </w:r>
          </w:p>
        </w:tc>
        <w:tc>
          <w:tcPr>
            <w:tcW w:w="980" w:type="dxa"/>
            <w:vAlign w:val="bottom"/>
            <w:gridSpan w:val="2"/>
          </w:tcPr>
          <w:p>
            <w:pPr>
              <w:ind w:left="60"/>
              <w:spacing w:after="0" w:line="130" w:lineRule="exact"/>
              <w:rPr>
                <w:sz w:val="20"/>
                <w:szCs w:val="20"/>
                <w:color w:val="auto"/>
              </w:rPr>
            </w:pPr>
            <w:r>
              <w:rPr>
                <w:rFonts w:ascii="Arial" w:cs="Arial" w:eastAsia="Arial" w:hAnsi="Arial"/>
                <w:sz w:val="14"/>
                <w:szCs w:val="14"/>
                <w:color w:val="auto"/>
              </w:rPr>
              <w:t>07/31/2017</w:t>
            </w:r>
          </w:p>
        </w:tc>
        <w:tc>
          <w:tcPr>
            <w:tcW w:w="1120" w:type="dxa"/>
            <w:vAlign w:val="bottom"/>
            <w:gridSpan w:val="2"/>
          </w:tcPr>
          <w:p>
            <w:pPr>
              <w:jc w:val="right"/>
              <w:ind w:right="300"/>
              <w:spacing w:after="0" w:line="130" w:lineRule="exact"/>
              <w:rPr>
                <w:sz w:val="20"/>
                <w:szCs w:val="20"/>
                <w:color w:val="auto"/>
              </w:rPr>
            </w:pPr>
            <w:r>
              <w:rPr>
                <w:rFonts w:ascii="Arial" w:cs="Arial" w:eastAsia="Arial" w:hAnsi="Arial"/>
                <w:sz w:val="14"/>
                <w:szCs w:val="14"/>
                <w:color w:val="auto"/>
              </w:rPr>
              <w:t>1,887</w:t>
            </w:r>
            <w:r>
              <w:rPr>
                <w:rFonts w:ascii="Arial" w:cs="Arial" w:eastAsia="Arial" w:hAnsi="Arial"/>
                <w:sz w:val="12"/>
                <w:szCs w:val="12"/>
                <w:color w:val="auto"/>
              </w:rPr>
              <w:t>(3)</w:t>
            </w:r>
          </w:p>
        </w:tc>
        <w:tc>
          <w:tcPr>
            <w:tcW w:w="980" w:type="dxa"/>
            <w:vAlign w:val="bottom"/>
            <w:gridSpan w:val="2"/>
          </w:tcPr>
          <w:p>
            <w:pPr>
              <w:jc w:val="right"/>
              <w:ind w:right="120"/>
              <w:spacing w:after="0" w:line="130" w:lineRule="exact"/>
              <w:rPr>
                <w:sz w:val="20"/>
                <w:szCs w:val="20"/>
                <w:color w:val="auto"/>
              </w:rPr>
            </w:pPr>
            <w:r>
              <w:rPr>
                <w:rFonts w:ascii="Arial" w:cs="Arial" w:eastAsia="Arial" w:hAnsi="Arial"/>
                <w:sz w:val="14"/>
                <w:szCs w:val="14"/>
                <w:color w:val="auto"/>
              </w:rPr>
              <w:t>7,189</w:t>
            </w:r>
          </w:p>
        </w:tc>
        <w:tc>
          <w:tcPr>
            <w:tcW w:w="1760" w:type="dxa"/>
            <w:vAlign w:val="bottom"/>
            <w:gridSpan w:val="3"/>
          </w:tcPr>
          <w:p>
            <w:pPr>
              <w:jc w:val="right"/>
              <w:ind w:right="219"/>
              <w:spacing w:after="0" w:line="130" w:lineRule="exact"/>
              <w:rPr>
                <w:sz w:val="20"/>
                <w:szCs w:val="20"/>
                <w:color w:val="auto"/>
              </w:rPr>
            </w:pPr>
            <w:r>
              <w:rPr>
                <w:rFonts w:ascii="Arial" w:cs="Arial" w:eastAsia="Arial" w:hAnsi="Arial"/>
                <w:sz w:val="14"/>
                <w:szCs w:val="14"/>
                <w:color w:val="auto"/>
              </w:rPr>
              <w:t xml:space="preserve">17,500 </w:t>
            </w:r>
            <w:r>
              <w:rPr>
                <w:rFonts w:ascii="Arial" w:cs="Arial" w:eastAsia="Arial" w:hAnsi="Arial"/>
                <w:sz w:val="12"/>
                <w:szCs w:val="12"/>
                <w:color w:val="auto"/>
              </w:rPr>
              <w:t>(10)</w:t>
            </w:r>
          </w:p>
        </w:tc>
        <w:tc>
          <w:tcPr>
            <w:tcW w:w="1500" w:type="dxa"/>
            <w:vAlign w:val="bottom"/>
            <w:gridSpan w:val="2"/>
          </w:tcPr>
          <w:p>
            <w:pPr>
              <w:jc w:val="right"/>
              <w:ind w:right="40"/>
              <w:spacing w:after="0" w:line="130" w:lineRule="exact"/>
              <w:rPr>
                <w:sz w:val="20"/>
                <w:szCs w:val="20"/>
                <w:color w:val="auto"/>
              </w:rPr>
            </w:pPr>
            <w:r>
              <w:rPr>
                <w:rFonts w:ascii="Arial" w:cs="Arial" w:eastAsia="Arial" w:hAnsi="Arial"/>
                <w:sz w:val="14"/>
                <w:szCs w:val="14"/>
                <w:color w:val="auto"/>
              </w:rPr>
              <w:t>66,675</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020" w:type="dxa"/>
            <w:vAlign w:val="bottom"/>
            <w:gridSpan w:val="4"/>
          </w:tcPr>
          <w:p>
            <w:pPr>
              <w:jc w:val="right"/>
              <w:ind w:right="60"/>
              <w:spacing w:after="0" w:line="149" w:lineRule="exact"/>
              <w:rPr>
                <w:sz w:val="20"/>
                <w:szCs w:val="20"/>
                <w:color w:val="auto"/>
              </w:rPr>
            </w:pPr>
            <w:r>
              <w:rPr>
                <w:rFonts w:ascii="Arial" w:cs="Arial" w:eastAsia="Arial" w:hAnsi="Arial"/>
                <w:sz w:val="14"/>
                <w:szCs w:val="14"/>
                <w:color w:val="auto"/>
              </w:rPr>
              <w:t>4,200</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right"/>
              <w:ind w:right="219"/>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tcPr>
          <w:p>
            <w:pPr>
              <w:jc w:val="right"/>
              <w:ind w:right="260"/>
              <w:spacing w:after="0" w:line="149" w:lineRule="exact"/>
              <w:rPr>
                <w:sz w:val="20"/>
                <w:szCs w:val="20"/>
                <w:color w:val="auto"/>
              </w:rPr>
            </w:pPr>
            <w:r>
              <w:rPr>
                <w:rFonts w:ascii="Arial" w:cs="Arial" w:eastAsia="Arial" w:hAnsi="Arial"/>
                <w:sz w:val="14"/>
                <w:szCs w:val="14"/>
                <w:color w:val="auto"/>
              </w:rPr>
              <w:t>7.80</w:t>
            </w:r>
          </w:p>
        </w:tc>
        <w:tc>
          <w:tcPr>
            <w:tcW w:w="980" w:type="dxa"/>
            <w:vAlign w:val="bottom"/>
            <w:gridSpan w:val="2"/>
          </w:tcPr>
          <w:p>
            <w:pPr>
              <w:ind w:left="60"/>
              <w:spacing w:after="0" w:line="149" w:lineRule="exact"/>
              <w:rPr>
                <w:sz w:val="20"/>
                <w:szCs w:val="20"/>
                <w:color w:val="auto"/>
              </w:rPr>
            </w:pPr>
            <w:r>
              <w:rPr>
                <w:rFonts w:ascii="Arial" w:cs="Arial" w:eastAsia="Arial" w:hAnsi="Arial"/>
                <w:sz w:val="14"/>
                <w:szCs w:val="14"/>
                <w:color w:val="auto"/>
              </w:rPr>
              <w:t>02/13/2018</w:t>
            </w:r>
          </w:p>
        </w:tc>
        <w:tc>
          <w:tcPr>
            <w:tcW w:w="1120" w:type="dxa"/>
            <w:vAlign w:val="bottom"/>
            <w:gridSpan w:val="2"/>
          </w:tcPr>
          <w:p>
            <w:pPr>
              <w:jc w:val="right"/>
              <w:ind w:right="300"/>
              <w:spacing w:after="0" w:line="149" w:lineRule="exact"/>
              <w:rPr>
                <w:sz w:val="20"/>
                <w:szCs w:val="20"/>
                <w:color w:val="auto"/>
              </w:rPr>
            </w:pPr>
            <w:r>
              <w:rPr>
                <w:rFonts w:ascii="Arial" w:cs="Arial" w:eastAsia="Arial" w:hAnsi="Arial"/>
                <w:sz w:val="14"/>
                <w:szCs w:val="14"/>
                <w:color w:val="auto"/>
              </w:rPr>
              <w:t>2,700</w:t>
            </w:r>
            <w:r>
              <w:rPr>
                <w:rFonts w:ascii="Arial" w:cs="Arial" w:eastAsia="Arial" w:hAnsi="Arial"/>
                <w:sz w:val="12"/>
                <w:szCs w:val="12"/>
                <w:color w:val="auto"/>
              </w:rPr>
              <w:t>(4)</w:t>
            </w:r>
          </w:p>
        </w:tc>
        <w:tc>
          <w:tcPr>
            <w:tcW w:w="9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10,287</w:t>
            </w:r>
          </w:p>
        </w:tc>
        <w:tc>
          <w:tcPr>
            <w:tcW w:w="1760" w:type="dxa"/>
            <w:vAlign w:val="bottom"/>
            <w:gridSpan w:val="3"/>
          </w:tcPr>
          <w:p>
            <w:pPr>
              <w:jc w:val="right"/>
              <w:ind w:right="219"/>
              <w:spacing w:after="0" w:line="149" w:lineRule="exact"/>
              <w:rPr>
                <w:sz w:val="20"/>
                <w:szCs w:val="20"/>
                <w:color w:val="auto"/>
              </w:rPr>
            </w:pPr>
            <w:r>
              <w:rPr>
                <w:rFonts w:ascii="Arial" w:cs="Arial" w:eastAsia="Arial" w:hAnsi="Arial"/>
                <w:sz w:val="14"/>
                <w:szCs w:val="14"/>
                <w:color w:val="auto"/>
              </w:rPr>
              <w:t xml:space="preserve">112,500 </w:t>
            </w:r>
            <w:r>
              <w:rPr>
                <w:rFonts w:ascii="Arial" w:cs="Arial" w:eastAsia="Arial" w:hAnsi="Arial"/>
                <w:sz w:val="12"/>
                <w:szCs w:val="12"/>
                <w:color w:val="auto"/>
              </w:rPr>
              <w:t>(11)</w:t>
            </w:r>
          </w:p>
        </w:tc>
        <w:tc>
          <w:tcPr>
            <w:tcW w:w="150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428,625</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020" w:type="dxa"/>
            <w:vAlign w:val="bottom"/>
            <w:gridSpan w:val="4"/>
          </w:tcPr>
          <w:p>
            <w:pPr>
              <w:ind w:left="580"/>
              <w:spacing w:after="0" w:line="149" w:lineRule="exact"/>
              <w:rPr>
                <w:sz w:val="20"/>
                <w:szCs w:val="20"/>
                <w:color w:val="auto"/>
              </w:rPr>
            </w:pPr>
            <w:r>
              <w:rPr>
                <w:rFonts w:ascii="Arial" w:cs="Arial" w:eastAsia="Arial" w:hAnsi="Arial"/>
                <w:sz w:val="14"/>
                <w:szCs w:val="14"/>
                <w:color w:val="auto"/>
                <w:w w:val="97"/>
              </w:rPr>
              <w:t>23,500</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right"/>
              <w:ind w:right="219"/>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tcPr>
          <w:p>
            <w:pPr>
              <w:jc w:val="right"/>
              <w:ind w:right="260"/>
              <w:spacing w:after="0" w:line="149" w:lineRule="exact"/>
              <w:rPr>
                <w:sz w:val="20"/>
                <w:szCs w:val="20"/>
                <w:color w:val="auto"/>
              </w:rPr>
            </w:pPr>
            <w:r>
              <w:rPr>
                <w:rFonts w:ascii="Arial" w:cs="Arial" w:eastAsia="Arial" w:hAnsi="Arial"/>
                <w:sz w:val="14"/>
                <w:szCs w:val="14"/>
                <w:color w:val="auto"/>
              </w:rPr>
              <w:t>2.46</w:t>
            </w:r>
          </w:p>
        </w:tc>
        <w:tc>
          <w:tcPr>
            <w:tcW w:w="980" w:type="dxa"/>
            <w:vAlign w:val="bottom"/>
            <w:gridSpan w:val="2"/>
          </w:tcPr>
          <w:p>
            <w:pPr>
              <w:ind w:left="60"/>
              <w:spacing w:after="0" w:line="149" w:lineRule="exact"/>
              <w:rPr>
                <w:sz w:val="20"/>
                <w:szCs w:val="20"/>
                <w:color w:val="auto"/>
              </w:rPr>
            </w:pPr>
            <w:r>
              <w:rPr>
                <w:rFonts w:ascii="Arial" w:cs="Arial" w:eastAsia="Arial" w:hAnsi="Arial"/>
                <w:sz w:val="14"/>
                <w:szCs w:val="14"/>
                <w:color w:val="auto"/>
              </w:rPr>
              <w:t>02/12/2019</w:t>
            </w:r>
          </w:p>
        </w:tc>
        <w:tc>
          <w:tcPr>
            <w:tcW w:w="1120" w:type="dxa"/>
            <w:vAlign w:val="bottom"/>
            <w:gridSpan w:val="2"/>
          </w:tcPr>
          <w:p>
            <w:pPr>
              <w:jc w:val="right"/>
              <w:ind w:right="280"/>
              <w:spacing w:after="0" w:line="149" w:lineRule="exact"/>
              <w:rPr>
                <w:sz w:val="20"/>
                <w:szCs w:val="20"/>
                <w:color w:val="auto"/>
              </w:rPr>
            </w:pPr>
            <w:r>
              <w:rPr>
                <w:rFonts w:ascii="Arial" w:cs="Arial" w:eastAsia="Arial" w:hAnsi="Arial"/>
                <w:sz w:val="14"/>
                <w:szCs w:val="14"/>
                <w:color w:val="auto"/>
              </w:rPr>
              <w:t xml:space="preserve">16,666 </w:t>
            </w:r>
            <w:r>
              <w:rPr>
                <w:rFonts w:ascii="Arial" w:cs="Arial" w:eastAsia="Arial" w:hAnsi="Arial"/>
                <w:sz w:val="12"/>
                <w:szCs w:val="12"/>
                <w:color w:val="auto"/>
              </w:rPr>
              <w:t>(4)</w:t>
            </w:r>
          </w:p>
        </w:tc>
        <w:tc>
          <w:tcPr>
            <w:tcW w:w="9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63,497</w:t>
            </w: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020" w:type="dxa"/>
            <w:vAlign w:val="bottom"/>
            <w:gridSpan w:val="4"/>
          </w:tcPr>
          <w:p>
            <w:pPr>
              <w:ind w:left="580"/>
              <w:spacing w:after="0" w:line="149" w:lineRule="exact"/>
              <w:rPr>
                <w:sz w:val="20"/>
                <w:szCs w:val="20"/>
                <w:color w:val="auto"/>
              </w:rPr>
            </w:pPr>
            <w:r>
              <w:rPr>
                <w:rFonts w:ascii="Arial" w:cs="Arial" w:eastAsia="Arial" w:hAnsi="Arial"/>
                <w:sz w:val="14"/>
                <w:szCs w:val="14"/>
                <w:color w:val="auto"/>
                <w:w w:val="97"/>
              </w:rPr>
              <w:t>22,000</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right"/>
              <w:ind w:right="219"/>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tcPr>
          <w:p>
            <w:pPr>
              <w:jc w:val="right"/>
              <w:ind w:right="260"/>
              <w:spacing w:after="0" w:line="149" w:lineRule="exact"/>
              <w:rPr>
                <w:sz w:val="20"/>
                <w:szCs w:val="20"/>
                <w:color w:val="auto"/>
              </w:rPr>
            </w:pPr>
            <w:r>
              <w:rPr>
                <w:rFonts w:ascii="Arial" w:cs="Arial" w:eastAsia="Arial" w:hAnsi="Arial"/>
                <w:sz w:val="14"/>
                <w:szCs w:val="14"/>
                <w:color w:val="auto"/>
              </w:rPr>
              <w:t>14.18</w:t>
            </w:r>
          </w:p>
        </w:tc>
        <w:tc>
          <w:tcPr>
            <w:tcW w:w="980" w:type="dxa"/>
            <w:vAlign w:val="bottom"/>
            <w:gridSpan w:val="2"/>
          </w:tcPr>
          <w:p>
            <w:pPr>
              <w:ind w:left="60"/>
              <w:spacing w:after="0" w:line="149" w:lineRule="exact"/>
              <w:rPr>
                <w:sz w:val="20"/>
                <w:szCs w:val="20"/>
                <w:color w:val="auto"/>
              </w:rPr>
            </w:pPr>
            <w:r>
              <w:rPr>
                <w:rFonts w:ascii="Arial" w:cs="Arial" w:eastAsia="Arial" w:hAnsi="Arial"/>
                <w:sz w:val="14"/>
                <w:szCs w:val="14"/>
                <w:color w:val="auto"/>
              </w:rPr>
              <w:t>02/10/2020</w:t>
            </w:r>
          </w:p>
        </w:tc>
        <w:tc>
          <w:tcPr>
            <w:tcW w:w="1120" w:type="dxa"/>
            <w:vAlign w:val="bottom"/>
            <w:gridSpan w:val="2"/>
          </w:tcPr>
          <w:p>
            <w:pPr>
              <w:jc w:val="right"/>
              <w:ind w:right="280"/>
              <w:spacing w:after="0" w:line="149" w:lineRule="exact"/>
              <w:rPr>
                <w:sz w:val="20"/>
                <w:szCs w:val="20"/>
                <w:color w:val="auto"/>
              </w:rPr>
            </w:pPr>
            <w:r>
              <w:rPr>
                <w:rFonts w:ascii="Arial" w:cs="Arial" w:eastAsia="Arial" w:hAnsi="Arial"/>
                <w:sz w:val="14"/>
                <w:szCs w:val="14"/>
                <w:color w:val="auto"/>
              </w:rPr>
              <w:t xml:space="preserve">90,000 </w:t>
            </w:r>
            <w:r>
              <w:rPr>
                <w:rFonts w:ascii="Arial" w:cs="Arial" w:eastAsia="Arial" w:hAnsi="Arial"/>
                <w:sz w:val="12"/>
                <w:szCs w:val="12"/>
                <w:color w:val="auto"/>
              </w:rPr>
              <w:t>(7)</w:t>
            </w:r>
          </w:p>
        </w:tc>
        <w:tc>
          <w:tcPr>
            <w:tcW w:w="9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342,900</w:t>
            </w: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020" w:type="dxa"/>
            <w:vAlign w:val="bottom"/>
            <w:gridSpan w:val="4"/>
          </w:tcPr>
          <w:p>
            <w:pPr>
              <w:ind w:left="580"/>
              <w:spacing w:after="0" w:line="149" w:lineRule="exact"/>
              <w:rPr>
                <w:sz w:val="20"/>
                <w:szCs w:val="20"/>
                <w:color w:val="auto"/>
              </w:rPr>
            </w:pPr>
            <w:r>
              <w:rPr>
                <w:rFonts w:ascii="Arial" w:cs="Arial" w:eastAsia="Arial" w:hAnsi="Arial"/>
                <w:sz w:val="14"/>
                <w:szCs w:val="14"/>
                <w:color w:val="auto"/>
                <w:w w:val="97"/>
              </w:rPr>
              <w:t>13,200</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right"/>
              <w:ind w:right="219"/>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tcPr>
          <w:p>
            <w:pPr>
              <w:jc w:val="right"/>
              <w:ind w:right="260"/>
              <w:spacing w:after="0" w:line="149" w:lineRule="exact"/>
              <w:rPr>
                <w:sz w:val="20"/>
                <w:szCs w:val="20"/>
                <w:color w:val="auto"/>
              </w:rPr>
            </w:pPr>
            <w:r>
              <w:rPr>
                <w:rFonts w:ascii="Arial" w:cs="Arial" w:eastAsia="Arial" w:hAnsi="Arial"/>
                <w:sz w:val="14"/>
                <w:szCs w:val="14"/>
                <w:color w:val="auto"/>
              </w:rPr>
              <w:t>12.75</w:t>
            </w:r>
          </w:p>
        </w:tc>
        <w:tc>
          <w:tcPr>
            <w:tcW w:w="980" w:type="dxa"/>
            <w:vAlign w:val="bottom"/>
            <w:gridSpan w:val="2"/>
          </w:tcPr>
          <w:p>
            <w:pPr>
              <w:ind w:left="60"/>
              <w:spacing w:after="0" w:line="149" w:lineRule="exact"/>
              <w:rPr>
                <w:sz w:val="20"/>
                <w:szCs w:val="20"/>
                <w:color w:val="auto"/>
              </w:rPr>
            </w:pPr>
            <w:r>
              <w:rPr>
                <w:rFonts w:ascii="Arial" w:cs="Arial" w:eastAsia="Arial" w:hAnsi="Arial"/>
                <w:sz w:val="14"/>
                <w:szCs w:val="14"/>
                <w:color w:val="auto"/>
              </w:rPr>
              <w:t>02/09/2021</w:t>
            </w:r>
          </w:p>
        </w:tc>
        <w:tc>
          <w:tcPr>
            <w:tcW w:w="6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020" w:type="dxa"/>
            <w:vAlign w:val="bottom"/>
            <w:gridSpan w:val="4"/>
          </w:tcPr>
          <w:p>
            <w:pPr>
              <w:ind w:left="580"/>
              <w:spacing w:after="0" w:line="149" w:lineRule="exact"/>
              <w:rPr>
                <w:sz w:val="20"/>
                <w:szCs w:val="20"/>
                <w:color w:val="auto"/>
              </w:rPr>
            </w:pPr>
            <w:r>
              <w:rPr>
                <w:rFonts w:ascii="Arial" w:cs="Arial" w:eastAsia="Arial" w:hAnsi="Arial"/>
                <w:sz w:val="14"/>
                <w:szCs w:val="14"/>
                <w:color w:val="auto"/>
                <w:w w:val="97"/>
              </w:rPr>
              <w:t>15,300</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right"/>
              <w:ind w:right="219"/>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tcPr>
          <w:p>
            <w:pPr>
              <w:jc w:val="right"/>
              <w:ind w:right="260"/>
              <w:spacing w:after="0" w:line="149" w:lineRule="exact"/>
              <w:rPr>
                <w:sz w:val="20"/>
                <w:szCs w:val="20"/>
                <w:color w:val="auto"/>
              </w:rPr>
            </w:pPr>
            <w:r>
              <w:rPr>
                <w:rFonts w:ascii="Arial" w:cs="Arial" w:eastAsia="Arial" w:hAnsi="Arial"/>
                <w:sz w:val="14"/>
                <w:szCs w:val="14"/>
                <w:color w:val="auto"/>
              </w:rPr>
              <w:t>8.88</w:t>
            </w:r>
          </w:p>
        </w:tc>
        <w:tc>
          <w:tcPr>
            <w:tcW w:w="980" w:type="dxa"/>
            <w:vAlign w:val="bottom"/>
            <w:gridSpan w:val="2"/>
          </w:tcPr>
          <w:p>
            <w:pPr>
              <w:ind w:left="60"/>
              <w:spacing w:after="0" w:line="149" w:lineRule="exact"/>
              <w:rPr>
                <w:sz w:val="20"/>
                <w:szCs w:val="20"/>
                <w:color w:val="auto"/>
              </w:rPr>
            </w:pPr>
            <w:r>
              <w:rPr>
                <w:rFonts w:ascii="Arial" w:cs="Arial" w:eastAsia="Arial" w:hAnsi="Arial"/>
                <w:sz w:val="14"/>
                <w:szCs w:val="14"/>
                <w:color w:val="auto"/>
              </w:rPr>
              <w:t>02/14/2022</w:t>
            </w:r>
          </w:p>
        </w:tc>
        <w:tc>
          <w:tcPr>
            <w:tcW w:w="6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020" w:type="dxa"/>
            <w:vAlign w:val="bottom"/>
            <w:gridSpan w:val="4"/>
          </w:tcPr>
          <w:p>
            <w:pPr>
              <w:ind w:left="580"/>
              <w:spacing w:after="0" w:line="149" w:lineRule="exact"/>
              <w:rPr>
                <w:sz w:val="20"/>
                <w:szCs w:val="20"/>
                <w:color w:val="auto"/>
              </w:rPr>
            </w:pPr>
            <w:r>
              <w:rPr>
                <w:rFonts w:ascii="Arial" w:cs="Arial" w:eastAsia="Arial" w:hAnsi="Arial"/>
                <w:sz w:val="14"/>
                <w:szCs w:val="14"/>
                <w:color w:val="auto"/>
                <w:w w:val="97"/>
              </w:rPr>
              <w:t>12,750</w:t>
            </w:r>
          </w:p>
        </w:tc>
        <w:tc>
          <w:tcPr>
            <w:tcW w:w="1280" w:type="dxa"/>
            <w:vAlign w:val="bottom"/>
            <w:gridSpan w:val="4"/>
          </w:tcPr>
          <w:p>
            <w:pPr>
              <w:jc w:val="right"/>
              <w:spacing w:after="0" w:line="149" w:lineRule="exact"/>
              <w:rPr>
                <w:sz w:val="20"/>
                <w:szCs w:val="20"/>
                <w:color w:val="auto"/>
              </w:rPr>
            </w:pPr>
            <w:r>
              <w:rPr>
                <w:rFonts w:ascii="Arial" w:cs="Arial" w:eastAsia="Arial" w:hAnsi="Arial"/>
                <w:sz w:val="14"/>
                <w:szCs w:val="14"/>
                <w:color w:val="auto"/>
              </w:rPr>
              <w:t>4,250</w:t>
            </w:r>
            <w:r>
              <w:rPr>
                <w:rFonts w:ascii="Arial" w:cs="Arial" w:eastAsia="Arial" w:hAnsi="Arial"/>
                <w:sz w:val="12"/>
                <w:szCs w:val="12"/>
                <w:color w:val="auto"/>
              </w:rPr>
              <w:t>(1)</w:t>
            </w:r>
          </w:p>
        </w:tc>
        <w:tc>
          <w:tcPr>
            <w:tcW w:w="1000" w:type="dxa"/>
            <w:vAlign w:val="bottom"/>
            <w:gridSpan w:val="3"/>
          </w:tcPr>
          <w:p>
            <w:pPr>
              <w:jc w:val="right"/>
              <w:ind w:right="260"/>
              <w:spacing w:after="0" w:line="149" w:lineRule="exact"/>
              <w:rPr>
                <w:sz w:val="20"/>
                <w:szCs w:val="20"/>
                <w:color w:val="auto"/>
              </w:rPr>
            </w:pPr>
            <w:r>
              <w:rPr>
                <w:rFonts w:ascii="Arial" w:cs="Arial" w:eastAsia="Arial" w:hAnsi="Arial"/>
                <w:sz w:val="14"/>
                <w:szCs w:val="14"/>
                <w:color w:val="auto"/>
              </w:rPr>
              <w:t>9.06</w:t>
            </w:r>
          </w:p>
        </w:tc>
        <w:tc>
          <w:tcPr>
            <w:tcW w:w="980" w:type="dxa"/>
            <w:vAlign w:val="bottom"/>
            <w:gridSpan w:val="2"/>
          </w:tcPr>
          <w:p>
            <w:pPr>
              <w:ind w:left="60"/>
              <w:spacing w:after="0" w:line="149" w:lineRule="exact"/>
              <w:rPr>
                <w:sz w:val="20"/>
                <w:szCs w:val="20"/>
                <w:color w:val="auto"/>
              </w:rPr>
            </w:pPr>
            <w:r>
              <w:rPr>
                <w:rFonts w:ascii="Arial" w:cs="Arial" w:eastAsia="Arial" w:hAnsi="Arial"/>
                <w:sz w:val="14"/>
                <w:szCs w:val="14"/>
                <w:color w:val="auto"/>
              </w:rPr>
              <w:t>02/15/2023</w:t>
            </w:r>
          </w:p>
        </w:tc>
        <w:tc>
          <w:tcPr>
            <w:tcW w:w="6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020" w:type="dxa"/>
            <w:vAlign w:val="bottom"/>
            <w:gridSpan w:val="4"/>
          </w:tcPr>
          <w:p>
            <w:pPr>
              <w:ind w:left="580"/>
              <w:spacing w:after="0" w:line="149" w:lineRule="exact"/>
              <w:rPr>
                <w:sz w:val="20"/>
                <w:szCs w:val="20"/>
                <w:color w:val="auto"/>
              </w:rPr>
            </w:pPr>
            <w:r>
              <w:rPr>
                <w:rFonts w:ascii="Arial" w:cs="Arial" w:eastAsia="Arial" w:hAnsi="Arial"/>
                <w:sz w:val="14"/>
                <w:szCs w:val="14"/>
                <w:color w:val="auto"/>
                <w:w w:val="97"/>
              </w:rPr>
              <w:t>10,500</w:t>
            </w:r>
          </w:p>
        </w:tc>
        <w:tc>
          <w:tcPr>
            <w:tcW w:w="1280" w:type="dxa"/>
            <w:vAlign w:val="bottom"/>
            <w:gridSpan w:val="4"/>
          </w:tcPr>
          <w:p>
            <w:pPr>
              <w:jc w:val="right"/>
              <w:spacing w:after="0" w:line="149" w:lineRule="exact"/>
              <w:rPr>
                <w:sz w:val="20"/>
                <w:szCs w:val="20"/>
                <w:color w:val="auto"/>
              </w:rPr>
            </w:pPr>
            <w:r>
              <w:rPr>
                <w:rFonts w:ascii="Arial" w:cs="Arial" w:eastAsia="Arial" w:hAnsi="Arial"/>
                <w:sz w:val="14"/>
                <w:szCs w:val="14"/>
                <w:color w:val="auto"/>
              </w:rPr>
              <w:t xml:space="preserve">10,500 </w:t>
            </w:r>
            <w:r>
              <w:rPr>
                <w:rFonts w:ascii="Arial" w:cs="Arial" w:eastAsia="Arial" w:hAnsi="Arial"/>
                <w:sz w:val="12"/>
                <w:szCs w:val="12"/>
                <w:color w:val="auto"/>
              </w:rPr>
              <w:t>(2)</w:t>
            </w:r>
          </w:p>
        </w:tc>
        <w:tc>
          <w:tcPr>
            <w:tcW w:w="1000" w:type="dxa"/>
            <w:vAlign w:val="bottom"/>
            <w:gridSpan w:val="3"/>
          </w:tcPr>
          <w:p>
            <w:pPr>
              <w:jc w:val="right"/>
              <w:ind w:right="260"/>
              <w:spacing w:after="0" w:line="149" w:lineRule="exact"/>
              <w:rPr>
                <w:sz w:val="20"/>
                <w:szCs w:val="20"/>
                <w:color w:val="auto"/>
              </w:rPr>
            </w:pPr>
            <w:r>
              <w:rPr>
                <w:rFonts w:ascii="Arial" w:cs="Arial" w:eastAsia="Arial" w:hAnsi="Arial"/>
                <w:sz w:val="14"/>
                <w:szCs w:val="14"/>
                <w:color w:val="auto"/>
              </w:rPr>
              <w:t>15.23</w:t>
            </w:r>
          </w:p>
        </w:tc>
        <w:tc>
          <w:tcPr>
            <w:tcW w:w="980" w:type="dxa"/>
            <w:vAlign w:val="bottom"/>
            <w:gridSpan w:val="2"/>
          </w:tcPr>
          <w:p>
            <w:pPr>
              <w:ind w:left="60"/>
              <w:spacing w:after="0" w:line="149" w:lineRule="exact"/>
              <w:rPr>
                <w:sz w:val="20"/>
                <w:szCs w:val="20"/>
                <w:color w:val="auto"/>
              </w:rPr>
            </w:pPr>
            <w:r>
              <w:rPr>
                <w:rFonts w:ascii="Arial" w:cs="Arial" w:eastAsia="Arial" w:hAnsi="Arial"/>
                <w:sz w:val="14"/>
                <w:szCs w:val="14"/>
                <w:color w:val="auto"/>
              </w:rPr>
              <w:t>02/20/2024</w:t>
            </w:r>
          </w:p>
        </w:tc>
        <w:tc>
          <w:tcPr>
            <w:tcW w:w="6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38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020" w:type="dxa"/>
            <w:vAlign w:val="bottom"/>
            <w:gridSpan w:val="4"/>
          </w:tcPr>
          <w:p>
            <w:pPr>
              <w:ind w:left="580"/>
              <w:spacing w:after="0"/>
              <w:rPr>
                <w:sz w:val="20"/>
                <w:szCs w:val="20"/>
                <w:color w:val="auto"/>
              </w:rPr>
            </w:pPr>
            <w:r>
              <w:rPr>
                <w:rFonts w:ascii="Arial" w:cs="Arial" w:eastAsia="Arial" w:hAnsi="Arial"/>
                <w:sz w:val="14"/>
                <w:szCs w:val="14"/>
                <w:color w:val="auto"/>
                <w:w w:val="97"/>
              </w:rPr>
              <w:t>30,000</w:t>
            </w:r>
          </w:p>
        </w:tc>
        <w:tc>
          <w:tcPr>
            <w:tcW w:w="1280" w:type="dxa"/>
            <w:vAlign w:val="bottom"/>
            <w:gridSpan w:val="4"/>
          </w:tcPr>
          <w:p>
            <w:pPr>
              <w:jc w:val="right"/>
              <w:spacing w:after="0"/>
              <w:rPr>
                <w:sz w:val="20"/>
                <w:szCs w:val="20"/>
                <w:color w:val="auto"/>
              </w:rPr>
            </w:pPr>
            <w:r>
              <w:rPr>
                <w:rFonts w:ascii="Arial" w:cs="Arial" w:eastAsia="Arial" w:hAnsi="Arial"/>
                <w:sz w:val="14"/>
                <w:szCs w:val="14"/>
                <w:color w:val="auto"/>
              </w:rPr>
              <w:t xml:space="preserve">60,000 </w:t>
            </w:r>
            <w:r>
              <w:rPr>
                <w:rFonts w:ascii="Arial" w:cs="Arial" w:eastAsia="Arial" w:hAnsi="Arial"/>
                <w:sz w:val="12"/>
                <w:szCs w:val="12"/>
                <w:color w:val="auto"/>
              </w:rPr>
              <w:t>(2)</w:t>
            </w:r>
          </w:p>
        </w:tc>
        <w:tc>
          <w:tcPr>
            <w:tcW w:w="1000" w:type="dxa"/>
            <w:vAlign w:val="bottom"/>
            <w:gridSpan w:val="3"/>
          </w:tcPr>
          <w:p>
            <w:pPr>
              <w:jc w:val="right"/>
              <w:ind w:right="260"/>
              <w:spacing w:after="0"/>
              <w:rPr>
                <w:sz w:val="20"/>
                <w:szCs w:val="20"/>
                <w:color w:val="auto"/>
              </w:rPr>
            </w:pPr>
            <w:r>
              <w:rPr>
                <w:rFonts w:ascii="Arial" w:cs="Arial" w:eastAsia="Arial" w:hAnsi="Arial"/>
                <w:sz w:val="14"/>
                <w:szCs w:val="14"/>
                <w:color w:val="auto"/>
              </w:rPr>
              <w:t>7.99</w:t>
            </w:r>
          </w:p>
        </w:tc>
        <w:tc>
          <w:tcPr>
            <w:tcW w:w="980" w:type="dxa"/>
            <w:vAlign w:val="bottom"/>
            <w:gridSpan w:val="2"/>
          </w:tcPr>
          <w:p>
            <w:pPr>
              <w:ind w:left="60"/>
              <w:spacing w:after="0"/>
              <w:rPr>
                <w:sz w:val="20"/>
                <w:szCs w:val="20"/>
                <w:color w:val="auto"/>
              </w:rPr>
            </w:pPr>
            <w:r>
              <w:rPr>
                <w:rFonts w:ascii="Arial" w:cs="Arial" w:eastAsia="Arial" w:hAnsi="Arial"/>
                <w:sz w:val="14"/>
                <w:szCs w:val="14"/>
                <w:color w:val="auto"/>
              </w:rPr>
              <w:t>02/20/2025</w:t>
            </w: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1780" w:type="dxa"/>
            <w:vAlign w:val="bottom"/>
            <w:gridSpan w:val="2"/>
            <w:shd w:val="clear" w:color="auto" w:fill="CCEEFF"/>
          </w:tcPr>
          <w:p>
            <w:pPr>
              <w:spacing w:after="0" w:line="130" w:lineRule="exact"/>
              <w:rPr>
                <w:sz w:val="20"/>
                <w:szCs w:val="20"/>
                <w:color w:val="auto"/>
              </w:rPr>
            </w:pPr>
            <w:r>
              <w:rPr>
                <w:rFonts w:ascii="Arial" w:cs="Arial" w:eastAsia="Arial" w:hAnsi="Arial"/>
                <w:sz w:val="14"/>
                <w:szCs w:val="14"/>
                <w:color w:val="auto"/>
              </w:rPr>
              <w:t>Mr. Sheehan</w:t>
            </w:r>
          </w:p>
        </w:tc>
        <w:tc>
          <w:tcPr>
            <w:tcW w:w="1020" w:type="dxa"/>
            <w:vAlign w:val="bottom"/>
            <w:gridSpan w:val="4"/>
            <w:shd w:val="clear" w:color="auto" w:fill="CCEEFF"/>
          </w:tcPr>
          <w:p>
            <w:pPr>
              <w:jc w:val="right"/>
              <w:ind w:right="60"/>
              <w:spacing w:after="0" w:line="130" w:lineRule="exact"/>
              <w:rPr>
                <w:sz w:val="20"/>
                <w:szCs w:val="20"/>
                <w:color w:val="auto"/>
              </w:rPr>
            </w:pPr>
            <w:r>
              <w:rPr>
                <w:rFonts w:ascii="Arial" w:cs="Arial" w:eastAsia="Arial" w:hAnsi="Arial"/>
                <w:sz w:val="14"/>
                <w:szCs w:val="14"/>
                <w:color w:val="auto"/>
              </w:rPr>
              <w:t>3,700</w:t>
            </w:r>
          </w:p>
        </w:tc>
        <w:tc>
          <w:tcPr>
            <w:tcW w:w="2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0" w:type="dxa"/>
            <w:vAlign w:val="bottom"/>
            <w:gridSpan w:val="2"/>
            <w:shd w:val="clear" w:color="auto" w:fill="CCEEFF"/>
          </w:tcPr>
          <w:p>
            <w:pPr>
              <w:jc w:val="right"/>
              <w:ind w:right="219"/>
              <w:spacing w:after="0" w:line="130" w:lineRule="exact"/>
              <w:rPr>
                <w:sz w:val="20"/>
                <w:szCs w:val="20"/>
                <w:color w:val="auto"/>
              </w:rPr>
            </w:pPr>
            <w:r>
              <w:rPr>
                <w:rFonts w:ascii="Arial" w:cs="Arial" w:eastAsia="Arial" w:hAnsi="Arial"/>
                <w:sz w:val="14"/>
                <w:szCs w:val="14"/>
                <w:color w:val="auto"/>
              </w:rPr>
              <w:t>—</w:t>
            </w:r>
          </w:p>
        </w:tc>
        <w:tc>
          <w:tcPr>
            <w:tcW w:w="1000" w:type="dxa"/>
            <w:vAlign w:val="bottom"/>
            <w:gridSpan w:val="3"/>
            <w:shd w:val="clear" w:color="auto" w:fill="CCEEFF"/>
          </w:tcPr>
          <w:p>
            <w:pPr>
              <w:jc w:val="right"/>
              <w:ind w:right="260"/>
              <w:spacing w:after="0" w:line="130" w:lineRule="exact"/>
              <w:rPr>
                <w:sz w:val="20"/>
                <w:szCs w:val="20"/>
                <w:color w:val="auto"/>
              </w:rPr>
            </w:pPr>
            <w:r>
              <w:rPr>
                <w:rFonts w:ascii="Arial" w:cs="Arial" w:eastAsia="Arial" w:hAnsi="Arial"/>
                <w:sz w:val="14"/>
                <w:szCs w:val="14"/>
                <w:color w:val="auto"/>
              </w:rPr>
              <w:t>7.80</w:t>
            </w:r>
          </w:p>
        </w:tc>
        <w:tc>
          <w:tcPr>
            <w:tcW w:w="980" w:type="dxa"/>
            <w:vAlign w:val="bottom"/>
            <w:gridSpan w:val="2"/>
            <w:shd w:val="clear" w:color="auto" w:fill="CCEEFF"/>
          </w:tcPr>
          <w:p>
            <w:pPr>
              <w:ind w:left="60"/>
              <w:spacing w:after="0" w:line="130" w:lineRule="exact"/>
              <w:rPr>
                <w:sz w:val="20"/>
                <w:szCs w:val="20"/>
                <w:color w:val="auto"/>
              </w:rPr>
            </w:pPr>
            <w:r>
              <w:rPr>
                <w:rFonts w:ascii="Arial" w:cs="Arial" w:eastAsia="Arial" w:hAnsi="Arial"/>
                <w:sz w:val="14"/>
                <w:szCs w:val="14"/>
                <w:color w:val="auto"/>
              </w:rPr>
              <w:t>07/31/2017</w:t>
            </w:r>
          </w:p>
        </w:tc>
        <w:tc>
          <w:tcPr>
            <w:tcW w:w="1120" w:type="dxa"/>
            <w:vAlign w:val="bottom"/>
            <w:gridSpan w:val="2"/>
            <w:shd w:val="clear" w:color="auto" w:fill="CCEEFF"/>
          </w:tcPr>
          <w:p>
            <w:pPr>
              <w:jc w:val="right"/>
              <w:ind w:right="280"/>
              <w:spacing w:after="0" w:line="130" w:lineRule="exact"/>
              <w:rPr>
                <w:sz w:val="20"/>
                <w:szCs w:val="20"/>
                <w:color w:val="auto"/>
              </w:rPr>
            </w:pPr>
            <w:r>
              <w:rPr>
                <w:rFonts w:ascii="Arial" w:cs="Arial" w:eastAsia="Arial" w:hAnsi="Arial"/>
                <w:sz w:val="14"/>
                <w:szCs w:val="14"/>
                <w:color w:val="auto"/>
              </w:rPr>
              <w:t xml:space="preserve">103,333 </w:t>
            </w:r>
            <w:r>
              <w:rPr>
                <w:rFonts w:ascii="Arial" w:cs="Arial" w:eastAsia="Arial" w:hAnsi="Arial"/>
                <w:sz w:val="12"/>
                <w:szCs w:val="12"/>
                <w:color w:val="auto"/>
              </w:rPr>
              <w:t>(4)</w:t>
            </w:r>
          </w:p>
        </w:tc>
        <w:tc>
          <w:tcPr>
            <w:tcW w:w="980" w:type="dxa"/>
            <w:vAlign w:val="bottom"/>
            <w:gridSpan w:val="2"/>
            <w:shd w:val="clear" w:color="auto" w:fill="CCEEFF"/>
          </w:tcPr>
          <w:p>
            <w:pPr>
              <w:jc w:val="right"/>
              <w:ind w:right="120"/>
              <w:spacing w:after="0" w:line="130" w:lineRule="exact"/>
              <w:rPr>
                <w:sz w:val="20"/>
                <w:szCs w:val="20"/>
                <w:color w:val="auto"/>
              </w:rPr>
            </w:pPr>
            <w:r>
              <w:rPr>
                <w:rFonts w:ascii="Arial" w:cs="Arial" w:eastAsia="Arial" w:hAnsi="Arial"/>
                <w:sz w:val="14"/>
                <w:szCs w:val="14"/>
                <w:color w:val="auto"/>
              </w:rPr>
              <w:t>393,699</w:t>
            </w:r>
          </w:p>
        </w:tc>
        <w:tc>
          <w:tcPr>
            <w:tcW w:w="1760" w:type="dxa"/>
            <w:vAlign w:val="bottom"/>
            <w:gridSpan w:val="3"/>
            <w:shd w:val="clear" w:color="auto" w:fill="CCEEFF"/>
          </w:tcPr>
          <w:p>
            <w:pPr>
              <w:jc w:val="right"/>
              <w:ind w:right="219"/>
              <w:spacing w:after="0" w:line="130" w:lineRule="exact"/>
              <w:rPr>
                <w:sz w:val="20"/>
                <w:szCs w:val="20"/>
                <w:color w:val="auto"/>
              </w:rPr>
            </w:pPr>
            <w:r>
              <w:rPr>
                <w:rFonts w:ascii="Arial" w:cs="Arial" w:eastAsia="Arial" w:hAnsi="Arial"/>
                <w:sz w:val="14"/>
                <w:szCs w:val="14"/>
                <w:color w:val="auto"/>
              </w:rPr>
              <w:t xml:space="preserve">35,000 </w:t>
            </w:r>
            <w:r>
              <w:rPr>
                <w:rFonts w:ascii="Arial" w:cs="Arial" w:eastAsia="Arial" w:hAnsi="Arial"/>
                <w:sz w:val="12"/>
                <w:szCs w:val="12"/>
                <w:color w:val="auto"/>
              </w:rPr>
              <w:t>(10)</w:t>
            </w:r>
          </w:p>
        </w:tc>
        <w:tc>
          <w:tcPr>
            <w:tcW w:w="1500" w:type="dxa"/>
            <w:vAlign w:val="bottom"/>
            <w:gridSpan w:val="2"/>
            <w:shd w:val="clear" w:color="auto" w:fill="CCEEFF"/>
          </w:tcPr>
          <w:p>
            <w:pPr>
              <w:jc w:val="right"/>
              <w:ind w:right="40"/>
              <w:spacing w:after="0" w:line="130" w:lineRule="exact"/>
              <w:rPr>
                <w:sz w:val="20"/>
                <w:szCs w:val="20"/>
                <w:color w:val="auto"/>
              </w:rPr>
            </w:pPr>
            <w:r>
              <w:rPr>
                <w:rFonts w:ascii="Arial" w:cs="Arial" w:eastAsia="Arial" w:hAnsi="Arial"/>
                <w:sz w:val="14"/>
                <w:szCs w:val="14"/>
                <w:color w:val="auto"/>
              </w:rPr>
              <w:t>133,350</w:t>
            </w: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4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00" w:type="dxa"/>
            <w:vAlign w:val="bottom"/>
            <w:gridSpan w:val="3"/>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7,400</w:t>
            </w: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219"/>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7.80</w:t>
            </w:r>
          </w:p>
        </w:tc>
        <w:tc>
          <w:tcPr>
            <w:tcW w:w="98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rPr>
              <w:t>02/13/2018</w:t>
            </w:r>
          </w:p>
        </w:tc>
        <w:tc>
          <w:tcPr>
            <w:tcW w:w="1120" w:type="dxa"/>
            <w:vAlign w:val="bottom"/>
            <w:gridSpan w:val="2"/>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 xml:space="preserve">275,000 </w:t>
            </w:r>
            <w:r>
              <w:rPr>
                <w:rFonts w:ascii="Arial" w:cs="Arial" w:eastAsia="Arial" w:hAnsi="Arial"/>
                <w:sz w:val="12"/>
                <w:szCs w:val="12"/>
                <w:color w:val="auto"/>
              </w:rPr>
              <w:t>(7)</w:t>
            </w: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1,047,750</w:t>
            </w:r>
          </w:p>
        </w:tc>
        <w:tc>
          <w:tcPr>
            <w:tcW w:w="120" w:type="dxa"/>
            <w:vAlign w:val="bottom"/>
            <w:shd w:val="clear" w:color="auto" w:fill="CCEEFF"/>
          </w:tcPr>
          <w:p>
            <w:pPr>
              <w:spacing w:after="0"/>
              <w:rPr>
                <w:sz w:val="12"/>
                <w:szCs w:val="12"/>
                <w:color w:val="auto"/>
              </w:rPr>
            </w:pPr>
          </w:p>
        </w:tc>
        <w:tc>
          <w:tcPr>
            <w:tcW w:w="1760" w:type="dxa"/>
            <w:vAlign w:val="bottom"/>
            <w:gridSpan w:val="3"/>
            <w:shd w:val="clear" w:color="auto" w:fill="CCEEFF"/>
          </w:tcPr>
          <w:p>
            <w:pPr>
              <w:jc w:val="right"/>
              <w:ind w:right="219"/>
              <w:spacing w:after="0" w:line="149" w:lineRule="exact"/>
              <w:rPr>
                <w:sz w:val="20"/>
                <w:szCs w:val="20"/>
                <w:color w:val="auto"/>
              </w:rPr>
            </w:pPr>
            <w:r>
              <w:rPr>
                <w:rFonts w:ascii="Arial" w:cs="Arial" w:eastAsia="Arial" w:hAnsi="Arial"/>
                <w:sz w:val="14"/>
                <w:szCs w:val="14"/>
                <w:color w:val="auto"/>
              </w:rPr>
              <w:t xml:space="preserve">343,750 </w:t>
            </w:r>
            <w:r>
              <w:rPr>
                <w:rFonts w:ascii="Arial" w:cs="Arial" w:eastAsia="Arial" w:hAnsi="Arial"/>
                <w:sz w:val="12"/>
                <w:szCs w:val="12"/>
                <w:color w:val="auto"/>
              </w:rPr>
              <w:t>(11)</w:t>
            </w:r>
          </w:p>
        </w:tc>
        <w:tc>
          <w:tcPr>
            <w:tcW w:w="14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1,309,688</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4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60" w:type="dxa"/>
            <w:vAlign w:val="bottom"/>
            <w:gridSpan w:val="2"/>
            <w:shd w:val="clear" w:color="auto" w:fill="CCEEFF"/>
          </w:tcPr>
          <w:p>
            <w:pPr>
              <w:ind w:left="320"/>
              <w:spacing w:after="0" w:line="149" w:lineRule="exact"/>
              <w:rPr>
                <w:sz w:val="20"/>
                <w:szCs w:val="20"/>
                <w:color w:val="auto"/>
              </w:rPr>
            </w:pPr>
            <w:r>
              <w:rPr>
                <w:rFonts w:ascii="Arial" w:cs="Arial" w:eastAsia="Arial" w:hAnsi="Arial"/>
                <w:sz w:val="14"/>
                <w:szCs w:val="14"/>
                <w:color w:val="auto"/>
                <w:w w:val="97"/>
              </w:rPr>
              <w:t>18,000</w:t>
            </w: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219"/>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7.80</w:t>
            </w:r>
          </w:p>
        </w:tc>
        <w:tc>
          <w:tcPr>
            <w:tcW w:w="98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rPr>
              <w:t>08/19/2019</w:t>
            </w:r>
          </w:p>
        </w:tc>
        <w:tc>
          <w:tcPr>
            <w:tcW w:w="6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4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00" w:type="dxa"/>
            <w:vAlign w:val="bottom"/>
            <w:shd w:val="clear" w:color="auto" w:fill="CCEEFF"/>
          </w:tcPr>
          <w:p>
            <w:pPr>
              <w:ind w:left="320"/>
              <w:spacing w:after="0" w:line="149" w:lineRule="exact"/>
              <w:rPr>
                <w:sz w:val="20"/>
                <w:szCs w:val="20"/>
                <w:color w:val="auto"/>
              </w:rPr>
            </w:pPr>
            <w:r>
              <w:rPr>
                <w:rFonts w:ascii="Arial" w:cs="Arial" w:eastAsia="Arial" w:hAnsi="Arial"/>
                <w:sz w:val="14"/>
                <w:szCs w:val="14"/>
                <w:color w:val="auto"/>
                <w:w w:val="83"/>
              </w:rPr>
              <w:t>40,000</w:t>
            </w:r>
          </w:p>
        </w:tc>
        <w:tc>
          <w:tcPr>
            <w:tcW w:w="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219"/>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14.18</w:t>
            </w:r>
          </w:p>
        </w:tc>
        <w:tc>
          <w:tcPr>
            <w:tcW w:w="98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rPr>
              <w:t>02/10/2020</w:t>
            </w:r>
          </w:p>
        </w:tc>
        <w:tc>
          <w:tcPr>
            <w:tcW w:w="6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4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00" w:type="dxa"/>
            <w:vAlign w:val="bottom"/>
            <w:shd w:val="clear" w:color="auto" w:fill="CCEEFF"/>
          </w:tcPr>
          <w:p>
            <w:pPr>
              <w:ind w:left="320"/>
              <w:spacing w:after="0" w:line="149" w:lineRule="exact"/>
              <w:rPr>
                <w:sz w:val="20"/>
                <w:szCs w:val="20"/>
                <w:color w:val="auto"/>
              </w:rPr>
            </w:pPr>
            <w:r>
              <w:rPr>
                <w:rFonts w:ascii="Arial" w:cs="Arial" w:eastAsia="Arial" w:hAnsi="Arial"/>
                <w:sz w:val="14"/>
                <w:szCs w:val="14"/>
                <w:color w:val="auto"/>
                <w:w w:val="83"/>
              </w:rPr>
              <w:t>24,000</w:t>
            </w:r>
          </w:p>
        </w:tc>
        <w:tc>
          <w:tcPr>
            <w:tcW w:w="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219"/>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12.75</w:t>
            </w:r>
          </w:p>
        </w:tc>
        <w:tc>
          <w:tcPr>
            <w:tcW w:w="98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rPr>
              <w:t>02/09/2021</w:t>
            </w:r>
          </w:p>
        </w:tc>
        <w:tc>
          <w:tcPr>
            <w:tcW w:w="6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4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00" w:type="dxa"/>
            <w:vAlign w:val="bottom"/>
            <w:shd w:val="clear" w:color="auto" w:fill="CCEEFF"/>
          </w:tcPr>
          <w:p>
            <w:pPr>
              <w:ind w:left="320"/>
              <w:spacing w:after="0" w:line="149" w:lineRule="exact"/>
              <w:rPr>
                <w:sz w:val="20"/>
                <w:szCs w:val="20"/>
                <w:color w:val="auto"/>
              </w:rPr>
            </w:pPr>
            <w:r>
              <w:rPr>
                <w:rFonts w:ascii="Arial" w:cs="Arial" w:eastAsia="Arial" w:hAnsi="Arial"/>
                <w:sz w:val="14"/>
                <w:szCs w:val="14"/>
                <w:color w:val="auto"/>
                <w:w w:val="83"/>
              </w:rPr>
              <w:t>32,400</w:t>
            </w:r>
          </w:p>
        </w:tc>
        <w:tc>
          <w:tcPr>
            <w:tcW w:w="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219"/>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8.88</w:t>
            </w:r>
          </w:p>
        </w:tc>
        <w:tc>
          <w:tcPr>
            <w:tcW w:w="98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rPr>
              <w:t>02/14/2022</w:t>
            </w:r>
          </w:p>
        </w:tc>
        <w:tc>
          <w:tcPr>
            <w:tcW w:w="6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4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120,000</w:t>
            </w:r>
          </w:p>
        </w:tc>
        <w:tc>
          <w:tcPr>
            <w:tcW w:w="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219"/>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5.96</w:t>
            </w:r>
          </w:p>
        </w:tc>
        <w:tc>
          <w:tcPr>
            <w:tcW w:w="98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rPr>
              <w:t>10/31/2022</w:t>
            </w:r>
          </w:p>
        </w:tc>
        <w:tc>
          <w:tcPr>
            <w:tcW w:w="6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4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101,250</w:t>
            </w:r>
          </w:p>
        </w:tc>
        <w:tc>
          <w:tcPr>
            <w:tcW w:w="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33,750</w:t>
            </w:r>
          </w:p>
        </w:tc>
        <w:tc>
          <w:tcPr>
            <w:tcW w:w="200" w:type="dxa"/>
            <w:vAlign w:val="bottom"/>
            <w:shd w:val="clear" w:color="auto" w:fill="CCEEFF"/>
          </w:tcPr>
          <w:p>
            <w:pPr>
              <w:jc w:val="right"/>
              <w:spacing w:after="0"/>
              <w:rPr>
                <w:sz w:val="20"/>
                <w:szCs w:val="20"/>
                <w:color w:val="auto"/>
              </w:rPr>
            </w:pPr>
            <w:r>
              <w:rPr>
                <w:rFonts w:ascii="Arial" w:cs="Arial" w:eastAsia="Arial" w:hAnsi="Arial"/>
                <w:sz w:val="12"/>
                <w:szCs w:val="12"/>
                <w:color w:val="auto"/>
                <w:w w:val="95"/>
              </w:rPr>
              <w:t>(1)</w:t>
            </w:r>
          </w:p>
        </w:tc>
        <w:tc>
          <w:tcPr>
            <w:tcW w:w="100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9.06</w:t>
            </w:r>
          </w:p>
        </w:tc>
        <w:tc>
          <w:tcPr>
            <w:tcW w:w="98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rPr>
              <w:t>02/15/2023</w:t>
            </w:r>
          </w:p>
        </w:tc>
        <w:tc>
          <w:tcPr>
            <w:tcW w:w="6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shd w:val="clear" w:color="auto" w:fill="CCEEFF"/>
          </w:tcPr>
          <w:p>
            <w:pPr>
              <w:spacing w:after="0"/>
              <w:rPr>
                <w:sz w:val="12"/>
                <w:szCs w:val="12"/>
                <w:color w:val="auto"/>
              </w:rPr>
            </w:pPr>
          </w:p>
        </w:tc>
        <w:tc>
          <w:tcPr>
            <w:tcW w:w="14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00" w:type="dxa"/>
            <w:vAlign w:val="bottom"/>
            <w:shd w:val="clear" w:color="auto" w:fill="CCEEFF"/>
          </w:tcPr>
          <w:p>
            <w:pPr>
              <w:ind w:left="320"/>
              <w:spacing w:after="0" w:line="149" w:lineRule="exact"/>
              <w:rPr>
                <w:sz w:val="20"/>
                <w:szCs w:val="20"/>
                <w:color w:val="auto"/>
              </w:rPr>
            </w:pPr>
            <w:r>
              <w:rPr>
                <w:rFonts w:ascii="Arial" w:cs="Arial" w:eastAsia="Arial" w:hAnsi="Arial"/>
                <w:sz w:val="14"/>
                <w:szCs w:val="14"/>
                <w:color w:val="auto"/>
                <w:w w:val="83"/>
              </w:rPr>
              <w:t>50,000</w:t>
            </w:r>
          </w:p>
        </w:tc>
        <w:tc>
          <w:tcPr>
            <w:tcW w:w="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50,000</w:t>
            </w:r>
          </w:p>
        </w:tc>
        <w:tc>
          <w:tcPr>
            <w:tcW w:w="200" w:type="dxa"/>
            <w:vAlign w:val="bottom"/>
            <w:shd w:val="clear" w:color="auto" w:fill="CCEEFF"/>
          </w:tcPr>
          <w:p>
            <w:pPr>
              <w:jc w:val="right"/>
              <w:spacing w:after="0"/>
              <w:rPr>
                <w:sz w:val="20"/>
                <w:szCs w:val="20"/>
                <w:color w:val="auto"/>
              </w:rPr>
            </w:pPr>
            <w:r>
              <w:rPr>
                <w:rFonts w:ascii="Arial" w:cs="Arial" w:eastAsia="Arial" w:hAnsi="Arial"/>
                <w:sz w:val="12"/>
                <w:szCs w:val="12"/>
                <w:color w:val="auto"/>
                <w:w w:val="95"/>
              </w:rPr>
              <w:t>(2)</w:t>
            </w:r>
          </w:p>
        </w:tc>
        <w:tc>
          <w:tcPr>
            <w:tcW w:w="100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15.23</w:t>
            </w:r>
          </w:p>
        </w:tc>
        <w:tc>
          <w:tcPr>
            <w:tcW w:w="98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rPr>
              <w:t>02/20/2024</w:t>
            </w:r>
          </w:p>
        </w:tc>
        <w:tc>
          <w:tcPr>
            <w:tcW w:w="6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380" w:type="dxa"/>
            <w:vAlign w:val="bottom"/>
            <w:shd w:val="clear" w:color="auto" w:fill="CCEEFF"/>
          </w:tcPr>
          <w:p>
            <w:pPr>
              <w:spacing w:after="0"/>
              <w:rPr>
                <w:sz w:val="14"/>
                <w:szCs w:val="14"/>
                <w:color w:val="auto"/>
              </w:rPr>
            </w:pPr>
          </w:p>
        </w:tc>
        <w:tc>
          <w:tcPr>
            <w:tcW w:w="14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700" w:type="dxa"/>
            <w:vAlign w:val="bottom"/>
            <w:shd w:val="clear" w:color="auto" w:fill="CCEEFF"/>
          </w:tcPr>
          <w:p>
            <w:pPr>
              <w:ind w:left="320"/>
              <w:spacing w:after="0"/>
              <w:rPr>
                <w:sz w:val="20"/>
                <w:szCs w:val="20"/>
                <w:color w:val="auto"/>
              </w:rPr>
            </w:pPr>
            <w:r>
              <w:rPr>
                <w:rFonts w:ascii="Arial" w:cs="Arial" w:eastAsia="Arial" w:hAnsi="Arial"/>
                <w:sz w:val="14"/>
                <w:szCs w:val="14"/>
                <w:color w:val="auto"/>
                <w:w w:val="83"/>
              </w:rPr>
              <w:t>91,667</w:t>
            </w:r>
          </w:p>
        </w:tc>
        <w:tc>
          <w:tcPr>
            <w:tcW w:w="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183,333</w:t>
            </w:r>
          </w:p>
        </w:tc>
        <w:tc>
          <w:tcPr>
            <w:tcW w:w="200" w:type="dxa"/>
            <w:vAlign w:val="bottom"/>
            <w:shd w:val="clear" w:color="auto" w:fill="CCEEFF"/>
          </w:tcPr>
          <w:p>
            <w:pPr>
              <w:jc w:val="right"/>
              <w:spacing w:after="0"/>
              <w:rPr>
                <w:sz w:val="20"/>
                <w:szCs w:val="20"/>
                <w:color w:val="auto"/>
              </w:rPr>
            </w:pPr>
            <w:r>
              <w:rPr>
                <w:rFonts w:ascii="Arial" w:cs="Arial" w:eastAsia="Arial" w:hAnsi="Arial"/>
                <w:sz w:val="12"/>
                <w:szCs w:val="12"/>
                <w:color w:val="auto"/>
                <w:w w:val="95"/>
              </w:rPr>
              <w:t>(2)</w:t>
            </w:r>
          </w:p>
        </w:tc>
        <w:tc>
          <w:tcPr>
            <w:tcW w:w="1000" w:type="dxa"/>
            <w:vAlign w:val="bottom"/>
            <w:gridSpan w:val="3"/>
            <w:shd w:val="clear" w:color="auto" w:fill="CCEEFF"/>
          </w:tcPr>
          <w:p>
            <w:pPr>
              <w:jc w:val="right"/>
              <w:ind w:right="260"/>
              <w:spacing w:after="0"/>
              <w:rPr>
                <w:sz w:val="20"/>
                <w:szCs w:val="20"/>
                <w:color w:val="auto"/>
              </w:rPr>
            </w:pPr>
            <w:r>
              <w:rPr>
                <w:rFonts w:ascii="Arial" w:cs="Arial" w:eastAsia="Arial" w:hAnsi="Arial"/>
                <w:sz w:val="14"/>
                <w:szCs w:val="14"/>
                <w:color w:val="auto"/>
              </w:rPr>
              <w:t>7.99</w:t>
            </w:r>
          </w:p>
        </w:tc>
        <w:tc>
          <w:tcPr>
            <w:tcW w:w="980" w:type="dxa"/>
            <w:vAlign w:val="bottom"/>
            <w:gridSpan w:val="2"/>
            <w:shd w:val="clear" w:color="auto" w:fill="CCEEFF"/>
          </w:tcPr>
          <w:p>
            <w:pPr>
              <w:ind w:left="60"/>
              <w:spacing w:after="0"/>
              <w:rPr>
                <w:sz w:val="20"/>
                <w:szCs w:val="20"/>
                <w:color w:val="auto"/>
              </w:rPr>
            </w:pPr>
            <w:r>
              <w:rPr>
                <w:rFonts w:ascii="Arial" w:cs="Arial" w:eastAsia="Arial" w:hAnsi="Arial"/>
                <w:sz w:val="14"/>
                <w:szCs w:val="14"/>
                <w:color w:val="auto"/>
              </w:rPr>
              <w:t>02/20/2025</w:t>
            </w:r>
          </w:p>
        </w:tc>
        <w:tc>
          <w:tcPr>
            <w:tcW w:w="68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8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4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5" w:lineRule="exact"/>
        <w:rPr>
          <w:sz w:val="20"/>
          <w:szCs w:val="20"/>
          <w:color w:val="auto"/>
        </w:rPr>
      </w:pPr>
    </w:p>
    <w:p>
      <w:pPr>
        <w:ind w:left="460" w:hanging="452"/>
        <w:spacing w:after="0"/>
        <w:tabs>
          <w:tab w:leader="none" w:pos="460" w:val="left"/>
        </w:tabs>
        <w:numPr>
          <w:ilvl w:val="0"/>
          <w:numId w:val="45"/>
        </w:numPr>
        <w:rPr>
          <w:rFonts w:ascii="Arial" w:cs="Arial" w:eastAsia="Arial" w:hAnsi="Arial"/>
          <w:sz w:val="15"/>
          <w:szCs w:val="15"/>
          <w:color w:val="auto"/>
        </w:rPr>
      </w:pPr>
      <w:r>
        <w:rPr>
          <w:rFonts w:ascii="Arial" w:cs="Arial" w:eastAsia="Arial" w:hAnsi="Arial"/>
          <w:sz w:val="18"/>
          <w:szCs w:val="18"/>
          <w:color w:val="auto"/>
        </w:rPr>
        <w:t>Remaining SARs vested 100% on 2/15/2017.</w:t>
      </w:r>
    </w:p>
    <w:p>
      <w:pPr>
        <w:spacing w:after="0" w:line="23" w:lineRule="exact"/>
        <w:rPr>
          <w:rFonts w:ascii="Arial" w:cs="Arial" w:eastAsia="Arial" w:hAnsi="Arial"/>
          <w:sz w:val="15"/>
          <w:szCs w:val="15"/>
          <w:color w:val="auto"/>
        </w:rPr>
      </w:pPr>
    </w:p>
    <w:p>
      <w:pPr>
        <w:ind w:left="460" w:hanging="452"/>
        <w:spacing w:after="0"/>
        <w:tabs>
          <w:tab w:leader="none" w:pos="460" w:val="left"/>
        </w:tabs>
        <w:numPr>
          <w:ilvl w:val="0"/>
          <w:numId w:val="45"/>
        </w:numPr>
        <w:rPr>
          <w:rFonts w:ascii="Arial" w:cs="Arial" w:eastAsia="Arial" w:hAnsi="Arial"/>
          <w:sz w:val="15"/>
          <w:szCs w:val="15"/>
          <w:color w:val="auto"/>
        </w:rPr>
      </w:pPr>
      <w:r>
        <w:rPr>
          <w:rFonts w:ascii="Arial" w:cs="Arial" w:eastAsia="Arial" w:hAnsi="Arial"/>
          <w:sz w:val="18"/>
          <w:szCs w:val="18"/>
          <w:color w:val="auto"/>
        </w:rPr>
        <w:t>Remaining SARs vest 50% on 2/20/2017 and 2/20/2018.</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45"/>
        </w:numPr>
        <w:rPr>
          <w:rFonts w:ascii="Arial" w:cs="Arial" w:eastAsia="Arial" w:hAnsi="Arial"/>
          <w:sz w:val="15"/>
          <w:szCs w:val="15"/>
          <w:color w:val="auto"/>
        </w:rPr>
      </w:pPr>
      <w:r>
        <w:rPr>
          <w:rFonts w:ascii="Arial" w:cs="Arial" w:eastAsia="Arial" w:hAnsi="Arial"/>
          <w:sz w:val="18"/>
          <w:szCs w:val="18"/>
          <w:color w:val="auto"/>
        </w:rPr>
        <w:t>Remaining RSUs vested 100% on 2/15/2017.</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45"/>
        </w:numPr>
        <w:rPr>
          <w:rFonts w:ascii="Arial" w:cs="Arial" w:eastAsia="Arial" w:hAnsi="Arial"/>
          <w:sz w:val="15"/>
          <w:szCs w:val="15"/>
          <w:color w:val="auto"/>
        </w:rPr>
      </w:pPr>
      <w:r>
        <w:rPr>
          <w:rFonts w:ascii="Arial" w:cs="Arial" w:eastAsia="Arial" w:hAnsi="Arial"/>
          <w:sz w:val="18"/>
          <w:szCs w:val="18"/>
          <w:color w:val="auto"/>
        </w:rPr>
        <w:t>Remaining RSUs vest 50% on 2/20/2017 and 2/20/2018.</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45"/>
        </w:numPr>
        <w:rPr>
          <w:rFonts w:ascii="Arial" w:cs="Arial" w:eastAsia="Arial" w:hAnsi="Arial"/>
          <w:sz w:val="15"/>
          <w:szCs w:val="15"/>
          <w:color w:val="auto"/>
        </w:rPr>
      </w:pPr>
      <w:r>
        <w:rPr>
          <w:rFonts w:ascii="Arial" w:cs="Arial" w:eastAsia="Arial" w:hAnsi="Arial"/>
          <w:sz w:val="18"/>
          <w:szCs w:val="18"/>
          <w:color w:val="auto"/>
        </w:rPr>
        <w:t>Remaining RSUs vest 50% on 11/3/2017 and 11/3/2018.</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45"/>
        </w:numPr>
        <w:rPr>
          <w:rFonts w:ascii="Arial" w:cs="Arial" w:eastAsia="Arial" w:hAnsi="Arial"/>
          <w:sz w:val="15"/>
          <w:szCs w:val="15"/>
          <w:color w:val="auto"/>
        </w:rPr>
      </w:pPr>
      <w:r>
        <w:rPr>
          <w:rFonts w:ascii="Arial" w:cs="Arial" w:eastAsia="Arial" w:hAnsi="Arial"/>
          <w:sz w:val="18"/>
          <w:szCs w:val="18"/>
          <w:color w:val="auto"/>
        </w:rPr>
        <w:t>RSUs vest 50% on 3/20/2018 and 3/20/2019.</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45"/>
        </w:numPr>
        <w:rPr>
          <w:rFonts w:ascii="Arial" w:cs="Arial" w:eastAsia="Arial" w:hAnsi="Arial"/>
          <w:sz w:val="15"/>
          <w:szCs w:val="15"/>
          <w:color w:val="auto"/>
        </w:rPr>
      </w:pPr>
      <w:r>
        <w:rPr>
          <w:rFonts w:ascii="Arial" w:cs="Arial" w:eastAsia="Arial" w:hAnsi="Arial"/>
          <w:sz w:val="18"/>
          <w:szCs w:val="18"/>
          <w:color w:val="auto"/>
        </w:rPr>
        <w:t>RSUs vest one-third on 2/25/2017, 2/25/2018 and 2/25/2019.</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45"/>
        </w:numPr>
        <w:rPr>
          <w:rFonts w:ascii="Arial" w:cs="Arial" w:eastAsia="Arial" w:hAnsi="Arial"/>
          <w:sz w:val="15"/>
          <w:szCs w:val="15"/>
          <w:color w:val="auto"/>
        </w:rPr>
      </w:pPr>
      <w:r>
        <w:rPr>
          <w:rFonts w:ascii="Arial" w:cs="Arial" w:eastAsia="Arial" w:hAnsi="Arial"/>
          <w:sz w:val="18"/>
          <w:szCs w:val="18"/>
          <w:color w:val="auto"/>
        </w:rPr>
        <w:t>Market value is calculated based on the closing price of our common stock on December 31, 2016 of $3.81 per share.</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45"/>
        </w:numPr>
        <w:rPr>
          <w:rFonts w:ascii="Arial" w:cs="Arial" w:eastAsia="Arial" w:hAnsi="Arial"/>
          <w:sz w:val="15"/>
          <w:szCs w:val="15"/>
          <w:color w:val="auto"/>
        </w:rPr>
      </w:pPr>
      <w:r>
        <w:rPr>
          <w:rFonts w:ascii="Arial" w:cs="Arial" w:eastAsia="Arial" w:hAnsi="Arial"/>
          <w:sz w:val="18"/>
          <w:szCs w:val="18"/>
          <w:color w:val="auto"/>
        </w:rPr>
        <w:t>2014-2016 PSUs are not reflected as performance criteria was not met as of the end of the performance period, December 31, 2016.</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459" w:right="2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60" w:hanging="452"/>
        <w:spacing w:after="0" w:line="286" w:lineRule="auto"/>
        <w:tabs>
          <w:tab w:leader="none" w:pos="460" w:val="left"/>
        </w:tabs>
        <w:numPr>
          <w:ilvl w:val="0"/>
          <w:numId w:val="46"/>
        </w:numPr>
        <w:rPr>
          <w:rFonts w:ascii="Arial" w:cs="Arial" w:eastAsia="Arial" w:hAnsi="Arial"/>
          <w:sz w:val="14"/>
          <w:szCs w:val="14"/>
          <w:color w:val="auto"/>
        </w:rPr>
      </w:pPr>
      <w:r>
        <w:rPr>
          <w:rFonts w:ascii="Arial" w:cs="Arial" w:eastAsia="Arial" w:hAnsi="Arial"/>
          <w:sz w:val="16"/>
          <w:szCs w:val="16"/>
          <w:color w:val="auto"/>
        </w:rPr>
        <w:t xml:space="preserve">2015-2017 PSUs may be earned and become vested based on our level of achievement of certain pre-established performance goals over the performance period ending on December 31, 2017. Amounts reported here reflect threshold levels of achievement of the performance goals pursuant to applicable reporting requirements. For more information regarding PSUs, see the </w:t>
      </w:r>
      <w:r>
        <w:rPr>
          <w:rFonts w:ascii="Arial" w:cs="Arial" w:eastAsia="Arial" w:hAnsi="Arial"/>
          <w:sz w:val="16"/>
          <w:szCs w:val="16"/>
          <w:i w:val="1"/>
          <w:iCs w:val="1"/>
          <w:color w:val="auto"/>
        </w:rPr>
        <w:t>Compensation Discussion and Analysis</w:t>
      </w:r>
      <w:r>
        <w:rPr>
          <w:rFonts w:ascii="Arial" w:cs="Arial" w:eastAsia="Arial" w:hAnsi="Arial"/>
          <w:sz w:val="16"/>
          <w:szCs w:val="16"/>
          <w:color w:val="auto"/>
        </w:rPr>
        <w:t xml:space="preserve"> section above. Based on current progress toward goals, we do not expect that the 2015-2017 PSUs will be earned and become vested following the performance period.</w:t>
      </w:r>
    </w:p>
    <w:p>
      <w:pPr>
        <w:spacing w:after="0" w:line="1" w:lineRule="exact"/>
        <w:rPr>
          <w:rFonts w:ascii="Arial" w:cs="Arial" w:eastAsia="Arial" w:hAnsi="Arial"/>
          <w:sz w:val="14"/>
          <w:szCs w:val="14"/>
          <w:color w:val="auto"/>
        </w:rPr>
      </w:pPr>
    </w:p>
    <w:p>
      <w:pPr>
        <w:ind w:left="460" w:hanging="452"/>
        <w:spacing w:after="0" w:line="254" w:lineRule="auto"/>
        <w:tabs>
          <w:tab w:leader="none" w:pos="460" w:val="left"/>
        </w:tabs>
        <w:numPr>
          <w:ilvl w:val="0"/>
          <w:numId w:val="46"/>
        </w:numPr>
        <w:rPr>
          <w:rFonts w:ascii="Arial" w:cs="Arial" w:eastAsia="Arial" w:hAnsi="Arial"/>
          <w:sz w:val="15"/>
          <w:szCs w:val="15"/>
          <w:color w:val="auto"/>
        </w:rPr>
      </w:pPr>
      <w:r>
        <w:rPr>
          <w:rFonts w:ascii="Arial" w:cs="Arial" w:eastAsia="Arial" w:hAnsi="Arial"/>
          <w:sz w:val="18"/>
          <w:szCs w:val="18"/>
          <w:color w:val="auto"/>
        </w:rPr>
        <w:t xml:space="preserve">2016-2018 PSUs may be earned and become vested based on our level of achievement of certain pre-established performance goals over the performance period ending on December 31, 2018. Amounts reported here reflect maximum levels of achievement of the performance goals pursuant to applicable reporting requirements. For more information regarding the 2016-2018 PSUs, see the 2016 Grants of Plan Based Awards Table and the </w:t>
      </w:r>
      <w:r>
        <w:rPr>
          <w:rFonts w:ascii="Arial" w:cs="Arial" w:eastAsia="Arial" w:hAnsi="Arial"/>
          <w:sz w:val="18"/>
          <w:szCs w:val="18"/>
          <w:i w:val="1"/>
          <w:iCs w:val="1"/>
          <w:color w:val="auto"/>
        </w:rPr>
        <w:t xml:space="preserve">Compensation Discussion and Analysis </w:t>
      </w:r>
      <w:r>
        <w:rPr>
          <w:rFonts w:ascii="Arial" w:cs="Arial" w:eastAsia="Arial" w:hAnsi="Arial"/>
          <w:sz w:val="18"/>
          <w:szCs w:val="18"/>
          <w:color w:val="auto"/>
        </w:rPr>
        <w:t>section above.</w:t>
      </w:r>
    </w:p>
    <w:p>
      <w:pPr>
        <w:spacing w:after="0" w:line="29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2016 Options Exercised and Stock Vested Table</w:t>
      </w:r>
    </w:p>
    <w:p>
      <w:pPr>
        <w:spacing w:after="0" w:line="229"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 xml:space="preserve">The table below provides information regarding RSUs that vested during 2016. Net shares received by each named executive officer upon exercise or vesting of equity awards, after shares are withheld for taxes, are subject to the stock ownership guidelines and a 50% retention ratio, as well as the nine-month holding period policy with respect to exercises of stock options and SARs, each as described in the </w:t>
      </w:r>
      <w:r>
        <w:rPr>
          <w:rFonts w:ascii="Arial" w:cs="Arial" w:eastAsia="Arial" w:hAnsi="Arial"/>
          <w:sz w:val="18"/>
          <w:szCs w:val="18"/>
          <w:i w:val="1"/>
          <w:iCs w:val="1"/>
          <w:color w:val="auto"/>
        </w:rPr>
        <w:t>Compensation Discussion and Analysis</w:t>
      </w:r>
      <w:r>
        <w:rPr>
          <w:rFonts w:ascii="Arial" w:cs="Arial" w:eastAsia="Arial" w:hAnsi="Arial"/>
          <w:sz w:val="18"/>
          <w:szCs w:val="18"/>
          <w:color w:val="auto"/>
        </w:rPr>
        <w:t xml:space="preserve"> section above. No named executive officers exercised options or SARs in 2016.</w:t>
      </w:r>
    </w:p>
    <w:p>
      <w:pPr>
        <w:spacing w:after="0" w:line="206" w:lineRule="exact"/>
        <w:rPr>
          <w:sz w:val="20"/>
          <w:szCs w:val="20"/>
          <w:color w:val="auto"/>
        </w:rPr>
      </w:pPr>
    </w:p>
    <w:tbl>
      <w:tblPr>
        <w:tblLayout w:type="fixed"/>
        <w:tblInd w:w="460" w:type="dxa"/>
        <w:tblCellMar>
          <w:top w:w="0" w:type="dxa"/>
          <w:left w:w="0" w:type="dxa"/>
          <w:bottom w:w="0" w:type="dxa"/>
          <w:right w:w="0" w:type="dxa"/>
        </w:tblCellMar>
      </w:tblPr>
      <w:tr>
        <w:trPr>
          <w:trHeight w:val="171"/>
        </w:trPr>
        <w:tc>
          <w:tcPr>
            <w:tcW w:w="380" w:type="dxa"/>
            <w:vAlign w:val="bottom"/>
          </w:tcPr>
          <w:p>
            <w:pPr>
              <w:spacing w:after="0"/>
              <w:rPr>
                <w:sz w:val="14"/>
                <w:szCs w:val="14"/>
                <w:color w:val="auto"/>
              </w:rPr>
            </w:pPr>
          </w:p>
        </w:tc>
        <w:tc>
          <w:tcPr>
            <w:tcW w:w="5220" w:type="dxa"/>
            <w:vAlign w:val="bottom"/>
          </w:tcPr>
          <w:p>
            <w:pPr>
              <w:spacing w:after="0"/>
              <w:rPr>
                <w:sz w:val="14"/>
                <w:szCs w:val="14"/>
                <w:color w:val="auto"/>
              </w:rPr>
            </w:pPr>
          </w:p>
        </w:tc>
        <w:tc>
          <w:tcPr>
            <w:tcW w:w="2820" w:type="dxa"/>
            <w:vAlign w:val="bottom"/>
            <w:gridSpan w:val="4"/>
          </w:tcPr>
          <w:p>
            <w:pPr>
              <w:ind w:left="600"/>
              <w:spacing w:after="0"/>
              <w:rPr>
                <w:sz w:val="20"/>
                <w:szCs w:val="20"/>
                <w:color w:val="auto"/>
              </w:rPr>
            </w:pPr>
            <w:r>
              <w:rPr>
                <w:rFonts w:ascii="Arial" w:cs="Arial" w:eastAsia="Arial" w:hAnsi="Arial"/>
                <w:sz w:val="14"/>
                <w:szCs w:val="14"/>
                <w:b w:val="1"/>
                <w:bCs w:val="1"/>
                <w:color w:val="auto"/>
              </w:rPr>
              <w:t>Option Awards</w:t>
            </w:r>
          </w:p>
        </w:tc>
        <w:tc>
          <w:tcPr>
            <w:tcW w:w="2080" w:type="dxa"/>
            <w:vAlign w:val="bottom"/>
            <w:gridSpan w:val="4"/>
          </w:tcPr>
          <w:p>
            <w:pPr>
              <w:jc w:val="right"/>
              <w:ind w:right="640"/>
              <w:spacing w:after="0"/>
              <w:rPr>
                <w:sz w:val="20"/>
                <w:szCs w:val="20"/>
                <w:color w:val="auto"/>
              </w:rPr>
            </w:pPr>
            <w:r>
              <w:rPr>
                <w:rFonts w:ascii="Arial" w:cs="Arial" w:eastAsia="Arial" w:hAnsi="Arial"/>
                <w:sz w:val="14"/>
                <w:szCs w:val="14"/>
                <w:b w:val="1"/>
                <w:bCs w:val="1"/>
                <w:color w:val="auto"/>
              </w:rPr>
              <w:t>Stock Awards</w:t>
            </w:r>
          </w:p>
        </w:tc>
        <w:tc>
          <w:tcPr>
            <w:tcW w:w="0" w:type="dxa"/>
            <w:vAlign w:val="bottom"/>
          </w:tcPr>
          <w:p>
            <w:pPr>
              <w:spacing w:after="0"/>
              <w:rPr>
                <w:sz w:val="1"/>
                <w:szCs w:val="1"/>
                <w:color w:val="auto"/>
              </w:rPr>
            </w:pPr>
          </w:p>
        </w:tc>
      </w:tr>
      <w:tr>
        <w:trPr>
          <w:trHeight w:val="119"/>
        </w:trPr>
        <w:tc>
          <w:tcPr>
            <w:tcW w:w="380" w:type="dxa"/>
            <w:vAlign w:val="bottom"/>
          </w:tcPr>
          <w:p>
            <w:pPr>
              <w:spacing w:after="0"/>
              <w:rPr>
                <w:sz w:val="10"/>
                <w:szCs w:val="10"/>
                <w:color w:val="auto"/>
              </w:rPr>
            </w:pPr>
          </w:p>
        </w:tc>
        <w:tc>
          <w:tcPr>
            <w:tcW w:w="5220" w:type="dxa"/>
            <w:vAlign w:val="bottom"/>
          </w:tcPr>
          <w:p>
            <w:pPr>
              <w:spacing w:after="0"/>
              <w:rPr>
                <w:sz w:val="10"/>
                <w:szCs w:val="10"/>
                <w:color w:val="auto"/>
              </w:rPr>
            </w:pPr>
          </w:p>
        </w:tc>
        <w:tc>
          <w:tcPr>
            <w:tcW w:w="1400" w:type="dxa"/>
            <w:vAlign w:val="bottom"/>
            <w:tcBorders>
              <w:top w:val="single" w:sz="8" w:color="auto"/>
            </w:tcBorders>
            <w:gridSpan w:val="2"/>
          </w:tcPr>
          <w:p>
            <w:pPr>
              <w:jc w:val="center"/>
              <w:ind w:right="700"/>
              <w:spacing w:after="0" w:line="119" w:lineRule="exact"/>
              <w:rPr>
                <w:sz w:val="20"/>
                <w:szCs w:val="20"/>
                <w:color w:val="auto"/>
              </w:rPr>
            </w:pPr>
            <w:r>
              <w:rPr>
                <w:rFonts w:ascii="Arial" w:cs="Arial" w:eastAsia="Arial" w:hAnsi="Arial"/>
                <w:sz w:val="13"/>
                <w:szCs w:val="13"/>
                <w:b w:val="1"/>
                <w:bCs w:val="1"/>
                <w:color w:val="auto"/>
              </w:rPr>
              <w:t>Number of</w:t>
            </w:r>
          </w:p>
        </w:tc>
        <w:tc>
          <w:tcPr>
            <w:tcW w:w="720" w:type="dxa"/>
            <w:vAlign w:val="bottom"/>
            <w:tcBorders>
              <w:top w:val="single" w:sz="8" w:color="auto"/>
            </w:tcBorders>
          </w:tcPr>
          <w:p>
            <w:pPr>
              <w:spacing w:after="0"/>
              <w:rPr>
                <w:sz w:val="10"/>
                <w:szCs w:val="10"/>
                <w:color w:val="auto"/>
              </w:rPr>
            </w:pPr>
          </w:p>
        </w:tc>
        <w:tc>
          <w:tcPr>
            <w:tcW w:w="700" w:type="dxa"/>
            <w:vAlign w:val="bottom"/>
          </w:tcPr>
          <w:p>
            <w:pPr>
              <w:spacing w:after="0"/>
              <w:rPr>
                <w:sz w:val="10"/>
                <w:szCs w:val="10"/>
                <w:color w:val="auto"/>
              </w:rPr>
            </w:pPr>
          </w:p>
        </w:tc>
        <w:tc>
          <w:tcPr>
            <w:tcW w:w="1380" w:type="dxa"/>
            <w:vAlign w:val="bottom"/>
            <w:tcBorders>
              <w:top w:val="single" w:sz="8" w:color="auto"/>
            </w:tcBorders>
            <w:gridSpan w:val="2"/>
            <w:vMerge w:val="restart"/>
          </w:tcPr>
          <w:p>
            <w:pPr>
              <w:jc w:val="center"/>
              <w:ind w:right="700"/>
              <w:spacing w:after="0"/>
              <w:rPr>
                <w:sz w:val="20"/>
                <w:szCs w:val="20"/>
                <w:color w:val="auto"/>
              </w:rPr>
            </w:pPr>
            <w:r>
              <w:rPr>
                <w:rFonts w:ascii="Arial" w:cs="Arial" w:eastAsia="Arial" w:hAnsi="Arial"/>
                <w:sz w:val="14"/>
                <w:szCs w:val="14"/>
                <w:b w:val="1"/>
                <w:bCs w:val="1"/>
                <w:color w:val="auto"/>
                <w:w w:val="97"/>
              </w:rPr>
              <w:t>Number of</w:t>
            </w:r>
          </w:p>
        </w:tc>
        <w:tc>
          <w:tcPr>
            <w:tcW w:w="640" w:type="dxa"/>
            <w:vAlign w:val="bottom"/>
            <w:tcBorders>
              <w:top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5220" w:type="dxa"/>
            <w:vAlign w:val="bottom"/>
          </w:tcPr>
          <w:p>
            <w:pPr>
              <w:spacing w:after="0"/>
              <w:rPr>
                <w:sz w:val="12"/>
                <w:szCs w:val="12"/>
                <w:color w:val="auto"/>
              </w:rPr>
            </w:pPr>
          </w:p>
        </w:tc>
        <w:tc>
          <w:tcPr>
            <w:tcW w:w="1400" w:type="dxa"/>
            <w:vAlign w:val="bottom"/>
            <w:gridSpan w:val="2"/>
          </w:tcPr>
          <w:p>
            <w:pPr>
              <w:jc w:val="center"/>
              <w:ind w:right="700"/>
              <w:spacing w:after="0" w:line="149" w:lineRule="exact"/>
              <w:rPr>
                <w:sz w:val="20"/>
                <w:szCs w:val="20"/>
                <w:color w:val="auto"/>
              </w:rPr>
            </w:pPr>
            <w:r>
              <w:rPr>
                <w:rFonts w:ascii="Arial" w:cs="Arial" w:eastAsia="Arial" w:hAnsi="Arial"/>
                <w:sz w:val="14"/>
                <w:szCs w:val="14"/>
                <w:b w:val="1"/>
                <w:bCs w:val="1"/>
                <w:color w:val="auto"/>
                <w:w w:val="89"/>
              </w:rPr>
              <w:t>Shares</w:t>
            </w:r>
          </w:p>
        </w:tc>
        <w:tc>
          <w:tcPr>
            <w:tcW w:w="7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380" w:type="dxa"/>
            <w:vAlign w:val="bottom"/>
            <w:gridSpan w:val="2"/>
            <w:vMerge w:val="continue"/>
          </w:tcPr>
          <w:p>
            <w:pPr>
              <w:spacing w:after="0"/>
              <w:rPr>
                <w:sz w:val="12"/>
                <w:szCs w:val="12"/>
                <w:color w:val="auto"/>
              </w:rPr>
            </w:pPr>
          </w:p>
        </w:tc>
        <w:tc>
          <w:tcPr>
            <w:tcW w:w="6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5220" w:type="dxa"/>
            <w:vAlign w:val="bottom"/>
          </w:tcPr>
          <w:p>
            <w:pPr>
              <w:spacing w:after="0"/>
              <w:rPr>
                <w:sz w:val="12"/>
                <w:szCs w:val="12"/>
                <w:color w:val="auto"/>
              </w:rPr>
            </w:pPr>
          </w:p>
        </w:tc>
        <w:tc>
          <w:tcPr>
            <w:tcW w:w="1400" w:type="dxa"/>
            <w:vAlign w:val="bottom"/>
            <w:gridSpan w:val="2"/>
          </w:tcPr>
          <w:p>
            <w:pPr>
              <w:jc w:val="center"/>
              <w:ind w:right="700"/>
              <w:spacing w:after="0" w:line="149" w:lineRule="exact"/>
              <w:rPr>
                <w:sz w:val="20"/>
                <w:szCs w:val="20"/>
                <w:color w:val="auto"/>
              </w:rPr>
            </w:pPr>
            <w:r>
              <w:rPr>
                <w:rFonts w:ascii="Arial" w:cs="Arial" w:eastAsia="Arial" w:hAnsi="Arial"/>
                <w:sz w:val="14"/>
                <w:szCs w:val="14"/>
                <w:b w:val="1"/>
                <w:bCs w:val="1"/>
                <w:color w:val="auto"/>
                <w:w w:val="95"/>
              </w:rPr>
              <w:t>Underlying</w:t>
            </w:r>
          </w:p>
        </w:tc>
        <w:tc>
          <w:tcPr>
            <w:tcW w:w="1420" w:type="dxa"/>
            <w:vAlign w:val="bottom"/>
            <w:gridSpan w:val="2"/>
            <w:vMerge w:val="restart"/>
          </w:tcPr>
          <w:p>
            <w:pPr>
              <w:jc w:val="center"/>
              <w:ind w:right="700"/>
              <w:spacing w:after="0"/>
              <w:rPr>
                <w:sz w:val="20"/>
                <w:szCs w:val="20"/>
                <w:color w:val="auto"/>
              </w:rPr>
            </w:pPr>
            <w:r>
              <w:rPr>
                <w:rFonts w:ascii="Arial" w:cs="Arial" w:eastAsia="Arial" w:hAnsi="Arial"/>
                <w:sz w:val="14"/>
                <w:szCs w:val="14"/>
                <w:b w:val="1"/>
                <w:bCs w:val="1"/>
                <w:color w:val="auto"/>
                <w:w w:val="96"/>
              </w:rPr>
              <w:t>Value</w:t>
            </w:r>
          </w:p>
        </w:tc>
        <w:tc>
          <w:tcPr>
            <w:tcW w:w="1380" w:type="dxa"/>
            <w:vAlign w:val="bottom"/>
            <w:gridSpan w:val="2"/>
          </w:tcPr>
          <w:p>
            <w:pPr>
              <w:jc w:val="center"/>
              <w:ind w:right="700"/>
              <w:spacing w:after="0" w:line="149" w:lineRule="exact"/>
              <w:rPr>
                <w:sz w:val="20"/>
                <w:szCs w:val="20"/>
                <w:color w:val="auto"/>
              </w:rPr>
            </w:pPr>
            <w:r>
              <w:rPr>
                <w:rFonts w:ascii="Arial" w:cs="Arial" w:eastAsia="Arial" w:hAnsi="Arial"/>
                <w:sz w:val="14"/>
                <w:szCs w:val="14"/>
                <w:b w:val="1"/>
                <w:bCs w:val="1"/>
                <w:color w:val="auto"/>
                <w:w w:val="85"/>
              </w:rPr>
              <w:t>Shares</w:t>
            </w:r>
          </w:p>
        </w:tc>
        <w:tc>
          <w:tcPr>
            <w:tcW w:w="700" w:type="dxa"/>
            <w:vAlign w:val="bottom"/>
            <w:gridSpan w:val="2"/>
            <w:vMerge w:val="restart"/>
          </w:tcPr>
          <w:p>
            <w:pPr>
              <w:jc w:val="center"/>
              <w:ind w:right="60"/>
              <w:spacing w:after="0"/>
              <w:rPr>
                <w:sz w:val="20"/>
                <w:szCs w:val="20"/>
                <w:color w:val="auto"/>
              </w:rPr>
            </w:pPr>
            <w:r>
              <w:rPr>
                <w:rFonts w:ascii="Arial" w:cs="Arial" w:eastAsia="Arial" w:hAnsi="Arial"/>
                <w:sz w:val="14"/>
                <w:szCs w:val="14"/>
                <w:b w:val="1"/>
                <w:bCs w:val="1"/>
                <w:color w:val="auto"/>
                <w:w w:val="96"/>
              </w:rPr>
              <w:t>Value</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5220" w:type="dxa"/>
            <w:vAlign w:val="bottom"/>
          </w:tcPr>
          <w:p>
            <w:pPr>
              <w:spacing w:after="0"/>
              <w:rPr>
                <w:sz w:val="12"/>
                <w:szCs w:val="12"/>
                <w:color w:val="auto"/>
              </w:rPr>
            </w:pPr>
          </w:p>
        </w:tc>
        <w:tc>
          <w:tcPr>
            <w:tcW w:w="1400" w:type="dxa"/>
            <w:vAlign w:val="bottom"/>
            <w:gridSpan w:val="2"/>
          </w:tcPr>
          <w:p>
            <w:pPr>
              <w:jc w:val="center"/>
              <w:ind w:right="700"/>
              <w:spacing w:after="0" w:line="149" w:lineRule="exact"/>
              <w:rPr>
                <w:sz w:val="20"/>
                <w:szCs w:val="20"/>
                <w:color w:val="auto"/>
              </w:rPr>
            </w:pPr>
            <w:r>
              <w:rPr>
                <w:rFonts w:ascii="Arial" w:cs="Arial" w:eastAsia="Arial" w:hAnsi="Arial"/>
                <w:sz w:val="14"/>
                <w:szCs w:val="14"/>
                <w:b w:val="1"/>
                <w:bCs w:val="1"/>
                <w:color w:val="auto"/>
                <w:w w:val="95"/>
              </w:rPr>
              <w:t>Options/</w:t>
            </w:r>
          </w:p>
        </w:tc>
        <w:tc>
          <w:tcPr>
            <w:tcW w:w="1420" w:type="dxa"/>
            <w:vAlign w:val="bottom"/>
            <w:gridSpan w:val="2"/>
            <w:vMerge w:val="continue"/>
          </w:tcPr>
          <w:p>
            <w:pPr>
              <w:spacing w:after="0"/>
              <w:rPr>
                <w:sz w:val="12"/>
                <w:szCs w:val="12"/>
                <w:color w:val="auto"/>
              </w:rPr>
            </w:pPr>
          </w:p>
        </w:tc>
        <w:tc>
          <w:tcPr>
            <w:tcW w:w="1380" w:type="dxa"/>
            <w:vAlign w:val="bottom"/>
            <w:gridSpan w:val="2"/>
          </w:tcPr>
          <w:p>
            <w:pPr>
              <w:jc w:val="center"/>
              <w:ind w:right="700"/>
              <w:spacing w:after="0" w:line="149" w:lineRule="exact"/>
              <w:rPr>
                <w:sz w:val="20"/>
                <w:szCs w:val="20"/>
                <w:color w:val="auto"/>
              </w:rPr>
            </w:pPr>
            <w:r>
              <w:rPr>
                <w:rFonts w:ascii="Arial" w:cs="Arial" w:eastAsia="Arial" w:hAnsi="Arial"/>
                <w:sz w:val="14"/>
                <w:szCs w:val="14"/>
                <w:b w:val="1"/>
                <w:bCs w:val="1"/>
                <w:color w:val="auto"/>
                <w:w w:val="92"/>
              </w:rPr>
              <w:t>Acquired</w:t>
            </w:r>
          </w:p>
        </w:tc>
        <w:tc>
          <w:tcPr>
            <w:tcW w:w="7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5220" w:type="dxa"/>
            <w:vAlign w:val="bottom"/>
          </w:tcPr>
          <w:p>
            <w:pPr>
              <w:spacing w:after="0"/>
              <w:rPr>
                <w:sz w:val="12"/>
                <w:szCs w:val="12"/>
                <w:color w:val="auto"/>
              </w:rPr>
            </w:pPr>
          </w:p>
        </w:tc>
        <w:tc>
          <w:tcPr>
            <w:tcW w:w="1400" w:type="dxa"/>
            <w:vAlign w:val="bottom"/>
            <w:gridSpan w:val="2"/>
          </w:tcPr>
          <w:p>
            <w:pPr>
              <w:jc w:val="center"/>
              <w:ind w:right="700"/>
              <w:spacing w:after="0" w:line="149" w:lineRule="exact"/>
              <w:rPr>
                <w:sz w:val="20"/>
                <w:szCs w:val="20"/>
                <w:color w:val="auto"/>
              </w:rPr>
            </w:pPr>
            <w:r>
              <w:rPr>
                <w:rFonts w:ascii="Arial" w:cs="Arial" w:eastAsia="Arial" w:hAnsi="Arial"/>
                <w:sz w:val="14"/>
                <w:szCs w:val="14"/>
                <w:b w:val="1"/>
                <w:bCs w:val="1"/>
                <w:color w:val="auto"/>
                <w:w w:val="90"/>
              </w:rPr>
              <w:t>SARs</w:t>
            </w:r>
          </w:p>
        </w:tc>
        <w:tc>
          <w:tcPr>
            <w:tcW w:w="1420" w:type="dxa"/>
            <w:vAlign w:val="bottom"/>
            <w:gridSpan w:val="2"/>
          </w:tcPr>
          <w:p>
            <w:pPr>
              <w:jc w:val="right"/>
              <w:ind w:right="800"/>
              <w:spacing w:after="0" w:line="149" w:lineRule="exact"/>
              <w:rPr>
                <w:sz w:val="20"/>
                <w:szCs w:val="20"/>
                <w:color w:val="auto"/>
              </w:rPr>
            </w:pPr>
            <w:r>
              <w:rPr>
                <w:rFonts w:ascii="Arial" w:cs="Arial" w:eastAsia="Arial" w:hAnsi="Arial"/>
                <w:sz w:val="14"/>
                <w:szCs w:val="14"/>
                <w:b w:val="1"/>
                <w:bCs w:val="1"/>
                <w:color w:val="auto"/>
              </w:rPr>
              <w:t>Realized</w:t>
            </w:r>
          </w:p>
        </w:tc>
        <w:tc>
          <w:tcPr>
            <w:tcW w:w="1380" w:type="dxa"/>
            <w:vAlign w:val="bottom"/>
            <w:gridSpan w:val="2"/>
          </w:tcPr>
          <w:p>
            <w:pPr>
              <w:jc w:val="center"/>
              <w:ind w:right="700"/>
              <w:spacing w:after="0" w:line="149" w:lineRule="exact"/>
              <w:rPr>
                <w:sz w:val="20"/>
                <w:szCs w:val="20"/>
                <w:color w:val="auto"/>
              </w:rPr>
            </w:pPr>
            <w:r>
              <w:rPr>
                <w:rFonts w:ascii="Arial" w:cs="Arial" w:eastAsia="Arial" w:hAnsi="Arial"/>
                <w:sz w:val="14"/>
                <w:szCs w:val="14"/>
                <w:b w:val="1"/>
                <w:bCs w:val="1"/>
                <w:color w:val="auto"/>
                <w:w w:val="93"/>
              </w:rPr>
              <w:t>on</w:t>
            </w:r>
          </w:p>
        </w:tc>
        <w:tc>
          <w:tcPr>
            <w:tcW w:w="70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1"/>
              </w:rPr>
              <w:t>Realized</w:t>
            </w:r>
          </w:p>
        </w:tc>
        <w:tc>
          <w:tcPr>
            <w:tcW w:w="0" w:type="dxa"/>
            <w:vAlign w:val="bottom"/>
          </w:tcPr>
          <w:p>
            <w:pPr>
              <w:spacing w:after="0"/>
              <w:rPr>
                <w:sz w:val="1"/>
                <w:szCs w:val="1"/>
                <w:color w:val="auto"/>
              </w:rPr>
            </w:pPr>
          </w:p>
        </w:tc>
      </w:tr>
      <w:tr>
        <w:trPr>
          <w:trHeight w:val="149"/>
        </w:trPr>
        <w:tc>
          <w:tcPr>
            <w:tcW w:w="56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w:t>
            </w:r>
          </w:p>
        </w:tc>
        <w:tc>
          <w:tcPr>
            <w:tcW w:w="1400" w:type="dxa"/>
            <w:vAlign w:val="bottom"/>
            <w:gridSpan w:val="2"/>
          </w:tcPr>
          <w:p>
            <w:pPr>
              <w:jc w:val="center"/>
              <w:ind w:right="700"/>
              <w:spacing w:after="0" w:line="149" w:lineRule="exact"/>
              <w:rPr>
                <w:sz w:val="20"/>
                <w:szCs w:val="20"/>
                <w:color w:val="auto"/>
              </w:rPr>
            </w:pPr>
            <w:r>
              <w:rPr>
                <w:rFonts w:ascii="Arial" w:cs="Arial" w:eastAsia="Arial" w:hAnsi="Arial"/>
                <w:sz w:val="14"/>
                <w:szCs w:val="14"/>
                <w:b w:val="1"/>
                <w:bCs w:val="1"/>
                <w:color w:val="auto"/>
                <w:w w:val="87"/>
              </w:rPr>
              <w:t>Exercised</w:t>
            </w:r>
          </w:p>
        </w:tc>
        <w:tc>
          <w:tcPr>
            <w:tcW w:w="1420" w:type="dxa"/>
            <w:vAlign w:val="bottom"/>
            <w:gridSpan w:val="2"/>
          </w:tcPr>
          <w:p>
            <w:pPr>
              <w:jc w:val="center"/>
              <w:ind w:right="700"/>
              <w:spacing w:after="0" w:line="149" w:lineRule="exact"/>
              <w:rPr>
                <w:sz w:val="20"/>
                <w:szCs w:val="20"/>
                <w:color w:val="auto"/>
              </w:rPr>
            </w:pPr>
            <w:r>
              <w:rPr>
                <w:rFonts w:ascii="Arial" w:cs="Arial" w:eastAsia="Arial" w:hAnsi="Arial"/>
                <w:sz w:val="14"/>
                <w:szCs w:val="14"/>
                <w:b w:val="1"/>
                <w:bCs w:val="1"/>
                <w:color w:val="auto"/>
                <w:w w:val="91"/>
              </w:rPr>
              <w:t>on Exercise</w:t>
            </w:r>
          </w:p>
        </w:tc>
        <w:tc>
          <w:tcPr>
            <w:tcW w:w="1380" w:type="dxa"/>
            <w:vAlign w:val="bottom"/>
            <w:gridSpan w:val="2"/>
          </w:tcPr>
          <w:p>
            <w:pPr>
              <w:jc w:val="center"/>
              <w:ind w:right="700"/>
              <w:spacing w:after="0" w:line="149" w:lineRule="exact"/>
              <w:rPr>
                <w:sz w:val="20"/>
                <w:szCs w:val="20"/>
                <w:color w:val="auto"/>
              </w:rPr>
            </w:pPr>
            <w:r>
              <w:rPr>
                <w:rFonts w:ascii="Arial" w:cs="Arial" w:eastAsia="Arial" w:hAnsi="Arial"/>
                <w:sz w:val="14"/>
                <w:szCs w:val="14"/>
                <w:b w:val="1"/>
                <w:bCs w:val="1"/>
                <w:color w:val="auto"/>
                <w:w w:val="86"/>
              </w:rPr>
              <w:t>Vesting</w:t>
            </w:r>
          </w:p>
        </w:tc>
        <w:tc>
          <w:tcPr>
            <w:tcW w:w="70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89"/>
              </w:rPr>
              <w:t>on Vesting</w:t>
            </w:r>
          </w:p>
        </w:tc>
        <w:tc>
          <w:tcPr>
            <w:tcW w:w="0" w:type="dxa"/>
            <w:vAlign w:val="bottom"/>
          </w:tcPr>
          <w:p>
            <w:pPr>
              <w:spacing w:after="0"/>
              <w:rPr>
                <w:sz w:val="1"/>
                <w:szCs w:val="1"/>
                <w:color w:val="auto"/>
              </w:rPr>
            </w:pPr>
          </w:p>
        </w:tc>
      </w:tr>
      <w:tr>
        <w:trPr>
          <w:trHeight w:val="171"/>
        </w:trPr>
        <w:tc>
          <w:tcPr>
            <w:tcW w:w="5600" w:type="dxa"/>
            <w:vAlign w:val="bottom"/>
            <w:gridSpan w:val="2"/>
            <w:vMerge w:val="continue"/>
          </w:tcPr>
          <w:p>
            <w:pPr>
              <w:spacing w:after="0"/>
              <w:rPr>
                <w:sz w:val="14"/>
                <w:szCs w:val="14"/>
                <w:color w:val="auto"/>
              </w:rPr>
            </w:pPr>
          </w:p>
        </w:tc>
        <w:tc>
          <w:tcPr>
            <w:tcW w:w="700" w:type="dxa"/>
            <w:vAlign w:val="bottom"/>
          </w:tcPr>
          <w:p>
            <w:pPr>
              <w:jc w:val="center"/>
              <w:spacing w:after="0"/>
              <w:rPr>
                <w:sz w:val="20"/>
                <w:szCs w:val="20"/>
                <w:color w:val="auto"/>
              </w:rPr>
            </w:pPr>
            <w:r>
              <w:rPr>
                <w:rFonts w:ascii="Arial" w:cs="Arial" w:eastAsia="Arial" w:hAnsi="Arial"/>
                <w:sz w:val="14"/>
                <w:szCs w:val="14"/>
                <w:b w:val="1"/>
                <w:bCs w:val="1"/>
                <w:color w:val="auto"/>
              </w:rPr>
              <w:t>(#)</w:t>
            </w:r>
          </w:p>
        </w:tc>
        <w:tc>
          <w:tcPr>
            <w:tcW w:w="700" w:type="dxa"/>
            <w:vAlign w:val="bottom"/>
          </w:tcPr>
          <w:p>
            <w:pPr>
              <w:spacing w:after="0"/>
              <w:rPr>
                <w:sz w:val="14"/>
                <w:szCs w:val="14"/>
                <w:color w:val="auto"/>
              </w:rPr>
            </w:pPr>
          </w:p>
        </w:tc>
        <w:tc>
          <w:tcPr>
            <w:tcW w:w="720" w:type="dxa"/>
            <w:vAlign w:val="bottom"/>
          </w:tcPr>
          <w:p>
            <w:pPr>
              <w:jc w:val="center"/>
              <w:spacing w:after="0"/>
              <w:rPr>
                <w:sz w:val="20"/>
                <w:szCs w:val="20"/>
                <w:color w:val="auto"/>
              </w:rPr>
            </w:pPr>
            <w:r>
              <w:rPr>
                <w:rFonts w:ascii="Arial" w:cs="Arial" w:eastAsia="Arial" w:hAnsi="Arial"/>
                <w:sz w:val="14"/>
                <w:szCs w:val="14"/>
                <w:b w:val="1"/>
                <w:bCs w:val="1"/>
                <w:color w:val="auto"/>
                <w:w w:val="93"/>
              </w:rPr>
              <w:t>($)</w:t>
            </w:r>
          </w:p>
        </w:tc>
        <w:tc>
          <w:tcPr>
            <w:tcW w:w="700" w:type="dxa"/>
            <w:vAlign w:val="bottom"/>
          </w:tcPr>
          <w:p>
            <w:pPr>
              <w:spacing w:after="0"/>
              <w:rPr>
                <w:sz w:val="14"/>
                <w:szCs w:val="14"/>
                <w:color w:val="auto"/>
              </w:rPr>
            </w:pP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95"/>
              </w:rPr>
              <w:t xml:space="preserve">(#) </w:t>
            </w:r>
            <w:r>
              <w:rPr>
                <w:rFonts w:ascii="Arial" w:cs="Arial" w:eastAsia="Arial" w:hAnsi="Arial"/>
                <w:sz w:val="12"/>
                <w:szCs w:val="12"/>
                <w:b w:val="1"/>
                <w:bCs w:val="1"/>
                <w:color w:val="auto"/>
                <w:w w:val="95"/>
              </w:rPr>
              <w:t>(1)</w:t>
            </w:r>
          </w:p>
        </w:tc>
        <w:tc>
          <w:tcPr>
            <w:tcW w:w="70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b w:val="1"/>
                <w:bCs w:val="1"/>
                <w:color w:val="auto"/>
                <w:w w:val="95"/>
              </w:rPr>
              <w:t xml:space="preserve">($) </w:t>
            </w:r>
            <w:r>
              <w:rPr>
                <w:rFonts w:ascii="Arial" w:cs="Arial" w:eastAsia="Arial" w:hAnsi="Arial"/>
                <w:sz w:val="12"/>
                <w:szCs w:val="12"/>
                <w:b w:val="1"/>
                <w:bCs w:val="1"/>
                <w:color w:val="auto"/>
                <w:w w:val="95"/>
              </w:rPr>
              <w:t>(2)</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3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Mr.</w:t>
            </w:r>
          </w:p>
        </w:tc>
        <w:tc>
          <w:tcPr>
            <w:tcW w:w="52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McInerney</w:t>
            </w:r>
          </w:p>
        </w:tc>
        <w:tc>
          <w:tcPr>
            <w:tcW w:w="700" w:type="dxa"/>
            <w:vAlign w:val="bottom"/>
            <w:tcBorders>
              <w:top w:val="single" w:sz="8" w:color="auto"/>
            </w:tcBorders>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CCEEFF"/>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jc w:val="right"/>
              <w:ind w:right="18"/>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33,333</w:t>
            </w:r>
          </w:p>
        </w:tc>
        <w:tc>
          <w:tcPr>
            <w:tcW w:w="70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124,999</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00" w:type="dxa"/>
            <w:vAlign w:val="bottom"/>
            <w:gridSpan w:val="2"/>
          </w:tcPr>
          <w:p>
            <w:pPr>
              <w:spacing w:after="0"/>
              <w:rPr>
                <w:sz w:val="20"/>
                <w:szCs w:val="20"/>
                <w:color w:val="auto"/>
              </w:rPr>
            </w:pPr>
            <w:r>
              <w:rPr>
                <w:rFonts w:ascii="Arial" w:cs="Arial" w:eastAsia="Arial" w:hAnsi="Arial"/>
                <w:sz w:val="18"/>
                <w:szCs w:val="18"/>
                <w:color w:val="auto"/>
              </w:rPr>
              <w:t>Ms. Groh</w:t>
            </w:r>
          </w:p>
        </w:tc>
        <w:tc>
          <w:tcPr>
            <w:tcW w:w="140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800"/>
              <w:spacing w:after="0"/>
              <w:rPr>
                <w:sz w:val="20"/>
                <w:szCs w:val="20"/>
                <w:color w:val="auto"/>
              </w:rPr>
            </w:pPr>
            <w:r>
              <w:rPr>
                <w:rFonts w:ascii="Arial" w:cs="Arial" w:eastAsia="Arial" w:hAnsi="Arial"/>
                <w:sz w:val="18"/>
                <w:szCs w:val="18"/>
                <w:color w:val="auto"/>
              </w:rPr>
              <w:t>—</w:t>
            </w:r>
          </w:p>
        </w:tc>
        <w:tc>
          <w:tcPr>
            <w:tcW w:w="1380" w:type="dxa"/>
            <w:vAlign w:val="bottom"/>
            <w:gridSpan w:val="2"/>
          </w:tcPr>
          <w:p>
            <w:pPr>
              <w:jc w:val="right"/>
              <w:ind w:right="700"/>
              <w:spacing w:after="0"/>
              <w:rPr>
                <w:sz w:val="20"/>
                <w:szCs w:val="20"/>
                <w:color w:val="auto"/>
              </w:rPr>
            </w:pPr>
            <w:r>
              <w:rPr>
                <w:rFonts w:ascii="Arial" w:cs="Arial" w:eastAsia="Arial" w:hAnsi="Arial"/>
                <w:sz w:val="18"/>
                <w:szCs w:val="18"/>
                <w:color w:val="auto"/>
              </w:rPr>
              <w:t>8,116</w:t>
            </w:r>
          </w:p>
        </w:tc>
        <w:tc>
          <w:tcPr>
            <w:tcW w:w="700" w:type="dxa"/>
            <w:vAlign w:val="bottom"/>
            <w:gridSpan w:val="2"/>
          </w:tcPr>
          <w:p>
            <w:pPr>
              <w:jc w:val="right"/>
              <w:ind w:right="60"/>
              <w:spacing w:after="0"/>
              <w:rPr>
                <w:sz w:val="20"/>
                <w:szCs w:val="20"/>
                <w:color w:val="auto"/>
              </w:rPr>
            </w:pPr>
            <w:r>
              <w:rPr>
                <w:rFonts w:ascii="Arial" w:cs="Arial" w:eastAsia="Arial" w:hAnsi="Arial"/>
                <w:sz w:val="18"/>
                <w:szCs w:val="18"/>
                <w:color w:val="auto"/>
              </w:rPr>
              <w:t>20,422</w:t>
            </w:r>
          </w:p>
        </w:tc>
        <w:tc>
          <w:tcPr>
            <w:tcW w:w="0" w:type="dxa"/>
            <w:vAlign w:val="bottom"/>
          </w:tcPr>
          <w:p>
            <w:pPr>
              <w:spacing w:after="0"/>
              <w:rPr>
                <w:sz w:val="1"/>
                <w:szCs w:val="1"/>
                <w:color w:val="auto"/>
              </w:rPr>
            </w:pPr>
          </w:p>
        </w:tc>
      </w:tr>
      <w:tr>
        <w:trPr>
          <w:trHeight w:val="216"/>
        </w:trPr>
        <w:tc>
          <w:tcPr>
            <w:tcW w:w="5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Mr. Schneider</w:t>
            </w:r>
          </w:p>
        </w:tc>
        <w:tc>
          <w:tcPr>
            <w:tcW w:w="14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800"/>
              <w:spacing w:after="0"/>
              <w:rPr>
                <w:sz w:val="20"/>
                <w:szCs w:val="20"/>
                <w:color w:val="auto"/>
              </w:rPr>
            </w:pPr>
            <w:r>
              <w:rPr>
                <w:rFonts w:ascii="Arial" w:cs="Arial" w:eastAsia="Arial" w:hAnsi="Arial"/>
                <w:sz w:val="18"/>
                <w:szCs w:val="18"/>
                <w:color w:val="auto"/>
              </w:rPr>
              <w:t>—</w:t>
            </w:r>
          </w:p>
        </w:tc>
        <w:tc>
          <w:tcPr>
            <w:tcW w:w="138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rPr>
              <w:t>26,667</w:t>
            </w:r>
          </w:p>
        </w:tc>
        <w:tc>
          <w:tcPr>
            <w:tcW w:w="7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52,801</w:t>
            </w:r>
          </w:p>
        </w:tc>
        <w:tc>
          <w:tcPr>
            <w:tcW w:w="0" w:type="dxa"/>
            <w:vAlign w:val="bottom"/>
          </w:tcPr>
          <w:p>
            <w:pPr>
              <w:spacing w:after="0"/>
              <w:rPr>
                <w:sz w:val="1"/>
                <w:szCs w:val="1"/>
                <w:color w:val="auto"/>
              </w:rPr>
            </w:pPr>
          </w:p>
        </w:tc>
      </w:tr>
      <w:tr>
        <w:trPr>
          <w:trHeight w:val="216"/>
        </w:trPr>
        <w:tc>
          <w:tcPr>
            <w:tcW w:w="5600" w:type="dxa"/>
            <w:vAlign w:val="bottom"/>
            <w:gridSpan w:val="2"/>
          </w:tcPr>
          <w:p>
            <w:pPr>
              <w:spacing w:after="0"/>
              <w:rPr>
                <w:sz w:val="20"/>
                <w:szCs w:val="20"/>
                <w:color w:val="auto"/>
              </w:rPr>
            </w:pPr>
            <w:r>
              <w:rPr>
                <w:rFonts w:ascii="Arial" w:cs="Arial" w:eastAsia="Arial" w:hAnsi="Arial"/>
                <w:sz w:val="18"/>
                <w:szCs w:val="18"/>
                <w:color w:val="auto"/>
              </w:rPr>
              <w:t>Mr. Bobitz</w:t>
            </w:r>
          </w:p>
        </w:tc>
        <w:tc>
          <w:tcPr>
            <w:tcW w:w="140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800"/>
              <w:spacing w:after="0"/>
              <w:rPr>
                <w:sz w:val="20"/>
                <w:szCs w:val="20"/>
                <w:color w:val="auto"/>
              </w:rPr>
            </w:pPr>
            <w:r>
              <w:rPr>
                <w:rFonts w:ascii="Arial" w:cs="Arial" w:eastAsia="Arial" w:hAnsi="Arial"/>
                <w:sz w:val="18"/>
                <w:szCs w:val="18"/>
                <w:color w:val="auto"/>
              </w:rPr>
              <w:t>—</w:t>
            </w:r>
          </w:p>
        </w:tc>
        <w:tc>
          <w:tcPr>
            <w:tcW w:w="1380" w:type="dxa"/>
            <w:vAlign w:val="bottom"/>
            <w:gridSpan w:val="2"/>
          </w:tcPr>
          <w:p>
            <w:pPr>
              <w:jc w:val="right"/>
              <w:ind w:right="700"/>
              <w:spacing w:after="0"/>
              <w:rPr>
                <w:sz w:val="20"/>
                <w:szCs w:val="20"/>
                <w:color w:val="auto"/>
              </w:rPr>
            </w:pPr>
            <w:r>
              <w:rPr>
                <w:rFonts w:ascii="Arial" w:cs="Arial" w:eastAsia="Arial" w:hAnsi="Arial"/>
                <w:sz w:val="18"/>
                <w:szCs w:val="18"/>
                <w:color w:val="auto"/>
              </w:rPr>
              <w:t>12,421</w:t>
            </w:r>
          </w:p>
        </w:tc>
        <w:tc>
          <w:tcPr>
            <w:tcW w:w="700" w:type="dxa"/>
            <w:vAlign w:val="bottom"/>
            <w:gridSpan w:val="2"/>
          </w:tcPr>
          <w:p>
            <w:pPr>
              <w:jc w:val="right"/>
              <w:ind w:right="60"/>
              <w:spacing w:after="0"/>
              <w:rPr>
                <w:sz w:val="20"/>
                <w:szCs w:val="20"/>
                <w:color w:val="auto"/>
              </w:rPr>
            </w:pPr>
            <w:r>
              <w:rPr>
                <w:rFonts w:ascii="Arial" w:cs="Arial" w:eastAsia="Arial" w:hAnsi="Arial"/>
                <w:sz w:val="18"/>
                <w:szCs w:val="18"/>
                <w:color w:val="auto"/>
              </w:rPr>
              <w:t>23,964</w:t>
            </w:r>
          </w:p>
        </w:tc>
        <w:tc>
          <w:tcPr>
            <w:tcW w:w="0" w:type="dxa"/>
            <w:vAlign w:val="bottom"/>
          </w:tcPr>
          <w:p>
            <w:pPr>
              <w:spacing w:after="0"/>
              <w:rPr>
                <w:sz w:val="1"/>
                <w:szCs w:val="1"/>
                <w:color w:val="auto"/>
              </w:rPr>
            </w:pPr>
          </w:p>
        </w:tc>
      </w:tr>
      <w:tr>
        <w:trPr>
          <w:trHeight w:val="216"/>
        </w:trPr>
        <w:tc>
          <w:tcPr>
            <w:tcW w:w="5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Mr. Sheehan</w:t>
            </w:r>
          </w:p>
        </w:tc>
        <w:tc>
          <w:tcPr>
            <w:tcW w:w="14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800"/>
              <w:spacing w:after="0"/>
              <w:rPr>
                <w:sz w:val="20"/>
                <w:szCs w:val="20"/>
                <w:color w:val="auto"/>
              </w:rPr>
            </w:pPr>
            <w:r>
              <w:rPr>
                <w:rFonts w:ascii="Arial" w:cs="Arial" w:eastAsia="Arial" w:hAnsi="Arial"/>
                <w:sz w:val="18"/>
                <w:szCs w:val="18"/>
                <w:color w:val="auto"/>
              </w:rPr>
              <w:t>—</w:t>
            </w:r>
          </w:p>
        </w:tc>
        <w:tc>
          <w:tcPr>
            <w:tcW w:w="138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rPr>
              <w:t>53,467</w:t>
            </w:r>
          </w:p>
        </w:tc>
        <w:tc>
          <w:tcPr>
            <w:tcW w:w="7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5"/>
              </w:rPr>
              <w:t>105,451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5" w:lineRule="exact"/>
        <w:rPr>
          <w:sz w:val="20"/>
          <w:szCs w:val="20"/>
          <w:color w:val="auto"/>
        </w:rPr>
      </w:pPr>
    </w:p>
    <w:p>
      <w:pPr>
        <w:ind w:left="460" w:hanging="452"/>
        <w:spacing w:after="0" w:line="258" w:lineRule="auto"/>
        <w:tabs>
          <w:tab w:leader="none" w:pos="460" w:val="left"/>
        </w:tabs>
        <w:numPr>
          <w:ilvl w:val="0"/>
          <w:numId w:val="47"/>
        </w:numPr>
        <w:rPr>
          <w:rFonts w:ascii="Arial" w:cs="Arial" w:eastAsia="Arial" w:hAnsi="Arial"/>
          <w:sz w:val="15"/>
          <w:szCs w:val="15"/>
          <w:color w:val="auto"/>
        </w:rPr>
      </w:pPr>
      <w:r>
        <w:rPr>
          <w:rFonts w:ascii="Arial" w:cs="Arial" w:eastAsia="Arial" w:hAnsi="Arial"/>
          <w:sz w:val="18"/>
          <w:szCs w:val="18"/>
          <w:color w:val="auto"/>
        </w:rPr>
        <w:t>Reflects the gross number of shares received upon the vesting of RSUs. Based on the tax withholding payment election, a portion of the shares reflected above may have been withheld to cover taxes due.</w:t>
      </w:r>
    </w:p>
    <w:p>
      <w:pPr>
        <w:spacing w:after="0" w:line="1" w:lineRule="exact"/>
        <w:rPr>
          <w:rFonts w:ascii="Arial" w:cs="Arial" w:eastAsia="Arial" w:hAnsi="Arial"/>
          <w:sz w:val="15"/>
          <w:szCs w:val="15"/>
          <w:color w:val="auto"/>
        </w:rPr>
      </w:pPr>
    </w:p>
    <w:p>
      <w:pPr>
        <w:ind w:left="460" w:hanging="452"/>
        <w:spacing w:after="0"/>
        <w:tabs>
          <w:tab w:leader="none" w:pos="460" w:val="left"/>
        </w:tabs>
        <w:numPr>
          <w:ilvl w:val="0"/>
          <w:numId w:val="47"/>
        </w:numPr>
        <w:rPr>
          <w:rFonts w:ascii="Arial" w:cs="Arial" w:eastAsia="Arial" w:hAnsi="Arial"/>
          <w:sz w:val="15"/>
          <w:szCs w:val="15"/>
          <w:color w:val="auto"/>
        </w:rPr>
      </w:pPr>
      <w:r>
        <w:rPr>
          <w:rFonts w:ascii="Arial" w:cs="Arial" w:eastAsia="Arial" w:hAnsi="Arial"/>
          <w:sz w:val="18"/>
          <w:szCs w:val="18"/>
          <w:color w:val="auto"/>
        </w:rPr>
        <w:t>Reflects the fair market value of the underlying shares as of the vesting date.</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Pension Benefits</w:t>
      </w:r>
    </w:p>
    <w:p>
      <w:pPr>
        <w:spacing w:after="0" w:line="121" w:lineRule="exact"/>
        <w:rPr>
          <w:sz w:val="20"/>
          <w:szCs w:val="20"/>
          <w:color w:val="auto"/>
        </w:rPr>
      </w:pPr>
    </w:p>
    <w:p>
      <w:pPr>
        <w:ind w:right="20" w:firstLine="456"/>
        <w:spacing w:after="0" w:line="271" w:lineRule="auto"/>
        <w:rPr>
          <w:sz w:val="20"/>
          <w:szCs w:val="20"/>
          <w:color w:val="auto"/>
        </w:rPr>
      </w:pPr>
      <w:r>
        <w:rPr>
          <w:rFonts w:ascii="Arial" w:cs="Arial" w:eastAsia="Arial" w:hAnsi="Arial"/>
          <w:sz w:val="17"/>
          <w:szCs w:val="17"/>
          <w:color w:val="auto"/>
        </w:rPr>
        <w:t>The SERP is a non-qualified, defined benefit plan maintained to provide eligible executives with additional retirement benefits. The SERP was closed to new participants after December 31, 2009; therefore, Mr. McInerney was not eligible for the SERP when he joined the company in 2013. The annual SERP benefit is a life annuity equal to a fixed percentage multiplied by the participant’s years of benefit service, and the participant’s average annual compensation (based on the highest consecutive 36-month period within the last 120-month period prior to separation from service) with the result not to exceed 40% of the participant’s average annual compensation. Benefit service is defined as service since the plan’s inception date (September 27, 2005) or date of SERP participation, whichever is later. The SERP benefit is then reduced by the value of the participant’s account balance under the Retirement Account Feature of our Retirement and Savings Plan as converted to an annual annuity. Compensation for SERP purposes generally includes only base salary and annual cash incentive (each whether or not deferred).</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459" w:right="23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annual SERP benefit is calculated as described below:</w:t>
      </w: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1600" w:type="dxa"/>
            <w:vAlign w:val="bottom"/>
          </w:tcPr>
          <w:p>
            <w:pPr>
              <w:spacing w:after="0"/>
              <w:rPr>
                <w:sz w:val="15"/>
                <w:szCs w:val="15"/>
                <w:color w:val="auto"/>
              </w:rPr>
            </w:pPr>
          </w:p>
        </w:tc>
        <w:tc>
          <w:tcPr>
            <w:tcW w:w="1580" w:type="dxa"/>
            <w:vAlign w:val="bottom"/>
          </w:tcPr>
          <w:p>
            <w:pPr>
              <w:spacing w:after="0"/>
              <w:rPr>
                <w:sz w:val="15"/>
                <w:szCs w:val="15"/>
                <w:color w:val="auto"/>
              </w:rPr>
            </w:pPr>
          </w:p>
        </w:tc>
        <w:tc>
          <w:tcPr>
            <w:tcW w:w="900" w:type="dxa"/>
            <w:vAlign w:val="bottom"/>
            <w:vMerge w:val="restart"/>
          </w:tcPr>
          <w:p>
            <w:pPr>
              <w:jc w:val="right"/>
              <w:spacing w:after="0"/>
              <w:rPr>
                <w:sz w:val="20"/>
                <w:szCs w:val="20"/>
                <w:color w:val="auto"/>
              </w:rPr>
            </w:pPr>
            <w:r>
              <w:rPr>
                <w:rFonts w:ascii="Arial" w:cs="Arial" w:eastAsia="Arial" w:hAnsi="Arial"/>
                <w:sz w:val="117"/>
                <w:szCs w:val="117"/>
                <w:color w:val="auto"/>
              </w:rPr>
              <w:t>(</w:t>
            </w:r>
          </w:p>
        </w:tc>
        <w:tc>
          <w:tcPr>
            <w:tcW w:w="1500" w:type="dxa"/>
            <w:vAlign w:val="bottom"/>
          </w:tcPr>
          <w:p>
            <w:pPr>
              <w:jc w:val="center"/>
              <w:ind w:left="112"/>
              <w:spacing w:after="0"/>
              <w:rPr>
                <w:sz w:val="20"/>
                <w:szCs w:val="20"/>
                <w:color w:val="auto"/>
              </w:rPr>
            </w:pPr>
            <w:r>
              <w:rPr>
                <w:rFonts w:ascii="Arial" w:cs="Arial" w:eastAsia="Arial" w:hAnsi="Arial"/>
                <w:sz w:val="14"/>
                <w:szCs w:val="14"/>
                <w:b w:val="1"/>
                <w:bCs w:val="1"/>
                <w:color w:val="auto"/>
                <w:w w:val="94"/>
              </w:rPr>
              <w:t>1.45% x Average</w:t>
            </w:r>
          </w:p>
        </w:tc>
        <w:tc>
          <w:tcPr>
            <w:tcW w:w="540" w:type="dxa"/>
            <w:vAlign w:val="bottom"/>
            <w:vMerge w:val="restart"/>
          </w:tcPr>
          <w:p>
            <w:pPr>
              <w:jc w:val="right"/>
              <w:spacing w:after="0"/>
              <w:rPr>
                <w:sz w:val="20"/>
                <w:szCs w:val="20"/>
                <w:color w:val="auto"/>
              </w:rPr>
            </w:pPr>
            <w:r>
              <w:rPr>
                <w:rFonts w:ascii="Arial" w:cs="Arial" w:eastAsia="Arial" w:hAnsi="Arial"/>
                <w:sz w:val="117"/>
                <w:szCs w:val="117"/>
                <w:color w:val="auto"/>
              </w:rPr>
              <w:t>)</w:t>
            </w:r>
          </w:p>
        </w:tc>
        <w:tc>
          <w:tcPr>
            <w:tcW w:w="560" w:type="dxa"/>
            <w:vAlign w:val="bottom"/>
          </w:tcPr>
          <w:p>
            <w:pPr>
              <w:spacing w:after="0"/>
              <w:rPr>
                <w:sz w:val="15"/>
                <w:szCs w:val="15"/>
                <w:color w:val="auto"/>
              </w:rPr>
            </w:pPr>
          </w:p>
        </w:tc>
        <w:tc>
          <w:tcPr>
            <w:tcW w:w="900" w:type="dxa"/>
            <w:vAlign w:val="bottom"/>
            <w:vMerge w:val="restart"/>
          </w:tcPr>
          <w:p>
            <w:pPr>
              <w:jc w:val="right"/>
              <w:spacing w:after="0"/>
              <w:rPr>
                <w:sz w:val="20"/>
                <w:szCs w:val="20"/>
                <w:color w:val="auto"/>
              </w:rPr>
            </w:pPr>
            <w:r>
              <w:rPr>
                <w:rFonts w:ascii="Arial" w:cs="Arial" w:eastAsia="Arial" w:hAnsi="Arial"/>
                <w:sz w:val="117"/>
                <w:szCs w:val="117"/>
                <w:color w:val="auto"/>
              </w:rPr>
              <w:t>(</w:t>
            </w:r>
          </w:p>
        </w:tc>
        <w:tc>
          <w:tcPr>
            <w:tcW w:w="1340" w:type="dxa"/>
            <w:vAlign w:val="bottom"/>
          </w:tcPr>
          <w:p>
            <w:pPr>
              <w:jc w:val="center"/>
              <w:ind w:left="112"/>
              <w:spacing w:after="0"/>
              <w:rPr>
                <w:sz w:val="20"/>
                <w:szCs w:val="20"/>
                <w:color w:val="auto"/>
              </w:rPr>
            </w:pPr>
            <w:r>
              <w:rPr>
                <w:rFonts w:ascii="Arial" w:cs="Arial" w:eastAsia="Arial" w:hAnsi="Arial"/>
                <w:sz w:val="14"/>
                <w:szCs w:val="14"/>
                <w:b w:val="1"/>
                <w:bCs w:val="1"/>
                <w:color w:val="auto"/>
                <w:w w:val="93"/>
              </w:rPr>
              <w:t>1.1% x Average</w:t>
            </w:r>
          </w:p>
        </w:tc>
        <w:tc>
          <w:tcPr>
            <w:tcW w:w="560" w:type="dxa"/>
            <w:vAlign w:val="bottom"/>
            <w:vMerge w:val="restart"/>
          </w:tcPr>
          <w:p>
            <w:pPr>
              <w:jc w:val="right"/>
              <w:spacing w:after="0"/>
              <w:rPr>
                <w:sz w:val="20"/>
                <w:szCs w:val="20"/>
                <w:color w:val="auto"/>
              </w:rPr>
            </w:pPr>
            <w:r>
              <w:rPr>
                <w:rFonts w:ascii="Arial" w:cs="Arial" w:eastAsia="Arial" w:hAnsi="Arial"/>
                <w:sz w:val="117"/>
                <w:szCs w:val="117"/>
                <w:color w:val="auto"/>
              </w:rPr>
              <w:t>)</w:t>
            </w:r>
          </w:p>
        </w:tc>
        <w:tc>
          <w:tcPr>
            <w:tcW w:w="38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9"/>
        </w:trPr>
        <w:tc>
          <w:tcPr>
            <w:tcW w:w="16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900" w:type="dxa"/>
            <w:vAlign w:val="bottom"/>
            <w:vMerge w:val="continue"/>
          </w:tcPr>
          <w:p>
            <w:pPr>
              <w:spacing w:after="0"/>
              <w:rPr>
                <w:sz w:val="12"/>
                <w:szCs w:val="12"/>
                <w:color w:val="auto"/>
              </w:rPr>
            </w:pPr>
          </w:p>
        </w:tc>
        <w:tc>
          <w:tcPr>
            <w:tcW w:w="1500" w:type="dxa"/>
            <w:vAlign w:val="bottom"/>
          </w:tcPr>
          <w:p>
            <w:pPr>
              <w:jc w:val="center"/>
              <w:ind w:left="92"/>
              <w:spacing w:after="0" w:line="149" w:lineRule="exact"/>
              <w:rPr>
                <w:sz w:val="20"/>
                <w:szCs w:val="20"/>
                <w:color w:val="auto"/>
              </w:rPr>
            </w:pPr>
            <w:r>
              <w:rPr>
                <w:rFonts w:ascii="Arial" w:cs="Arial" w:eastAsia="Arial" w:hAnsi="Arial"/>
                <w:sz w:val="14"/>
                <w:szCs w:val="14"/>
                <w:b w:val="1"/>
                <w:bCs w:val="1"/>
                <w:color w:val="auto"/>
                <w:w w:val="96"/>
              </w:rPr>
              <w:t>Annual</w:t>
            </w:r>
          </w:p>
        </w:tc>
        <w:tc>
          <w:tcPr>
            <w:tcW w:w="540" w:type="dxa"/>
            <w:vAlign w:val="bottom"/>
            <w:vMerge w:val="continue"/>
          </w:tcPr>
          <w:p>
            <w:pPr>
              <w:spacing w:after="0"/>
              <w:rPr>
                <w:sz w:val="12"/>
                <w:szCs w:val="12"/>
                <w:color w:val="auto"/>
              </w:rPr>
            </w:pPr>
          </w:p>
        </w:tc>
        <w:tc>
          <w:tcPr>
            <w:tcW w:w="560" w:type="dxa"/>
            <w:vAlign w:val="bottom"/>
          </w:tcPr>
          <w:p>
            <w:pPr>
              <w:spacing w:after="0"/>
              <w:rPr>
                <w:sz w:val="12"/>
                <w:szCs w:val="12"/>
                <w:color w:val="auto"/>
              </w:rPr>
            </w:pPr>
          </w:p>
        </w:tc>
        <w:tc>
          <w:tcPr>
            <w:tcW w:w="900" w:type="dxa"/>
            <w:vAlign w:val="bottom"/>
            <w:vMerge w:val="continue"/>
          </w:tcPr>
          <w:p>
            <w:pPr>
              <w:spacing w:after="0"/>
              <w:rPr>
                <w:sz w:val="12"/>
                <w:szCs w:val="12"/>
                <w:color w:val="auto"/>
              </w:rPr>
            </w:pPr>
          </w:p>
        </w:tc>
        <w:tc>
          <w:tcPr>
            <w:tcW w:w="1340" w:type="dxa"/>
            <w:vAlign w:val="bottom"/>
          </w:tcPr>
          <w:p>
            <w:pPr>
              <w:jc w:val="center"/>
              <w:ind w:left="132"/>
              <w:spacing w:after="0" w:line="149" w:lineRule="exact"/>
              <w:rPr>
                <w:sz w:val="20"/>
                <w:szCs w:val="20"/>
                <w:color w:val="auto"/>
              </w:rPr>
            </w:pPr>
            <w:r>
              <w:rPr>
                <w:rFonts w:ascii="Arial" w:cs="Arial" w:eastAsia="Arial" w:hAnsi="Arial"/>
                <w:sz w:val="14"/>
                <w:szCs w:val="14"/>
                <w:b w:val="1"/>
                <w:bCs w:val="1"/>
                <w:color w:val="auto"/>
                <w:w w:val="96"/>
              </w:rPr>
              <w:t>Annual</w:t>
            </w:r>
          </w:p>
        </w:tc>
        <w:tc>
          <w:tcPr>
            <w:tcW w:w="560" w:type="dxa"/>
            <w:vAlign w:val="bottom"/>
            <w:vMerge w:val="continue"/>
          </w:tcPr>
          <w:p>
            <w:pPr>
              <w:spacing w:after="0"/>
              <w:rPr>
                <w:sz w:val="12"/>
                <w:szCs w:val="12"/>
                <w:color w:val="auto"/>
              </w:rPr>
            </w:pPr>
          </w:p>
        </w:tc>
        <w:tc>
          <w:tcPr>
            <w:tcW w:w="380" w:type="dxa"/>
            <w:vAlign w:val="bottom"/>
          </w:tcPr>
          <w:p>
            <w:pPr>
              <w:spacing w:after="0"/>
              <w:rPr>
                <w:sz w:val="12"/>
                <w:szCs w:val="12"/>
                <w:color w:val="auto"/>
              </w:rPr>
            </w:pPr>
          </w:p>
        </w:tc>
        <w:tc>
          <w:tcPr>
            <w:tcW w:w="1560" w:type="dxa"/>
            <w:vAlign w:val="bottom"/>
            <w:vMerge w:val="restart"/>
          </w:tcPr>
          <w:p>
            <w:pPr>
              <w:jc w:val="center"/>
              <w:ind w:left="68"/>
              <w:spacing w:after="0"/>
              <w:rPr>
                <w:sz w:val="20"/>
                <w:szCs w:val="20"/>
                <w:color w:val="auto"/>
              </w:rPr>
            </w:pPr>
            <w:r>
              <w:rPr>
                <w:rFonts w:ascii="Arial" w:cs="Arial" w:eastAsia="Arial" w:hAnsi="Arial"/>
                <w:sz w:val="14"/>
                <w:szCs w:val="14"/>
                <w:b w:val="1"/>
                <w:bCs w:val="1"/>
                <w:color w:val="auto"/>
                <w:w w:val="92"/>
              </w:rPr>
              <w:t>Annuitized value of the</w:t>
            </w:r>
          </w:p>
        </w:tc>
        <w:tc>
          <w:tcPr>
            <w:tcW w:w="0" w:type="dxa"/>
            <w:vAlign w:val="bottom"/>
          </w:tcPr>
          <w:p>
            <w:pPr>
              <w:spacing w:after="0"/>
              <w:rPr>
                <w:sz w:val="1"/>
                <w:szCs w:val="1"/>
                <w:color w:val="auto"/>
              </w:rPr>
            </w:pPr>
          </w:p>
        </w:tc>
      </w:tr>
      <w:tr>
        <w:trPr>
          <w:trHeight w:val="81"/>
        </w:trPr>
        <w:tc>
          <w:tcPr>
            <w:tcW w:w="1600" w:type="dxa"/>
            <w:vAlign w:val="bottom"/>
            <w:vMerge w:val="restart"/>
          </w:tcPr>
          <w:p>
            <w:pPr>
              <w:spacing w:after="0"/>
              <w:rPr>
                <w:sz w:val="20"/>
                <w:szCs w:val="20"/>
                <w:color w:val="auto"/>
              </w:rPr>
            </w:pPr>
            <w:r>
              <w:rPr>
                <w:rFonts w:ascii="Arial" w:cs="Arial" w:eastAsia="Arial" w:hAnsi="Arial"/>
                <w:sz w:val="14"/>
                <w:szCs w:val="14"/>
                <w:b w:val="1"/>
                <w:bCs w:val="1"/>
                <w:color w:val="auto"/>
              </w:rPr>
              <w:t>SERP</w:t>
            </w:r>
          </w:p>
        </w:tc>
        <w:tc>
          <w:tcPr>
            <w:tcW w:w="1580" w:type="dxa"/>
            <w:vAlign w:val="bottom"/>
          </w:tcPr>
          <w:p>
            <w:pPr>
              <w:spacing w:after="0"/>
              <w:rPr>
                <w:sz w:val="7"/>
                <w:szCs w:val="7"/>
                <w:color w:val="auto"/>
              </w:rPr>
            </w:pPr>
          </w:p>
        </w:tc>
        <w:tc>
          <w:tcPr>
            <w:tcW w:w="900" w:type="dxa"/>
            <w:vAlign w:val="bottom"/>
            <w:vMerge w:val="continue"/>
          </w:tcPr>
          <w:p>
            <w:pPr>
              <w:spacing w:after="0"/>
              <w:rPr>
                <w:sz w:val="7"/>
                <w:szCs w:val="7"/>
                <w:color w:val="auto"/>
              </w:rPr>
            </w:pPr>
          </w:p>
        </w:tc>
        <w:tc>
          <w:tcPr>
            <w:tcW w:w="1500" w:type="dxa"/>
            <w:vAlign w:val="bottom"/>
            <w:vMerge w:val="restart"/>
          </w:tcPr>
          <w:p>
            <w:pPr>
              <w:jc w:val="center"/>
              <w:ind w:left="112"/>
              <w:spacing w:after="0" w:line="149" w:lineRule="exact"/>
              <w:rPr>
                <w:sz w:val="20"/>
                <w:szCs w:val="20"/>
                <w:color w:val="auto"/>
              </w:rPr>
            </w:pPr>
            <w:r>
              <w:rPr>
                <w:rFonts w:ascii="Arial" w:cs="Arial" w:eastAsia="Arial" w:hAnsi="Arial"/>
                <w:sz w:val="14"/>
                <w:szCs w:val="14"/>
                <w:b w:val="1"/>
                <w:bCs w:val="1"/>
                <w:color w:val="auto"/>
                <w:w w:val="90"/>
              </w:rPr>
              <w:t>Compensation</w:t>
            </w:r>
          </w:p>
        </w:tc>
        <w:tc>
          <w:tcPr>
            <w:tcW w:w="540" w:type="dxa"/>
            <w:vAlign w:val="bottom"/>
            <w:vMerge w:val="continue"/>
          </w:tcPr>
          <w:p>
            <w:pPr>
              <w:spacing w:after="0"/>
              <w:rPr>
                <w:sz w:val="7"/>
                <w:szCs w:val="7"/>
                <w:color w:val="auto"/>
              </w:rPr>
            </w:pPr>
          </w:p>
        </w:tc>
        <w:tc>
          <w:tcPr>
            <w:tcW w:w="560" w:type="dxa"/>
            <w:vAlign w:val="bottom"/>
          </w:tcPr>
          <w:p>
            <w:pPr>
              <w:spacing w:after="0"/>
              <w:rPr>
                <w:sz w:val="7"/>
                <w:szCs w:val="7"/>
                <w:color w:val="auto"/>
              </w:rPr>
            </w:pPr>
          </w:p>
        </w:tc>
        <w:tc>
          <w:tcPr>
            <w:tcW w:w="900" w:type="dxa"/>
            <w:vAlign w:val="bottom"/>
            <w:vMerge w:val="continue"/>
          </w:tcPr>
          <w:p>
            <w:pPr>
              <w:spacing w:after="0"/>
              <w:rPr>
                <w:sz w:val="7"/>
                <w:szCs w:val="7"/>
                <w:color w:val="auto"/>
              </w:rPr>
            </w:pPr>
          </w:p>
        </w:tc>
        <w:tc>
          <w:tcPr>
            <w:tcW w:w="1340" w:type="dxa"/>
            <w:vAlign w:val="bottom"/>
            <w:vMerge w:val="restart"/>
          </w:tcPr>
          <w:p>
            <w:pPr>
              <w:jc w:val="center"/>
              <w:ind w:left="132"/>
              <w:spacing w:after="0" w:line="149" w:lineRule="exact"/>
              <w:rPr>
                <w:sz w:val="20"/>
                <w:szCs w:val="20"/>
                <w:color w:val="auto"/>
              </w:rPr>
            </w:pPr>
            <w:r>
              <w:rPr>
                <w:rFonts w:ascii="Arial" w:cs="Arial" w:eastAsia="Arial" w:hAnsi="Arial"/>
                <w:sz w:val="14"/>
                <w:szCs w:val="14"/>
                <w:b w:val="1"/>
                <w:bCs w:val="1"/>
                <w:color w:val="auto"/>
                <w:w w:val="92"/>
              </w:rPr>
              <w:t>Compensation</w:t>
            </w:r>
          </w:p>
        </w:tc>
        <w:tc>
          <w:tcPr>
            <w:tcW w:w="560" w:type="dxa"/>
            <w:vAlign w:val="bottom"/>
            <w:vMerge w:val="continue"/>
          </w:tcPr>
          <w:p>
            <w:pPr>
              <w:spacing w:after="0"/>
              <w:rPr>
                <w:sz w:val="7"/>
                <w:szCs w:val="7"/>
                <w:color w:val="auto"/>
              </w:rPr>
            </w:pPr>
          </w:p>
        </w:tc>
        <w:tc>
          <w:tcPr>
            <w:tcW w:w="380" w:type="dxa"/>
            <w:vAlign w:val="bottom"/>
          </w:tcPr>
          <w:p>
            <w:pPr>
              <w:spacing w:after="0"/>
              <w:rPr>
                <w:sz w:val="7"/>
                <w:szCs w:val="7"/>
                <w:color w:val="auto"/>
              </w:rPr>
            </w:pPr>
          </w:p>
        </w:tc>
        <w:tc>
          <w:tcPr>
            <w:tcW w:w="15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68"/>
        </w:trPr>
        <w:tc>
          <w:tcPr>
            <w:tcW w:w="1600" w:type="dxa"/>
            <w:vAlign w:val="bottom"/>
            <w:vMerge w:val="continue"/>
          </w:tcPr>
          <w:p>
            <w:pPr>
              <w:spacing w:after="0"/>
              <w:rPr>
                <w:sz w:val="5"/>
                <w:szCs w:val="5"/>
                <w:color w:val="auto"/>
              </w:rPr>
            </w:pPr>
          </w:p>
        </w:tc>
        <w:tc>
          <w:tcPr>
            <w:tcW w:w="1580" w:type="dxa"/>
            <w:vAlign w:val="bottom"/>
            <w:vMerge w:val="restart"/>
          </w:tcPr>
          <w:p>
            <w:pPr>
              <w:jc w:val="right"/>
              <w:ind w:right="212"/>
              <w:spacing w:after="0"/>
              <w:rPr>
                <w:sz w:val="20"/>
                <w:szCs w:val="20"/>
                <w:color w:val="auto"/>
              </w:rPr>
            </w:pPr>
            <w:r>
              <w:rPr>
                <w:rFonts w:ascii="Arial" w:cs="Arial" w:eastAsia="Arial" w:hAnsi="Arial"/>
                <w:sz w:val="22"/>
                <w:szCs w:val="22"/>
                <w:b w:val="1"/>
                <w:bCs w:val="1"/>
                <w:color w:val="auto"/>
              </w:rPr>
              <w:t>=</w:t>
            </w:r>
          </w:p>
        </w:tc>
        <w:tc>
          <w:tcPr>
            <w:tcW w:w="900" w:type="dxa"/>
            <w:vAlign w:val="bottom"/>
            <w:vMerge w:val="continue"/>
          </w:tcPr>
          <w:p>
            <w:pPr>
              <w:spacing w:after="0"/>
              <w:rPr>
                <w:sz w:val="5"/>
                <w:szCs w:val="5"/>
                <w:color w:val="auto"/>
              </w:rPr>
            </w:pPr>
          </w:p>
        </w:tc>
        <w:tc>
          <w:tcPr>
            <w:tcW w:w="150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560" w:type="dxa"/>
            <w:vAlign w:val="bottom"/>
            <w:vMerge w:val="restart"/>
          </w:tcPr>
          <w:p>
            <w:pPr>
              <w:jc w:val="right"/>
              <w:ind w:right="172"/>
              <w:spacing w:after="0"/>
              <w:rPr>
                <w:sz w:val="20"/>
                <w:szCs w:val="20"/>
                <w:color w:val="auto"/>
              </w:rPr>
            </w:pPr>
            <w:r>
              <w:rPr>
                <w:rFonts w:ascii="Arial" w:cs="Arial" w:eastAsia="Arial" w:hAnsi="Arial"/>
                <w:sz w:val="22"/>
                <w:szCs w:val="22"/>
                <w:b w:val="1"/>
                <w:bCs w:val="1"/>
                <w:color w:val="auto"/>
              </w:rPr>
              <w:t>+</w:t>
            </w:r>
          </w:p>
        </w:tc>
        <w:tc>
          <w:tcPr>
            <w:tcW w:w="900" w:type="dxa"/>
            <w:vAlign w:val="bottom"/>
            <w:vMerge w:val="continue"/>
          </w:tcPr>
          <w:p>
            <w:pPr>
              <w:spacing w:after="0"/>
              <w:rPr>
                <w:sz w:val="5"/>
                <w:szCs w:val="5"/>
                <w:color w:val="auto"/>
              </w:rPr>
            </w:pPr>
          </w:p>
        </w:tc>
        <w:tc>
          <w:tcPr>
            <w:tcW w:w="1340" w:type="dxa"/>
            <w:vAlign w:val="bottom"/>
            <w:vMerge w:val="continue"/>
          </w:tcPr>
          <w:p>
            <w:pPr>
              <w:spacing w:after="0"/>
              <w:rPr>
                <w:sz w:val="5"/>
                <w:szCs w:val="5"/>
                <w:color w:val="auto"/>
              </w:rPr>
            </w:pPr>
          </w:p>
        </w:tc>
        <w:tc>
          <w:tcPr>
            <w:tcW w:w="560" w:type="dxa"/>
            <w:vAlign w:val="bottom"/>
            <w:vMerge w:val="continue"/>
          </w:tcPr>
          <w:p>
            <w:pPr>
              <w:spacing w:after="0"/>
              <w:rPr>
                <w:sz w:val="5"/>
                <w:szCs w:val="5"/>
                <w:color w:val="auto"/>
              </w:rPr>
            </w:pPr>
          </w:p>
        </w:tc>
        <w:tc>
          <w:tcPr>
            <w:tcW w:w="380" w:type="dxa"/>
            <w:vAlign w:val="bottom"/>
            <w:vMerge w:val="restart"/>
          </w:tcPr>
          <w:p>
            <w:pPr>
              <w:ind w:left="140"/>
              <w:spacing w:after="0"/>
              <w:rPr>
                <w:sz w:val="20"/>
                <w:szCs w:val="20"/>
                <w:color w:val="auto"/>
              </w:rPr>
            </w:pPr>
            <w:r>
              <w:rPr>
                <w:rFonts w:ascii="Arial" w:cs="Arial" w:eastAsia="Arial" w:hAnsi="Arial"/>
                <w:sz w:val="22"/>
                <w:szCs w:val="22"/>
                <w:b w:val="1"/>
                <w:bCs w:val="1"/>
                <w:color w:val="auto"/>
              </w:rPr>
              <w:t>–</w:t>
            </w:r>
          </w:p>
        </w:tc>
        <w:tc>
          <w:tcPr>
            <w:tcW w:w="1560" w:type="dxa"/>
            <w:vAlign w:val="bottom"/>
            <w:vMerge w:val="restart"/>
          </w:tcPr>
          <w:p>
            <w:pPr>
              <w:jc w:val="center"/>
              <w:ind w:left="48"/>
              <w:spacing w:after="0" w:line="145" w:lineRule="exact"/>
              <w:rPr>
                <w:sz w:val="20"/>
                <w:szCs w:val="20"/>
                <w:color w:val="auto"/>
              </w:rPr>
            </w:pPr>
            <w:r>
              <w:rPr>
                <w:rFonts w:ascii="Arial" w:cs="Arial" w:eastAsia="Arial" w:hAnsi="Arial"/>
                <w:sz w:val="14"/>
                <w:szCs w:val="14"/>
                <w:b w:val="1"/>
                <w:bCs w:val="1"/>
                <w:color w:val="auto"/>
                <w:w w:val="92"/>
              </w:rPr>
              <w:t>company’s qualified</w:t>
            </w:r>
          </w:p>
        </w:tc>
        <w:tc>
          <w:tcPr>
            <w:tcW w:w="0" w:type="dxa"/>
            <w:vAlign w:val="bottom"/>
          </w:tcPr>
          <w:p>
            <w:pPr>
              <w:spacing w:after="0"/>
              <w:rPr>
                <w:sz w:val="1"/>
                <w:szCs w:val="1"/>
                <w:color w:val="auto"/>
              </w:rPr>
            </w:pPr>
          </w:p>
        </w:tc>
      </w:tr>
      <w:tr>
        <w:trPr>
          <w:trHeight w:val="77"/>
        </w:trPr>
        <w:tc>
          <w:tcPr>
            <w:tcW w:w="1600" w:type="dxa"/>
            <w:vAlign w:val="bottom"/>
            <w:vMerge w:val="continue"/>
          </w:tcPr>
          <w:p>
            <w:pPr>
              <w:spacing w:after="0"/>
              <w:rPr>
                <w:sz w:val="6"/>
                <w:szCs w:val="6"/>
                <w:color w:val="auto"/>
              </w:rPr>
            </w:pPr>
          </w:p>
        </w:tc>
        <w:tc>
          <w:tcPr>
            <w:tcW w:w="1580" w:type="dxa"/>
            <w:vAlign w:val="bottom"/>
            <w:vMerge w:val="continue"/>
          </w:tcPr>
          <w:p>
            <w:pPr>
              <w:spacing w:after="0"/>
              <w:rPr>
                <w:sz w:val="6"/>
                <w:szCs w:val="6"/>
                <w:color w:val="auto"/>
              </w:rPr>
            </w:pPr>
          </w:p>
        </w:tc>
        <w:tc>
          <w:tcPr>
            <w:tcW w:w="900" w:type="dxa"/>
            <w:vAlign w:val="bottom"/>
            <w:vMerge w:val="continue"/>
          </w:tcPr>
          <w:p>
            <w:pPr>
              <w:spacing w:after="0"/>
              <w:rPr>
                <w:sz w:val="6"/>
                <w:szCs w:val="6"/>
                <w:color w:val="auto"/>
              </w:rPr>
            </w:pPr>
          </w:p>
        </w:tc>
        <w:tc>
          <w:tcPr>
            <w:tcW w:w="1500" w:type="dxa"/>
            <w:vAlign w:val="bottom"/>
            <w:vMerge w:val="restart"/>
          </w:tcPr>
          <w:p>
            <w:pPr>
              <w:jc w:val="center"/>
              <w:ind w:left="92"/>
              <w:spacing w:after="0"/>
              <w:rPr>
                <w:sz w:val="20"/>
                <w:szCs w:val="20"/>
                <w:color w:val="auto"/>
              </w:rPr>
            </w:pPr>
            <w:r>
              <w:rPr>
                <w:rFonts w:ascii="Arial" w:cs="Arial" w:eastAsia="Arial" w:hAnsi="Arial"/>
                <w:sz w:val="14"/>
                <w:szCs w:val="14"/>
                <w:b w:val="1"/>
                <w:bCs w:val="1"/>
                <w:color w:val="auto"/>
              </w:rPr>
              <w:t>X</w:t>
            </w:r>
          </w:p>
        </w:tc>
        <w:tc>
          <w:tcPr>
            <w:tcW w:w="540" w:type="dxa"/>
            <w:vAlign w:val="bottom"/>
            <w:vMerge w:val="continue"/>
          </w:tcPr>
          <w:p>
            <w:pPr>
              <w:spacing w:after="0"/>
              <w:rPr>
                <w:sz w:val="6"/>
                <w:szCs w:val="6"/>
                <w:color w:val="auto"/>
              </w:rPr>
            </w:pPr>
          </w:p>
        </w:tc>
        <w:tc>
          <w:tcPr>
            <w:tcW w:w="560" w:type="dxa"/>
            <w:vAlign w:val="bottom"/>
            <w:vMerge w:val="continue"/>
          </w:tcPr>
          <w:p>
            <w:pPr>
              <w:spacing w:after="0"/>
              <w:rPr>
                <w:sz w:val="6"/>
                <w:szCs w:val="6"/>
                <w:color w:val="auto"/>
              </w:rPr>
            </w:pPr>
          </w:p>
        </w:tc>
        <w:tc>
          <w:tcPr>
            <w:tcW w:w="900" w:type="dxa"/>
            <w:vAlign w:val="bottom"/>
            <w:vMerge w:val="continue"/>
          </w:tcPr>
          <w:p>
            <w:pPr>
              <w:spacing w:after="0"/>
              <w:rPr>
                <w:sz w:val="6"/>
                <w:szCs w:val="6"/>
                <w:color w:val="auto"/>
              </w:rPr>
            </w:pPr>
          </w:p>
        </w:tc>
        <w:tc>
          <w:tcPr>
            <w:tcW w:w="1340" w:type="dxa"/>
            <w:vAlign w:val="bottom"/>
            <w:vMerge w:val="restart"/>
          </w:tcPr>
          <w:p>
            <w:pPr>
              <w:jc w:val="center"/>
              <w:ind w:left="132"/>
              <w:spacing w:after="0"/>
              <w:rPr>
                <w:sz w:val="20"/>
                <w:szCs w:val="20"/>
                <w:color w:val="auto"/>
              </w:rPr>
            </w:pPr>
            <w:r>
              <w:rPr>
                <w:rFonts w:ascii="Arial" w:cs="Arial" w:eastAsia="Arial" w:hAnsi="Arial"/>
                <w:sz w:val="14"/>
                <w:szCs w:val="14"/>
                <w:b w:val="1"/>
                <w:bCs w:val="1"/>
                <w:color w:val="auto"/>
              </w:rPr>
              <w:t>X</w:t>
            </w:r>
          </w:p>
        </w:tc>
        <w:tc>
          <w:tcPr>
            <w:tcW w:w="560" w:type="dxa"/>
            <w:vAlign w:val="bottom"/>
            <w:vMerge w:val="continue"/>
          </w:tcPr>
          <w:p>
            <w:pPr>
              <w:spacing w:after="0"/>
              <w:rPr>
                <w:sz w:val="6"/>
                <w:szCs w:val="6"/>
                <w:color w:val="auto"/>
              </w:rPr>
            </w:pPr>
          </w:p>
        </w:tc>
        <w:tc>
          <w:tcPr>
            <w:tcW w:w="380" w:type="dxa"/>
            <w:vAlign w:val="bottom"/>
            <w:vMerge w:val="continue"/>
          </w:tcPr>
          <w:p>
            <w:pPr>
              <w:spacing w:after="0"/>
              <w:rPr>
                <w:sz w:val="6"/>
                <w:szCs w:val="6"/>
                <w:color w:val="auto"/>
              </w:rPr>
            </w:pPr>
          </w:p>
        </w:tc>
        <w:tc>
          <w:tcPr>
            <w:tcW w:w="15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49"/>
        </w:trPr>
        <w:tc>
          <w:tcPr>
            <w:tcW w:w="1600" w:type="dxa"/>
            <w:vAlign w:val="bottom"/>
          </w:tcPr>
          <w:p>
            <w:pPr>
              <w:spacing w:after="0" w:line="149" w:lineRule="exact"/>
              <w:rPr>
                <w:sz w:val="20"/>
                <w:szCs w:val="20"/>
                <w:color w:val="auto"/>
              </w:rPr>
            </w:pPr>
            <w:r>
              <w:rPr>
                <w:rFonts w:ascii="Arial" w:cs="Arial" w:eastAsia="Arial" w:hAnsi="Arial"/>
                <w:sz w:val="14"/>
                <w:szCs w:val="14"/>
                <w:b w:val="1"/>
                <w:bCs w:val="1"/>
                <w:color w:val="auto"/>
              </w:rPr>
              <w:t>Benefit</w:t>
            </w:r>
          </w:p>
        </w:tc>
        <w:tc>
          <w:tcPr>
            <w:tcW w:w="1580" w:type="dxa"/>
            <w:vAlign w:val="bottom"/>
            <w:vMerge w:val="continue"/>
          </w:tcPr>
          <w:p>
            <w:pPr>
              <w:spacing w:after="0"/>
              <w:rPr>
                <w:sz w:val="12"/>
                <w:szCs w:val="12"/>
                <w:color w:val="auto"/>
              </w:rPr>
            </w:pPr>
          </w:p>
        </w:tc>
        <w:tc>
          <w:tcPr>
            <w:tcW w:w="900" w:type="dxa"/>
            <w:vAlign w:val="bottom"/>
            <w:vMerge w:val="continue"/>
          </w:tcPr>
          <w:p>
            <w:pPr>
              <w:spacing w:after="0"/>
              <w:rPr>
                <w:sz w:val="12"/>
                <w:szCs w:val="12"/>
                <w:color w:val="auto"/>
              </w:rPr>
            </w:pPr>
          </w:p>
        </w:tc>
        <w:tc>
          <w:tcPr>
            <w:tcW w:w="1500" w:type="dxa"/>
            <w:vAlign w:val="bottom"/>
            <w:vMerge w:val="continue"/>
          </w:tcPr>
          <w:p>
            <w:pPr>
              <w:spacing w:after="0"/>
              <w:rPr>
                <w:sz w:val="12"/>
                <w:szCs w:val="12"/>
                <w:color w:val="auto"/>
              </w:rPr>
            </w:pPr>
          </w:p>
        </w:tc>
        <w:tc>
          <w:tcPr>
            <w:tcW w:w="540" w:type="dxa"/>
            <w:vAlign w:val="bottom"/>
            <w:vMerge w:val="continue"/>
          </w:tcPr>
          <w:p>
            <w:pPr>
              <w:spacing w:after="0"/>
              <w:rPr>
                <w:sz w:val="12"/>
                <w:szCs w:val="12"/>
                <w:color w:val="auto"/>
              </w:rPr>
            </w:pPr>
          </w:p>
        </w:tc>
        <w:tc>
          <w:tcPr>
            <w:tcW w:w="560" w:type="dxa"/>
            <w:vAlign w:val="bottom"/>
            <w:vMerge w:val="continue"/>
          </w:tcPr>
          <w:p>
            <w:pPr>
              <w:spacing w:after="0"/>
              <w:rPr>
                <w:sz w:val="12"/>
                <w:szCs w:val="12"/>
                <w:color w:val="auto"/>
              </w:rPr>
            </w:pPr>
          </w:p>
        </w:tc>
        <w:tc>
          <w:tcPr>
            <w:tcW w:w="900" w:type="dxa"/>
            <w:vAlign w:val="bottom"/>
            <w:vMerge w:val="continue"/>
          </w:tcPr>
          <w:p>
            <w:pPr>
              <w:spacing w:after="0"/>
              <w:rPr>
                <w:sz w:val="12"/>
                <w:szCs w:val="12"/>
                <w:color w:val="auto"/>
              </w:rPr>
            </w:pPr>
          </w:p>
        </w:tc>
        <w:tc>
          <w:tcPr>
            <w:tcW w:w="1340" w:type="dxa"/>
            <w:vAlign w:val="bottom"/>
            <w:vMerge w:val="continue"/>
          </w:tcPr>
          <w:p>
            <w:pPr>
              <w:spacing w:after="0"/>
              <w:rPr>
                <w:sz w:val="12"/>
                <w:szCs w:val="12"/>
                <w:color w:val="auto"/>
              </w:rPr>
            </w:pPr>
          </w:p>
        </w:tc>
        <w:tc>
          <w:tcPr>
            <w:tcW w:w="560" w:type="dxa"/>
            <w:vAlign w:val="bottom"/>
            <w:vMerge w:val="continue"/>
          </w:tcPr>
          <w:p>
            <w:pPr>
              <w:spacing w:after="0"/>
              <w:rPr>
                <w:sz w:val="12"/>
                <w:szCs w:val="12"/>
                <w:color w:val="auto"/>
              </w:rPr>
            </w:pPr>
          </w:p>
        </w:tc>
        <w:tc>
          <w:tcPr>
            <w:tcW w:w="380" w:type="dxa"/>
            <w:vAlign w:val="bottom"/>
            <w:vMerge w:val="continue"/>
          </w:tcPr>
          <w:p>
            <w:pPr>
              <w:spacing w:after="0"/>
              <w:rPr>
                <w:sz w:val="12"/>
                <w:szCs w:val="12"/>
                <w:color w:val="auto"/>
              </w:rPr>
            </w:pPr>
          </w:p>
        </w:tc>
        <w:tc>
          <w:tcPr>
            <w:tcW w:w="1560" w:type="dxa"/>
            <w:vAlign w:val="bottom"/>
          </w:tcPr>
          <w:p>
            <w:pPr>
              <w:jc w:val="center"/>
              <w:ind w:left="48"/>
              <w:spacing w:after="0" w:line="149" w:lineRule="exact"/>
              <w:rPr>
                <w:sz w:val="20"/>
                <w:szCs w:val="20"/>
                <w:color w:val="auto"/>
              </w:rPr>
            </w:pPr>
            <w:r>
              <w:rPr>
                <w:rFonts w:ascii="Arial" w:cs="Arial" w:eastAsia="Arial" w:hAnsi="Arial"/>
                <w:sz w:val="14"/>
                <w:szCs w:val="14"/>
                <w:b w:val="1"/>
                <w:bCs w:val="1"/>
                <w:color w:val="auto"/>
                <w:w w:val="94"/>
              </w:rPr>
              <w:t>plan: Retirement</w:t>
            </w:r>
          </w:p>
        </w:tc>
        <w:tc>
          <w:tcPr>
            <w:tcW w:w="0" w:type="dxa"/>
            <w:vAlign w:val="bottom"/>
          </w:tcPr>
          <w:p>
            <w:pPr>
              <w:spacing w:after="0"/>
              <w:rPr>
                <w:sz w:val="1"/>
                <w:szCs w:val="1"/>
                <w:color w:val="auto"/>
              </w:rPr>
            </w:pPr>
          </w:p>
        </w:tc>
      </w:tr>
      <w:tr>
        <w:trPr>
          <w:trHeight w:val="72"/>
        </w:trPr>
        <w:tc>
          <w:tcPr>
            <w:tcW w:w="1600" w:type="dxa"/>
            <w:vAlign w:val="bottom"/>
          </w:tcPr>
          <w:p>
            <w:pPr>
              <w:spacing w:after="0"/>
              <w:rPr>
                <w:sz w:val="6"/>
                <w:szCs w:val="6"/>
                <w:color w:val="auto"/>
              </w:rPr>
            </w:pPr>
          </w:p>
        </w:tc>
        <w:tc>
          <w:tcPr>
            <w:tcW w:w="1580" w:type="dxa"/>
            <w:vAlign w:val="bottom"/>
          </w:tcPr>
          <w:p>
            <w:pPr>
              <w:spacing w:after="0"/>
              <w:rPr>
                <w:sz w:val="6"/>
                <w:szCs w:val="6"/>
                <w:color w:val="auto"/>
              </w:rPr>
            </w:pPr>
          </w:p>
        </w:tc>
        <w:tc>
          <w:tcPr>
            <w:tcW w:w="900" w:type="dxa"/>
            <w:vAlign w:val="bottom"/>
            <w:vMerge w:val="continue"/>
          </w:tcPr>
          <w:p>
            <w:pPr>
              <w:spacing w:after="0"/>
              <w:rPr>
                <w:sz w:val="6"/>
                <w:szCs w:val="6"/>
                <w:color w:val="auto"/>
              </w:rPr>
            </w:pPr>
          </w:p>
        </w:tc>
        <w:tc>
          <w:tcPr>
            <w:tcW w:w="1500" w:type="dxa"/>
            <w:vAlign w:val="bottom"/>
          </w:tcPr>
          <w:p>
            <w:pPr>
              <w:jc w:val="center"/>
              <w:ind w:left="112"/>
              <w:spacing w:after="0" w:line="72" w:lineRule="exact"/>
              <w:rPr>
                <w:sz w:val="20"/>
                <w:szCs w:val="20"/>
                <w:color w:val="auto"/>
              </w:rPr>
            </w:pPr>
            <w:r>
              <w:rPr>
                <w:rFonts w:ascii="Arial" w:cs="Arial" w:eastAsia="Arial" w:hAnsi="Arial"/>
                <w:sz w:val="8"/>
                <w:szCs w:val="8"/>
                <w:b w:val="1"/>
                <w:bCs w:val="1"/>
                <w:color w:val="auto"/>
              </w:rPr>
              <w:t>Service as Eligible</w:t>
            </w:r>
          </w:p>
        </w:tc>
        <w:tc>
          <w:tcPr>
            <w:tcW w:w="540" w:type="dxa"/>
            <w:vAlign w:val="bottom"/>
            <w:vMerge w:val="continue"/>
          </w:tcPr>
          <w:p>
            <w:pPr>
              <w:spacing w:after="0"/>
              <w:rPr>
                <w:sz w:val="6"/>
                <w:szCs w:val="6"/>
                <w:color w:val="auto"/>
              </w:rPr>
            </w:pPr>
          </w:p>
        </w:tc>
        <w:tc>
          <w:tcPr>
            <w:tcW w:w="560" w:type="dxa"/>
            <w:vAlign w:val="bottom"/>
          </w:tcPr>
          <w:p>
            <w:pPr>
              <w:spacing w:after="0"/>
              <w:rPr>
                <w:sz w:val="6"/>
                <w:szCs w:val="6"/>
                <w:color w:val="auto"/>
              </w:rPr>
            </w:pPr>
          </w:p>
        </w:tc>
        <w:tc>
          <w:tcPr>
            <w:tcW w:w="900" w:type="dxa"/>
            <w:vAlign w:val="bottom"/>
            <w:vMerge w:val="continue"/>
          </w:tcPr>
          <w:p>
            <w:pPr>
              <w:spacing w:after="0"/>
              <w:rPr>
                <w:sz w:val="6"/>
                <w:szCs w:val="6"/>
                <w:color w:val="auto"/>
              </w:rPr>
            </w:pPr>
          </w:p>
        </w:tc>
        <w:tc>
          <w:tcPr>
            <w:tcW w:w="1340" w:type="dxa"/>
            <w:vAlign w:val="bottom"/>
          </w:tcPr>
          <w:p>
            <w:pPr>
              <w:jc w:val="center"/>
              <w:ind w:left="112"/>
              <w:spacing w:after="0" w:line="72" w:lineRule="exact"/>
              <w:rPr>
                <w:sz w:val="20"/>
                <w:szCs w:val="20"/>
                <w:color w:val="auto"/>
              </w:rPr>
            </w:pPr>
            <w:r>
              <w:rPr>
                <w:rFonts w:ascii="Arial" w:cs="Arial" w:eastAsia="Arial" w:hAnsi="Arial"/>
                <w:sz w:val="8"/>
                <w:szCs w:val="8"/>
                <w:b w:val="1"/>
                <w:bCs w:val="1"/>
                <w:color w:val="auto"/>
              </w:rPr>
              <w:t>Service as Eligible</w:t>
            </w:r>
          </w:p>
        </w:tc>
        <w:tc>
          <w:tcPr>
            <w:tcW w:w="560" w:type="dxa"/>
            <w:vAlign w:val="bottom"/>
            <w:vMerge w:val="continue"/>
          </w:tcPr>
          <w:p>
            <w:pPr>
              <w:spacing w:after="0"/>
              <w:rPr>
                <w:sz w:val="6"/>
                <w:szCs w:val="6"/>
                <w:color w:val="auto"/>
              </w:rPr>
            </w:pPr>
          </w:p>
        </w:tc>
        <w:tc>
          <w:tcPr>
            <w:tcW w:w="380" w:type="dxa"/>
            <w:vAlign w:val="bottom"/>
          </w:tcPr>
          <w:p>
            <w:pPr>
              <w:spacing w:after="0"/>
              <w:rPr>
                <w:sz w:val="6"/>
                <w:szCs w:val="6"/>
                <w:color w:val="auto"/>
              </w:rPr>
            </w:pPr>
          </w:p>
        </w:tc>
        <w:tc>
          <w:tcPr>
            <w:tcW w:w="1560" w:type="dxa"/>
            <w:vAlign w:val="bottom"/>
            <w:vMerge w:val="restart"/>
          </w:tcPr>
          <w:p>
            <w:pPr>
              <w:jc w:val="center"/>
              <w:ind w:left="68"/>
              <w:spacing w:after="0"/>
              <w:rPr>
                <w:sz w:val="20"/>
                <w:szCs w:val="20"/>
                <w:color w:val="auto"/>
              </w:rPr>
            </w:pPr>
            <w:r>
              <w:rPr>
                <w:rFonts w:ascii="Arial" w:cs="Arial" w:eastAsia="Arial" w:hAnsi="Arial"/>
                <w:sz w:val="14"/>
                <w:szCs w:val="14"/>
                <w:b w:val="1"/>
                <w:bCs w:val="1"/>
                <w:color w:val="auto"/>
                <w:w w:val="92"/>
              </w:rPr>
              <w:t>Account Feature</w:t>
            </w:r>
          </w:p>
        </w:tc>
        <w:tc>
          <w:tcPr>
            <w:tcW w:w="0" w:type="dxa"/>
            <w:vAlign w:val="bottom"/>
          </w:tcPr>
          <w:p>
            <w:pPr>
              <w:spacing w:after="0"/>
              <w:rPr>
                <w:sz w:val="1"/>
                <w:szCs w:val="1"/>
                <w:color w:val="auto"/>
              </w:rPr>
            </w:pPr>
          </w:p>
        </w:tc>
      </w:tr>
      <w:tr>
        <w:trPr>
          <w:trHeight w:val="119"/>
        </w:trPr>
        <w:tc>
          <w:tcPr>
            <w:tcW w:w="1600" w:type="dxa"/>
            <w:vAlign w:val="bottom"/>
          </w:tcPr>
          <w:p>
            <w:pPr>
              <w:spacing w:after="0"/>
              <w:rPr>
                <w:sz w:val="10"/>
                <w:szCs w:val="10"/>
                <w:color w:val="auto"/>
              </w:rPr>
            </w:pPr>
          </w:p>
        </w:tc>
        <w:tc>
          <w:tcPr>
            <w:tcW w:w="1580" w:type="dxa"/>
            <w:vAlign w:val="bottom"/>
          </w:tcPr>
          <w:p>
            <w:pPr>
              <w:spacing w:after="0"/>
              <w:rPr>
                <w:sz w:val="10"/>
                <w:szCs w:val="10"/>
                <w:color w:val="auto"/>
              </w:rPr>
            </w:pPr>
          </w:p>
        </w:tc>
        <w:tc>
          <w:tcPr>
            <w:tcW w:w="900" w:type="dxa"/>
            <w:vAlign w:val="bottom"/>
            <w:vMerge w:val="continue"/>
          </w:tcPr>
          <w:p>
            <w:pPr>
              <w:spacing w:after="0"/>
              <w:rPr>
                <w:sz w:val="10"/>
                <w:szCs w:val="10"/>
                <w:color w:val="auto"/>
              </w:rPr>
            </w:pPr>
          </w:p>
        </w:tc>
        <w:tc>
          <w:tcPr>
            <w:tcW w:w="1500" w:type="dxa"/>
            <w:vAlign w:val="bottom"/>
            <w:vMerge w:val="restart"/>
          </w:tcPr>
          <w:p>
            <w:pPr>
              <w:jc w:val="center"/>
              <w:ind w:left="112"/>
              <w:spacing w:after="0" w:line="149" w:lineRule="exact"/>
              <w:rPr>
                <w:sz w:val="20"/>
                <w:szCs w:val="20"/>
                <w:color w:val="auto"/>
              </w:rPr>
            </w:pPr>
            <w:r>
              <w:rPr>
                <w:rFonts w:ascii="Arial" w:cs="Arial" w:eastAsia="Arial" w:hAnsi="Arial"/>
                <w:sz w:val="14"/>
                <w:szCs w:val="14"/>
                <w:b w:val="1"/>
                <w:bCs w:val="1"/>
                <w:color w:val="auto"/>
                <w:w w:val="95"/>
              </w:rPr>
              <w:t>Participant (through</w:t>
            </w:r>
          </w:p>
        </w:tc>
        <w:tc>
          <w:tcPr>
            <w:tcW w:w="540" w:type="dxa"/>
            <w:vAlign w:val="bottom"/>
            <w:vMerge w:val="continue"/>
          </w:tcPr>
          <w:p>
            <w:pPr>
              <w:spacing w:after="0"/>
              <w:rPr>
                <w:sz w:val="10"/>
                <w:szCs w:val="10"/>
                <w:color w:val="auto"/>
              </w:rPr>
            </w:pPr>
          </w:p>
        </w:tc>
        <w:tc>
          <w:tcPr>
            <w:tcW w:w="560" w:type="dxa"/>
            <w:vAlign w:val="bottom"/>
          </w:tcPr>
          <w:p>
            <w:pPr>
              <w:spacing w:after="0"/>
              <w:rPr>
                <w:sz w:val="10"/>
                <w:szCs w:val="10"/>
                <w:color w:val="auto"/>
              </w:rPr>
            </w:pPr>
          </w:p>
        </w:tc>
        <w:tc>
          <w:tcPr>
            <w:tcW w:w="900" w:type="dxa"/>
            <w:vAlign w:val="bottom"/>
            <w:vMerge w:val="continue"/>
          </w:tcPr>
          <w:p>
            <w:pPr>
              <w:spacing w:after="0"/>
              <w:rPr>
                <w:sz w:val="10"/>
                <w:szCs w:val="10"/>
                <w:color w:val="auto"/>
              </w:rPr>
            </w:pPr>
          </w:p>
        </w:tc>
        <w:tc>
          <w:tcPr>
            <w:tcW w:w="1340" w:type="dxa"/>
            <w:vAlign w:val="bottom"/>
            <w:vMerge w:val="restart"/>
          </w:tcPr>
          <w:p>
            <w:pPr>
              <w:jc w:val="center"/>
              <w:ind w:left="132"/>
              <w:spacing w:after="0" w:line="149" w:lineRule="exact"/>
              <w:rPr>
                <w:sz w:val="20"/>
                <w:szCs w:val="20"/>
                <w:color w:val="auto"/>
              </w:rPr>
            </w:pPr>
            <w:r>
              <w:rPr>
                <w:rFonts w:ascii="Arial" w:cs="Arial" w:eastAsia="Arial" w:hAnsi="Arial"/>
                <w:sz w:val="14"/>
                <w:szCs w:val="14"/>
                <w:b w:val="1"/>
                <w:bCs w:val="1"/>
                <w:color w:val="auto"/>
                <w:w w:val="95"/>
              </w:rPr>
              <w:t>Participant (after</w:t>
            </w:r>
          </w:p>
        </w:tc>
        <w:tc>
          <w:tcPr>
            <w:tcW w:w="560" w:type="dxa"/>
            <w:vAlign w:val="bottom"/>
            <w:vMerge w:val="continue"/>
          </w:tcPr>
          <w:p>
            <w:pPr>
              <w:spacing w:after="0"/>
              <w:rPr>
                <w:sz w:val="10"/>
                <w:szCs w:val="10"/>
                <w:color w:val="auto"/>
              </w:rPr>
            </w:pPr>
          </w:p>
        </w:tc>
        <w:tc>
          <w:tcPr>
            <w:tcW w:w="380" w:type="dxa"/>
            <w:vAlign w:val="bottom"/>
          </w:tcPr>
          <w:p>
            <w:pPr>
              <w:spacing w:after="0"/>
              <w:rPr>
                <w:sz w:val="10"/>
                <w:szCs w:val="10"/>
                <w:color w:val="auto"/>
              </w:rPr>
            </w:pPr>
          </w:p>
        </w:tc>
        <w:tc>
          <w:tcPr>
            <w:tcW w:w="1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0"/>
        </w:trPr>
        <w:tc>
          <w:tcPr>
            <w:tcW w:w="16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900" w:type="dxa"/>
            <w:vAlign w:val="bottom"/>
            <w:vMerge w:val="continue"/>
          </w:tcPr>
          <w:p>
            <w:pPr>
              <w:spacing w:after="0"/>
              <w:rPr>
                <w:sz w:val="2"/>
                <w:szCs w:val="2"/>
                <w:color w:val="auto"/>
              </w:rPr>
            </w:pPr>
          </w:p>
        </w:tc>
        <w:tc>
          <w:tcPr>
            <w:tcW w:w="1500" w:type="dxa"/>
            <w:vAlign w:val="bottom"/>
            <w:vMerge w:val="continue"/>
          </w:tcPr>
          <w:p>
            <w:pPr>
              <w:spacing w:after="0"/>
              <w:rPr>
                <w:sz w:val="2"/>
                <w:szCs w:val="2"/>
                <w:color w:val="auto"/>
              </w:rPr>
            </w:pPr>
          </w:p>
        </w:tc>
        <w:tc>
          <w:tcPr>
            <w:tcW w:w="540" w:type="dxa"/>
            <w:vAlign w:val="bottom"/>
            <w:vMerge w:val="continue"/>
          </w:tcPr>
          <w:p>
            <w:pPr>
              <w:spacing w:after="0"/>
              <w:rPr>
                <w:sz w:val="2"/>
                <w:szCs w:val="2"/>
                <w:color w:val="auto"/>
              </w:rPr>
            </w:pPr>
          </w:p>
        </w:tc>
        <w:tc>
          <w:tcPr>
            <w:tcW w:w="560" w:type="dxa"/>
            <w:vAlign w:val="bottom"/>
          </w:tcPr>
          <w:p>
            <w:pPr>
              <w:spacing w:after="0"/>
              <w:rPr>
                <w:sz w:val="2"/>
                <w:szCs w:val="2"/>
                <w:color w:val="auto"/>
              </w:rPr>
            </w:pPr>
          </w:p>
        </w:tc>
        <w:tc>
          <w:tcPr>
            <w:tcW w:w="900" w:type="dxa"/>
            <w:vAlign w:val="bottom"/>
            <w:vMerge w:val="continue"/>
          </w:tcPr>
          <w:p>
            <w:pPr>
              <w:spacing w:after="0"/>
              <w:rPr>
                <w:sz w:val="2"/>
                <w:szCs w:val="2"/>
                <w:color w:val="auto"/>
              </w:rPr>
            </w:pPr>
          </w:p>
        </w:tc>
        <w:tc>
          <w:tcPr>
            <w:tcW w:w="1340" w:type="dxa"/>
            <w:vAlign w:val="bottom"/>
            <w:vMerge w:val="continue"/>
          </w:tcPr>
          <w:p>
            <w:pPr>
              <w:spacing w:after="0"/>
              <w:rPr>
                <w:sz w:val="2"/>
                <w:szCs w:val="2"/>
                <w:color w:val="auto"/>
              </w:rPr>
            </w:pPr>
          </w:p>
        </w:tc>
        <w:tc>
          <w:tcPr>
            <w:tcW w:w="560" w:type="dxa"/>
            <w:vAlign w:val="bottom"/>
            <w:vMerge w:val="continue"/>
          </w:tcPr>
          <w:p>
            <w:pPr>
              <w:spacing w:after="0"/>
              <w:rPr>
                <w:sz w:val="2"/>
                <w:szCs w:val="2"/>
                <w:color w:val="auto"/>
              </w:rPr>
            </w:pPr>
          </w:p>
        </w:tc>
        <w:tc>
          <w:tcPr>
            <w:tcW w:w="380" w:type="dxa"/>
            <w:vAlign w:val="bottom"/>
          </w:tcPr>
          <w:p>
            <w:pPr>
              <w:spacing w:after="0"/>
              <w:rPr>
                <w:sz w:val="2"/>
                <w:szCs w:val="2"/>
                <w:color w:val="auto"/>
              </w:rPr>
            </w:pPr>
          </w:p>
        </w:tc>
        <w:tc>
          <w:tcPr>
            <w:tcW w:w="15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699"/>
        </w:trPr>
        <w:tc>
          <w:tcPr>
            <w:tcW w:w="160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900" w:type="dxa"/>
            <w:vAlign w:val="bottom"/>
            <w:vMerge w:val="continue"/>
          </w:tcPr>
          <w:p>
            <w:pPr>
              <w:spacing w:after="0"/>
              <w:rPr>
                <w:sz w:val="24"/>
                <w:szCs w:val="24"/>
                <w:color w:val="auto"/>
              </w:rPr>
            </w:pPr>
          </w:p>
        </w:tc>
        <w:tc>
          <w:tcPr>
            <w:tcW w:w="1500" w:type="dxa"/>
            <w:vAlign w:val="bottom"/>
          </w:tcPr>
          <w:p>
            <w:pPr>
              <w:jc w:val="center"/>
              <w:ind w:left="92"/>
              <w:spacing w:after="0"/>
              <w:rPr>
                <w:sz w:val="20"/>
                <w:szCs w:val="20"/>
                <w:color w:val="auto"/>
              </w:rPr>
            </w:pPr>
            <w:r>
              <w:rPr>
                <w:rFonts w:ascii="Arial" w:cs="Arial" w:eastAsia="Arial" w:hAnsi="Arial"/>
                <w:sz w:val="14"/>
                <w:szCs w:val="14"/>
                <w:b w:val="1"/>
                <w:bCs w:val="1"/>
                <w:color w:val="auto"/>
                <w:w w:val="93"/>
              </w:rPr>
              <w:t>12/31/2010)</w:t>
            </w:r>
          </w:p>
        </w:tc>
        <w:tc>
          <w:tcPr>
            <w:tcW w:w="540" w:type="dxa"/>
            <w:vAlign w:val="bottom"/>
            <w:vMerge w:val="continue"/>
          </w:tcPr>
          <w:p>
            <w:pPr>
              <w:spacing w:after="0"/>
              <w:rPr>
                <w:sz w:val="24"/>
                <w:szCs w:val="24"/>
                <w:color w:val="auto"/>
              </w:rPr>
            </w:pPr>
          </w:p>
        </w:tc>
        <w:tc>
          <w:tcPr>
            <w:tcW w:w="560" w:type="dxa"/>
            <w:vAlign w:val="bottom"/>
          </w:tcPr>
          <w:p>
            <w:pPr>
              <w:spacing w:after="0"/>
              <w:rPr>
                <w:sz w:val="24"/>
                <w:szCs w:val="24"/>
                <w:color w:val="auto"/>
              </w:rPr>
            </w:pPr>
          </w:p>
        </w:tc>
        <w:tc>
          <w:tcPr>
            <w:tcW w:w="900" w:type="dxa"/>
            <w:vAlign w:val="bottom"/>
            <w:vMerge w:val="continue"/>
          </w:tcPr>
          <w:p>
            <w:pPr>
              <w:spacing w:after="0"/>
              <w:rPr>
                <w:sz w:val="24"/>
                <w:szCs w:val="24"/>
                <w:color w:val="auto"/>
              </w:rPr>
            </w:pPr>
          </w:p>
        </w:tc>
        <w:tc>
          <w:tcPr>
            <w:tcW w:w="1340" w:type="dxa"/>
            <w:vAlign w:val="bottom"/>
          </w:tcPr>
          <w:p>
            <w:pPr>
              <w:jc w:val="center"/>
              <w:ind w:left="132"/>
              <w:spacing w:after="0"/>
              <w:rPr>
                <w:sz w:val="20"/>
                <w:szCs w:val="20"/>
                <w:color w:val="auto"/>
              </w:rPr>
            </w:pPr>
            <w:r>
              <w:rPr>
                <w:rFonts w:ascii="Arial" w:cs="Arial" w:eastAsia="Arial" w:hAnsi="Arial"/>
                <w:sz w:val="14"/>
                <w:szCs w:val="14"/>
                <w:b w:val="1"/>
                <w:bCs w:val="1"/>
                <w:color w:val="auto"/>
                <w:w w:val="91"/>
              </w:rPr>
              <w:t>1/1/2011)</w:t>
            </w:r>
          </w:p>
        </w:tc>
        <w:tc>
          <w:tcPr>
            <w:tcW w:w="560" w:type="dxa"/>
            <w:vAlign w:val="bottom"/>
            <w:vMerge w:val="continue"/>
          </w:tcPr>
          <w:p>
            <w:pPr>
              <w:spacing w:after="0"/>
              <w:rPr>
                <w:sz w:val="24"/>
                <w:szCs w:val="24"/>
                <w:color w:val="auto"/>
              </w:rPr>
            </w:pPr>
          </w:p>
        </w:tc>
        <w:tc>
          <w:tcPr>
            <w:tcW w:w="38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47" w:lineRule="exact"/>
        <w:rPr>
          <w:sz w:val="20"/>
          <w:szCs w:val="20"/>
          <w:color w:val="auto"/>
        </w:rPr>
      </w:pPr>
    </w:p>
    <w:p>
      <w:pPr>
        <w:ind w:right="20" w:firstLine="456"/>
        <w:spacing w:after="0" w:line="271" w:lineRule="auto"/>
        <w:rPr>
          <w:sz w:val="20"/>
          <w:szCs w:val="20"/>
          <w:color w:val="auto"/>
        </w:rPr>
      </w:pPr>
      <w:r>
        <w:rPr>
          <w:rFonts w:ascii="Arial" w:cs="Arial" w:eastAsia="Arial" w:hAnsi="Arial"/>
          <w:sz w:val="17"/>
          <w:szCs w:val="17"/>
          <w:color w:val="auto"/>
        </w:rPr>
        <w:t xml:space="preserve">Each participant in the SERP will partially vest with regard to their benefit when they reach age 55 and have earned five years of “future service” (i.e. service occurring after December 31, 2015). Once a SERP participant has earned five years of “future service” and has reached at least age 55, the participant will become partially vested based on a scale ranging from 50% at age 55 and increasing by 10% each year until the participant reaches full vesting at age 60. This change could result in the potential for earlier partial vesting for participants if they complete the required years of “future service.” If a participant resigns before vesting, then his or her SERP benefit will be forfeited. Only in certain circumstances will the SERP become fully vested upon termination prior to age 60, as described in the </w:t>
      </w:r>
      <w:r>
        <w:rPr>
          <w:rFonts w:ascii="Arial" w:cs="Arial" w:eastAsia="Arial" w:hAnsi="Arial"/>
          <w:sz w:val="17"/>
          <w:szCs w:val="17"/>
          <w:i w:val="1"/>
          <w:iCs w:val="1"/>
          <w:color w:val="auto"/>
        </w:rPr>
        <w:t>Potential Payments upon Termination or Change of Control</w:t>
      </w:r>
      <w:r>
        <w:rPr>
          <w:rFonts w:ascii="Arial" w:cs="Arial" w:eastAsia="Arial" w:hAnsi="Arial"/>
          <w:sz w:val="17"/>
          <w:szCs w:val="17"/>
          <w:color w:val="auto"/>
        </w:rPr>
        <w:t xml:space="preserve"> section below. Benefit payments under the SERP will begin following a participant’s qualifying separation from service, but not earlier than age 60. The SERP has no provisions for acceleration of payout before age 60. There are also no provisions for the granting of extra years of service.</w:t>
      </w:r>
    </w:p>
    <w:p>
      <w:pPr>
        <w:spacing w:after="0" w:line="17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Material assumptions used to calculate the present value of the accumulated benefit are as follows:</w:t>
      </w:r>
    </w:p>
    <w:p>
      <w:pPr>
        <w:spacing w:after="0" w:line="131" w:lineRule="exact"/>
        <w:rPr>
          <w:sz w:val="20"/>
          <w:szCs w:val="20"/>
          <w:color w:val="auto"/>
        </w:rPr>
      </w:pPr>
    </w:p>
    <w:p>
      <w:pPr>
        <w:ind w:left="900" w:right="860" w:hanging="325"/>
        <w:spacing w:after="0" w:line="277" w:lineRule="auto"/>
        <w:tabs>
          <w:tab w:leader="none" w:pos="9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accumulated benefit represents the current accrued benefit first available at age 60 utilizing actual service and compensation as of December 31, 2016;</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Interest rate of 4.21%;</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Mortality prescribed in Section 417(e) of the Code for lump sum payments from qualified plans;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Form of payment actuarially equivalent to a five-year certain and life benefit;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Payments are guaranteed for the life of the participant.</w:t>
      </w:r>
    </w:p>
    <w:p>
      <w:pPr>
        <w:spacing w:after="0" w:line="225" w:lineRule="exact"/>
        <w:rPr>
          <w:sz w:val="20"/>
          <w:szCs w:val="20"/>
          <w:color w:val="auto"/>
        </w:rPr>
      </w:pPr>
    </w:p>
    <w:p>
      <w:pPr>
        <w:ind w:right="620" w:firstLine="456"/>
        <w:spacing w:after="0" w:line="312" w:lineRule="auto"/>
        <w:rPr>
          <w:sz w:val="20"/>
          <w:szCs w:val="20"/>
          <w:color w:val="auto"/>
        </w:rPr>
      </w:pPr>
      <w:r>
        <w:rPr>
          <w:rFonts w:ascii="Arial" w:cs="Arial" w:eastAsia="Arial" w:hAnsi="Arial"/>
          <w:sz w:val="16"/>
          <w:szCs w:val="16"/>
          <w:color w:val="auto"/>
        </w:rPr>
        <w:t>All SERP benefit accruals will freeze as of December 31, 2020. In addition, existing SERP participants were offered an opportunity to make an irrevocable, one-time election before the end of 2015 to freeze their SERP benefit accruals early, effective December 31, 2015, and begin receiving restoration benefits under the Restoration Plan as of January 1, 2016 (Ms. Groh made this election; Messrs. Schneider, Bobitz and Sheehan did not).</w:t>
      </w:r>
    </w:p>
    <w:p>
      <w:pPr>
        <w:spacing w:after="0" w:line="14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table below reflects the present value of the accrued benefit as of December 31, 2016.</w:t>
      </w:r>
    </w:p>
    <w:p>
      <w:pPr>
        <w:spacing w:after="0" w:line="32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2016 Pension Benefits Table</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0" w:type="dxa"/>
            <w:vAlign w:val="bottom"/>
          </w:tcPr>
          <w:p>
            <w:pPr>
              <w:spacing w:after="0"/>
              <w:rPr>
                <w:sz w:val="14"/>
                <w:szCs w:val="14"/>
                <w:color w:val="auto"/>
              </w:rPr>
            </w:pPr>
          </w:p>
        </w:tc>
        <w:tc>
          <w:tcPr>
            <w:tcW w:w="69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4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98"/>
              </w:rPr>
              <w:t>Number</w:t>
            </w:r>
          </w:p>
        </w:tc>
        <w:tc>
          <w:tcPr>
            <w:tcW w:w="1300" w:type="dxa"/>
            <w:vAlign w:val="bottom"/>
            <w:gridSpan w:val="2"/>
          </w:tcPr>
          <w:p>
            <w:pPr>
              <w:jc w:val="center"/>
              <w:ind w:right="520"/>
              <w:spacing w:after="0"/>
              <w:rPr>
                <w:sz w:val="20"/>
                <w:szCs w:val="20"/>
                <w:color w:val="auto"/>
              </w:rPr>
            </w:pPr>
            <w:r>
              <w:rPr>
                <w:rFonts w:ascii="Arial" w:cs="Arial" w:eastAsia="Arial" w:hAnsi="Arial"/>
                <w:sz w:val="14"/>
                <w:szCs w:val="14"/>
                <w:b w:val="1"/>
                <w:bCs w:val="1"/>
                <w:color w:val="auto"/>
                <w:w w:val="89"/>
              </w:rPr>
              <w:t>Present</w:t>
            </w:r>
          </w:p>
        </w:tc>
        <w:tc>
          <w:tcPr>
            <w:tcW w:w="820" w:type="dxa"/>
            <w:vAlign w:val="bottom"/>
            <w:gridSpan w:val="2"/>
            <w:vMerge w:val="restart"/>
          </w:tcPr>
          <w:p>
            <w:pPr>
              <w:jc w:val="right"/>
              <w:ind w:right="160"/>
              <w:spacing w:after="0"/>
              <w:rPr>
                <w:sz w:val="20"/>
                <w:szCs w:val="20"/>
                <w:color w:val="auto"/>
              </w:rPr>
            </w:pPr>
            <w:r>
              <w:rPr>
                <w:rFonts w:ascii="Arial" w:cs="Arial" w:eastAsia="Arial" w:hAnsi="Arial"/>
                <w:sz w:val="14"/>
                <w:szCs w:val="14"/>
                <w:b w:val="1"/>
                <w:bCs w:val="1"/>
                <w:color w:val="auto"/>
                <w:w w:val="96"/>
              </w:rPr>
              <w:t>Payments</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69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40" w:type="dxa"/>
            <w:vAlign w:val="bottom"/>
            <w:gridSpan w:val="2"/>
          </w:tcPr>
          <w:p>
            <w:pPr>
              <w:jc w:val="center"/>
              <w:ind w:right="500"/>
              <w:spacing w:after="0" w:line="149" w:lineRule="exact"/>
              <w:rPr>
                <w:sz w:val="20"/>
                <w:szCs w:val="20"/>
                <w:color w:val="auto"/>
              </w:rPr>
            </w:pPr>
            <w:r>
              <w:rPr>
                <w:rFonts w:ascii="Arial" w:cs="Arial" w:eastAsia="Arial" w:hAnsi="Arial"/>
                <w:sz w:val="14"/>
                <w:szCs w:val="14"/>
                <w:b w:val="1"/>
                <w:bCs w:val="1"/>
                <w:color w:val="auto"/>
                <w:w w:val="90"/>
              </w:rPr>
              <w:t>of Years</w:t>
            </w:r>
          </w:p>
        </w:tc>
        <w:tc>
          <w:tcPr>
            <w:tcW w:w="130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91"/>
              </w:rPr>
              <w:t>Value of</w:t>
            </w:r>
          </w:p>
        </w:tc>
        <w:tc>
          <w:tcPr>
            <w:tcW w:w="8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6900" w:type="dxa"/>
            <w:vAlign w:val="bottom"/>
          </w:tcPr>
          <w:p>
            <w:pPr>
              <w:spacing w:after="0"/>
              <w:rPr>
                <w:sz w:val="12"/>
                <w:szCs w:val="12"/>
                <w:color w:val="auto"/>
              </w:rPr>
            </w:pPr>
          </w:p>
        </w:tc>
        <w:tc>
          <w:tcPr>
            <w:tcW w:w="98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Plan</w:t>
            </w:r>
          </w:p>
        </w:tc>
        <w:tc>
          <w:tcPr>
            <w:tcW w:w="1040" w:type="dxa"/>
            <w:vAlign w:val="bottom"/>
            <w:gridSpan w:val="2"/>
          </w:tcPr>
          <w:p>
            <w:pPr>
              <w:jc w:val="right"/>
              <w:ind w:right="500"/>
              <w:spacing w:after="0" w:line="149" w:lineRule="exact"/>
              <w:rPr>
                <w:sz w:val="20"/>
                <w:szCs w:val="20"/>
                <w:color w:val="auto"/>
              </w:rPr>
            </w:pPr>
            <w:r>
              <w:rPr>
                <w:rFonts w:ascii="Arial" w:cs="Arial" w:eastAsia="Arial" w:hAnsi="Arial"/>
                <w:sz w:val="14"/>
                <w:szCs w:val="14"/>
                <w:b w:val="1"/>
                <w:bCs w:val="1"/>
                <w:color w:val="auto"/>
                <w:w w:val="91"/>
              </w:rPr>
              <w:t>Credited</w:t>
            </w:r>
          </w:p>
        </w:tc>
        <w:tc>
          <w:tcPr>
            <w:tcW w:w="130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93"/>
              </w:rPr>
              <w:t>Accumulated</w:t>
            </w:r>
          </w:p>
        </w:tc>
        <w:tc>
          <w:tcPr>
            <w:tcW w:w="820" w:type="dxa"/>
            <w:vAlign w:val="bottom"/>
            <w:gridSpan w:val="2"/>
          </w:tcPr>
          <w:p>
            <w:pPr>
              <w:jc w:val="center"/>
              <w:ind w:right="40"/>
              <w:spacing w:after="0" w:line="149" w:lineRule="exact"/>
              <w:rPr>
                <w:sz w:val="20"/>
                <w:szCs w:val="20"/>
                <w:color w:val="auto"/>
              </w:rPr>
            </w:pPr>
            <w:r>
              <w:rPr>
                <w:rFonts w:ascii="Arial" w:cs="Arial" w:eastAsia="Arial" w:hAnsi="Arial"/>
                <w:sz w:val="14"/>
                <w:szCs w:val="14"/>
                <w:b w:val="1"/>
                <w:bCs w:val="1"/>
                <w:color w:val="auto"/>
                <w:w w:val="95"/>
              </w:rPr>
              <w:t>During Last</w:t>
            </w:r>
          </w:p>
        </w:tc>
        <w:tc>
          <w:tcPr>
            <w:tcW w:w="0" w:type="dxa"/>
            <w:vAlign w:val="bottom"/>
          </w:tcPr>
          <w:p>
            <w:pPr>
              <w:spacing w:after="0"/>
              <w:rPr>
                <w:sz w:val="1"/>
                <w:szCs w:val="1"/>
                <w:color w:val="auto"/>
              </w:rPr>
            </w:pPr>
          </w:p>
        </w:tc>
      </w:tr>
      <w:tr>
        <w:trPr>
          <w:trHeight w:val="149"/>
        </w:trPr>
        <w:tc>
          <w:tcPr>
            <w:tcW w:w="72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w:t>
            </w:r>
          </w:p>
        </w:tc>
        <w:tc>
          <w:tcPr>
            <w:tcW w:w="980" w:type="dxa"/>
            <w:vAlign w:val="bottom"/>
            <w:gridSpan w:val="2"/>
            <w:vMerge w:val="continue"/>
          </w:tcPr>
          <w:p>
            <w:pPr>
              <w:spacing w:after="0"/>
              <w:rPr>
                <w:sz w:val="12"/>
                <w:szCs w:val="12"/>
                <w:color w:val="auto"/>
              </w:rPr>
            </w:pPr>
          </w:p>
        </w:tc>
        <w:tc>
          <w:tcPr>
            <w:tcW w:w="104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88"/>
              </w:rPr>
              <w:t>Service</w:t>
            </w:r>
          </w:p>
        </w:tc>
        <w:tc>
          <w:tcPr>
            <w:tcW w:w="1300" w:type="dxa"/>
            <w:vAlign w:val="bottom"/>
            <w:gridSpan w:val="2"/>
          </w:tcPr>
          <w:p>
            <w:pPr>
              <w:jc w:val="center"/>
              <w:ind w:right="500"/>
              <w:spacing w:after="0" w:line="149" w:lineRule="exact"/>
              <w:rPr>
                <w:sz w:val="20"/>
                <w:szCs w:val="20"/>
                <w:color w:val="auto"/>
              </w:rPr>
            </w:pPr>
            <w:r>
              <w:rPr>
                <w:rFonts w:ascii="Arial" w:cs="Arial" w:eastAsia="Arial" w:hAnsi="Arial"/>
                <w:sz w:val="14"/>
                <w:szCs w:val="14"/>
                <w:b w:val="1"/>
                <w:bCs w:val="1"/>
                <w:color w:val="auto"/>
                <w:w w:val="92"/>
              </w:rPr>
              <w:t>Benefit</w:t>
            </w:r>
          </w:p>
        </w:tc>
        <w:tc>
          <w:tcPr>
            <w:tcW w:w="8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89"/>
              </w:rPr>
              <w:t>Fiscal Year</w:t>
            </w:r>
          </w:p>
        </w:tc>
        <w:tc>
          <w:tcPr>
            <w:tcW w:w="0" w:type="dxa"/>
            <w:vAlign w:val="bottom"/>
          </w:tcPr>
          <w:p>
            <w:pPr>
              <w:spacing w:after="0"/>
              <w:rPr>
                <w:sz w:val="1"/>
                <w:szCs w:val="1"/>
                <w:color w:val="auto"/>
              </w:rPr>
            </w:pPr>
          </w:p>
        </w:tc>
      </w:tr>
      <w:tr>
        <w:trPr>
          <w:trHeight w:val="171"/>
        </w:trPr>
        <w:tc>
          <w:tcPr>
            <w:tcW w:w="7280" w:type="dxa"/>
            <w:vAlign w:val="bottom"/>
            <w:gridSpan w:val="2"/>
            <w:vMerge w:val="continue"/>
          </w:tcPr>
          <w:p>
            <w:pPr>
              <w:spacing w:after="0"/>
              <w:rPr>
                <w:sz w:val="14"/>
                <w:szCs w:val="14"/>
                <w:color w:val="auto"/>
              </w:rPr>
            </w:pPr>
          </w:p>
        </w:tc>
        <w:tc>
          <w:tcPr>
            <w:tcW w:w="980" w:type="dxa"/>
            <w:vAlign w:val="bottom"/>
            <w:gridSpan w:val="2"/>
          </w:tcPr>
          <w:p>
            <w:pPr>
              <w:ind w:left="80"/>
              <w:spacing w:after="0"/>
              <w:rPr>
                <w:sz w:val="20"/>
                <w:szCs w:val="20"/>
                <w:color w:val="auto"/>
              </w:rPr>
            </w:pPr>
            <w:r>
              <w:rPr>
                <w:rFonts w:ascii="Arial" w:cs="Arial" w:eastAsia="Arial" w:hAnsi="Arial"/>
                <w:sz w:val="14"/>
                <w:szCs w:val="14"/>
                <w:b w:val="1"/>
                <w:bCs w:val="1"/>
                <w:color w:val="auto"/>
              </w:rPr>
              <w:t>Name</w:t>
            </w:r>
          </w:p>
        </w:tc>
        <w:tc>
          <w:tcPr>
            <w:tcW w:w="560" w:type="dxa"/>
            <w:vAlign w:val="bottom"/>
          </w:tcPr>
          <w:p>
            <w:pPr>
              <w:jc w:val="center"/>
              <w:spacing w:after="0"/>
              <w:rPr>
                <w:sz w:val="20"/>
                <w:szCs w:val="20"/>
                <w:color w:val="auto"/>
              </w:rPr>
            </w:pPr>
            <w:r>
              <w:rPr>
                <w:rFonts w:ascii="Arial" w:cs="Arial" w:eastAsia="Arial" w:hAnsi="Arial"/>
                <w:sz w:val="14"/>
                <w:szCs w:val="14"/>
                <w:b w:val="1"/>
                <w:bCs w:val="1"/>
                <w:color w:val="auto"/>
                <w:w w:val="93"/>
              </w:rPr>
              <w:t>(#)</w:t>
            </w:r>
          </w:p>
        </w:tc>
        <w:tc>
          <w:tcPr>
            <w:tcW w:w="480" w:type="dxa"/>
            <w:vAlign w:val="bottom"/>
          </w:tcPr>
          <w:p>
            <w:pPr>
              <w:spacing w:after="0"/>
              <w:rPr>
                <w:sz w:val="14"/>
                <w:szCs w:val="14"/>
                <w:color w:val="auto"/>
              </w:rPr>
            </w:pP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rPr>
              <w:t>($)</w:t>
            </w:r>
          </w:p>
        </w:tc>
        <w:tc>
          <w:tcPr>
            <w:tcW w:w="480" w:type="dxa"/>
            <w:vAlign w:val="bottom"/>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3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Mr.</w:t>
            </w:r>
          </w:p>
        </w:tc>
        <w:tc>
          <w:tcPr>
            <w:tcW w:w="69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 xml:space="preserve">McInerney </w:t>
            </w:r>
            <w:r>
              <w:rPr>
                <w:rFonts w:ascii="Arial" w:cs="Arial" w:eastAsia="Arial" w:hAnsi="Arial"/>
                <w:sz w:val="15"/>
                <w:szCs w:val="15"/>
                <w:color w:val="auto"/>
              </w:rPr>
              <w:t>(1)</w:t>
            </w: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tcBorders>
              <w:top w:val="single" w:sz="8" w:color="CCEEFF"/>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w:t>
            </w:r>
          </w:p>
        </w:tc>
        <w:tc>
          <w:tcPr>
            <w:tcW w:w="48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280" w:type="dxa"/>
            <w:vAlign w:val="bottom"/>
            <w:gridSpan w:val="2"/>
          </w:tcPr>
          <w:p>
            <w:pPr>
              <w:spacing w:after="0"/>
              <w:rPr>
                <w:sz w:val="20"/>
                <w:szCs w:val="20"/>
                <w:color w:val="auto"/>
              </w:rPr>
            </w:pPr>
            <w:r>
              <w:rPr>
                <w:rFonts w:ascii="Arial" w:cs="Arial" w:eastAsia="Arial" w:hAnsi="Arial"/>
                <w:sz w:val="18"/>
                <w:szCs w:val="18"/>
                <w:color w:val="auto"/>
              </w:rPr>
              <w:t xml:space="preserve">Ms. Groh </w:t>
            </w:r>
            <w:r>
              <w:rPr>
                <w:rFonts w:ascii="Arial" w:cs="Arial" w:eastAsia="Arial" w:hAnsi="Arial"/>
                <w:sz w:val="15"/>
                <w:szCs w:val="15"/>
                <w:color w:val="auto"/>
              </w:rPr>
              <w:t>(2)</w:t>
            </w:r>
          </w:p>
        </w:tc>
        <w:tc>
          <w:tcPr>
            <w:tcW w:w="980" w:type="dxa"/>
            <w:vAlign w:val="bottom"/>
            <w:gridSpan w:val="2"/>
          </w:tcPr>
          <w:p>
            <w:pPr>
              <w:jc w:val="right"/>
              <w:ind w:right="480"/>
              <w:spacing w:after="0"/>
              <w:rPr>
                <w:sz w:val="20"/>
                <w:szCs w:val="20"/>
                <w:color w:val="auto"/>
              </w:rPr>
            </w:pPr>
            <w:r>
              <w:rPr>
                <w:rFonts w:ascii="Arial" w:cs="Arial" w:eastAsia="Arial" w:hAnsi="Arial"/>
                <w:sz w:val="18"/>
                <w:szCs w:val="18"/>
                <w:color w:val="auto"/>
                <w:w w:val="97"/>
              </w:rPr>
              <w:t>SERP</w:t>
            </w: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rPr>
              <w:t>10.33</w:t>
            </w:r>
          </w:p>
        </w:tc>
        <w:tc>
          <w:tcPr>
            <w:tcW w:w="1300" w:type="dxa"/>
            <w:vAlign w:val="bottom"/>
            <w:gridSpan w:val="2"/>
          </w:tcPr>
          <w:p>
            <w:pPr>
              <w:jc w:val="right"/>
              <w:ind w:right="480"/>
              <w:spacing w:after="0"/>
              <w:rPr>
                <w:sz w:val="20"/>
                <w:szCs w:val="20"/>
                <w:color w:val="auto"/>
              </w:rPr>
            </w:pPr>
            <w:r>
              <w:rPr>
                <w:rFonts w:ascii="Arial" w:cs="Arial" w:eastAsia="Arial" w:hAnsi="Arial"/>
                <w:sz w:val="18"/>
                <w:szCs w:val="18"/>
                <w:color w:val="auto"/>
              </w:rPr>
              <w:t>659,201</w:t>
            </w: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7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Mr. Schneider</w:t>
            </w:r>
          </w:p>
        </w:tc>
        <w:tc>
          <w:tcPr>
            <w:tcW w:w="9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w w:val="97"/>
              </w:rPr>
              <w:t>SERP</w:t>
            </w:r>
          </w:p>
        </w:tc>
        <w:tc>
          <w:tcPr>
            <w:tcW w:w="10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11.33</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2,988,165</w:t>
            </w:r>
          </w:p>
        </w:tc>
        <w:tc>
          <w:tcPr>
            <w:tcW w:w="4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7280" w:type="dxa"/>
            <w:vAlign w:val="bottom"/>
            <w:gridSpan w:val="2"/>
          </w:tcPr>
          <w:p>
            <w:pPr>
              <w:spacing w:after="0"/>
              <w:rPr>
                <w:sz w:val="20"/>
                <w:szCs w:val="20"/>
                <w:color w:val="auto"/>
              </w:rPr>
            </w:pPr>
            <w:r>
              <w:rPr>
                <w:rFonts w:ascii="Arial" w:cs="Arial" w:eastAsia="Arial" w:hAnsi="Arial"/>
                <w:sz w:val="18"/>
                <w:szCs w:val="18"/>
                <w:color w:val="auto"/>
              </w:rPr>
              <w:t>Mr. Bobitz</w:t>
            </w:r>
          </w:p>
        </w:tc>
        <w:tc>
          <w:tcPr>
            <w:tcW w:w="980" w:type="dxa"/>
            <w:vAlign w:val="bottom"/>
            <w:gridSpan w:val="2"/>
          </w:tcPr>
          <w:p>
            <w:pPr>
              <w:jc w:val="right"/>
              <w:ind w:right="480"/>
              <w:spacing w:after="0"/>
              <w:rPr>
                <w:sz w:val="20"/>
                <w:szCs w:val="20"/>
                <w:color w:val="auto"/>
              </w:rPr>
            </w:pPr>
            <w:r>
              <w:rPr>
                <w:rFonts w:ascii="Arial" w:cs="Arial" w:eastAsia="Arial" w:hAnsi="Arial"/>
                <w:sz w:val="18"/>
                <w:szCs w:val="18"/>
                <w:color w:val="auto"/>
                <w:w w:val="97"/>
              </w:rPr>
              <w:t>SERP</w:t>
            </w: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rPr>
              <w:t>11.33</w:t>
            </w:r>
          </w:p>
        </w:tc>
        <w:tc>
          <w:tcPr>
            <w:tcW w:w="1300" w:type="dxa"/>
            <w:vAlign w:val="bottom"/>
            <w:gridSpan w:val="2"/>
          </w:tcPr>
          <w:p>
            <w:pPr>
              <w:jc w:val="right"/>
              <w:ind w:right="480"/>
              <w:spacing w:after="0"/>
              <w:rPr>
                <w:sz w:val="20"/>
                <w:szCs w:val="20"/>
                <w:color w:val="auto"/>
              </w:rPr>
            </w:pPr>
            <w:r>
              <w:rPr>
                <w:rFonts w:ascii="Arial" w:cs="Arial" w:eastAsia="Arial" w:hAnsi="Arial"/>
                <w:sz w:val="18"/>
                <w:szCs w:val="18"/>
                <w:color w:val="auto"/>
              </w:rPr>
              <w:t>988,168</w:t>
            </w: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7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Mr. Sheehan</w:t>
            </w:r>
          </w:p>
        </w:tc>
        <w:tc>
          <w:tcPr>
            <w:tcW w:w="9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w w:val="97"/>
              </w:rPr>
              <w:t>SERP</w:t>
            </w:r>
          </w:p>
        </w:tc>
        <w:tc>
          <w:tcPr>
            <w:tcW w:w="10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11.33</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2,557,025</w:t>
            </w:r>
          </w:p>
        </w:tc>
        <w:tc>
          <w:tcPr>
            <w:tcW w:w="4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5" w:lineRule="exact"/>
        <w:rPr>
          <w:sz w:val="20"/>
          <w:szCs w:val="20"/>
          <w:color w:val="auto"/>
        </w:rPr>
      </w:pPr>
    </w:p>
    <w:p>
      <w:pPr>
        <w:ind w:left="460" w:right="620" w:hanging="452"/>
        <w:spacing w:after="0" w:line="258" w:lineRule="auto"/>
        <w:tabs>
          <w:tab w:leader="none" w:pos="460" w:val="left"/>
        </w:tabs>
        <w:numPr>
          <w:ilvl w:val="0"/>
          <w:numId w:val="49"/>
        </w:numPr>
        <w:rPr>
          <w:rFonts w:ascii="Arial" w:cs="Arial" w:eastAsia="Arial" w:hAnsi="Arial"/>
          <w:sz w:val="15"/>
          <w:szCs w:val="15"/>
          <w:color w:val="auto"/>
        </w:rPr>
      </w:pPr>
      <w:r>
        <w:rPr>
          <w:rFonts w:ascii="Arial" w:cs="Arial" w:eastAsia="Arial" w:hAnsi="Arial"/>
          <w:sz w:val="18"/>
          <w:szCs w:val="18"/>
          <w:color w:val="auto"/>
        </w:rPr>
        <w:t>The SERP was closed to new participants after December 31, 2009; therefore, Mr. McInerney was not eligible for the SERP when he joined the company in 2013.</w:t>
      </w:r>
    </w:p>
    <w:p>
      <w:pPr>
        <w:spacing w:after="0" w:line="1" w:lineRule="exact"/>
        <w:rPr>
          <w:rFonts w:ascii="Arial" w:cs="Arial" w:eastAsia="Arial" w:hAnsi="Arial"/>
          <w:sz w:val="15"/>
          <w:szCs w:val="15"/>
          <w:color w:val="auto"/>
        </w:rPr>
      </w:pPr>
    </w:p>
    <w:p>
      <w:pPr>
        <w:ind w:left="460" w:right="340" w:hanging="452"/>
        <w:spacing w:after="0" w:line="261" w:lineRule="auto"/>
        <w:tabs>
          <w:tab w:leader="none" w:pos="460" w:val="left"/>
        </w:tabs>
        <w:numPr>
          <w:ilvl w:val="0"/>
          <w:numId w:val="49"/>
        </w:numPr>
        <w:rPr>
          <w:rFonts w:ascii="Arial" w:cs="Arial" w:eastAsia="Arial" w:hAnsi="Arial"/>
          <w:sz w:val="15"/>
          <w:szCs w:val="15"/>
          <w:color w:val="auto"/>
        </w:rPr>
      </w:pPr>
      <w:r>
        <w:rPr>
          <w:rFonts w:ascii="Arial" w:cs="Arial" w:eastAsia="Arial" w:hAnsi="Arial"/>
          <w:sz w:val="18"/>
          <w:szCs w:val="18"/>
          <w:color w:val="auto"/>
        </w:rPr>
        <w:t>Ms. Groh elected to freeze her SERP benefit as of December 31, 2015 in order to begin receiving restoration benefits under our Restoration Plan as described in the Pension Benefits section above.</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459" w:right="23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Non-Qualified Deferred Compensation</w:t>
      </w:r>
    </w:p>
    <w:p>
      <w:pPr>
        <w:spacing w:after="0" w:line="121" w:lineRule="exact"/>
        <w:rPr>
          <w:sz w:val="20"/>
          <w:szCs w:val="20"/>
          <w:color w:val="auto"/>
        </w:rPr>
      </w:pPr>
    </w:p>
    <w:p>
      <w:pPr>
        <w:ind w:firstLine="456"/>
        <w:spacing w:after="0" w:line="293" w:lineRule="auto"/>
        <w:rPr>
          <w:sz w:val="20"/>
          <w:szCs w:val="20"/>
          <w:color w:val="auto"/>
        </w:rPr>
      </w:pPr>
      <w:r>
        <w:rPr>
          <w:rFonts w:ascii="Arial" w:cs="Arial" w:eastAsia="Arial" w:hAnsi="Arial"/>
          <w:sz w:val="16"/>
          <w:szCs w:val="16"/>
          <w:color w:val="auto"/>
        </w:rPr>
        <w:t>The company maintains the Restoration Plan, a non-qualified defined contribution plan, which provides eligible executives, including our named executive officers, with benefits generally equal to any matching contributions that they are precluded from receiving under the 401(k) Savings Feature of our Retirement and Savings Plan as a result of restrictions under the Code (the “Restoration 401(k) Savings Feature”). For 2016, we provided a contribution credit equal to 6% of the participant’s eligible pay (base salary and annual cash incentive paid) in excess of the annual compensation limit in Section 401(a)(17) of the Code ($265,000 in 2016). Effective January 1, 2017, Restoration 401(k) Savings feature contributions changed from 6% to 5% which is consistent with plan changes to the company’s matching contributions under the qualified Retirement and Savings Plan which were implemented at the same time.</w:t>
      </w:r>
    </w:p>
    <w:p>
      <w:pPr>
        <w:spacing w:after="0" w:line="165" w:lineRule="exact"/>
        <w:rPr>
          <w:sz w:val="20"/>
          <w:szCs w:val="20"/>
          <w:color w:val="auto"/>
        </w:rPr>
      </w:pPr>
    </w:p>
    <w:p>
      <w:pPr>
        <w:ind w:right="120" w:firstLine="456"/>
        <w:spacing w:after="0" w:line="293" w:lineRule="auto"/>
        <w:rPr>
          <w:sz w:val="20"/>
          <w:szCs w:val="20"/>
          <w:color w:val="auto"/>
        </w:rPr>
      </w:pPr>
      <w:r>
        <w:rPr>
          <w:rFonts w:ascii="Arial" w:cs="Arial" w:eastAsia="Arial" w:hAnsi="Arial"/>
          <w:sz w:val="16"/>
          <w:szCs w:val="16"/>
          <w:color w:val="auto"/>
        </w:rPr>
        <w:t>Since January 1, 2010, newly hired or promoted executive officers who were not already participants in the SERP have been eligible for up to two additional types of contributions within the Restoration Plan. For those eligible executive officers, the Restoration Plan provides supplemental benefits equal to the amount of contributions that executives are precluded from receiving under the Retirement Account Feature of our qualified Retirement and Savings Plan (the “Restoration Retirement Account Feature”). Current participants in the SERP will become eligible to receive Restoration Retirement Account Feature contributions effective as of the day their respective benefit accruals under the SERP become frozen, which was either on January 1, 2016, if they elected to freeze benefit accruals early (as Ms. Groh did), or on January 1, 2021 (applicable to Messrs. Schneider, Bobitz and Sheehan).</w:t>
      </w:r>
    </w:p>
    <w:p>
      <w:pPr>
        <w:spacing w:after="0" w:line="165" w:lineRule="exact"/>
        <w:rPr>
          <w:sz w:val="20"/>
          <w:szCs w:val="20"/>
          <w:color w:val="auto"/>
        </w:rPr>
      </w:pPr>
    </w:p>
    <w:p>
      <w:pPr>
        <w:ind w:right="100" w:firstLine="456"/>
        <w:spacing w:after="0" w:line="308" w:lineRule="auto"/>
        <w:rPr>
          <w:sz w:val="20"/>
          <w:szCs w:val="20"/>
          <w:color w:val="auto"/>
        </w:rPr>
      </w:pPr>
      <w:r>
        <w:rPr>
          <w:rFonts w:ascii="Arial" w:cs="Arial" w:eastAsia="Arial" w:hAnsi="Arial"/>
          <w:sz w:val="17"/>
          <w:szCs w:val="17"/>
          <w:color w:val="auto"/>
        </w:rPr>
        <w:t>Participants become vested with respect to the Restoration 401(k) Savings Feature and Restoration Retirement Account Feature account balances as of the earlier of reaching age 60 or attaining three years of “future service” (i.e., service occurring after December 31, 2015).</w:t>
      </w:r>
    </w:p>
    <w:p>
      <w:pPr>
        <w:spacing w:after="0" w:line="147" w:lineRule="exact"/>
        <w:rPr>
          <w:sz w:val="20"/>
          <w:szCs w:val="20"/>
          <w:color w:val="auto"/>
        </w:rPr>
      </w:pPr>
    </w:p>
    <w:p>
      <w:pPr>
        <w:ind w:right="200" w:firstLine="456"/>
        <w:spacing w:after="0" w:line="302" w:lineRule="auto"/>
        <w:rPr>
          <w:sz w:val="20"/>
          <w:szCs w:val="20"/>
          <w:color w:val="auto"/>
        </w:rPr>
      </w:pPr>
      <w:r>
        <w:rPr>
          <w:rFonts w:ascii="Arial" w:cs="Arial" w:eastAsia="Arial" w:hAnsi="Arial"/>
          <w:sz w:val="16"/>
          <w:szCs w:val="16"/>
          <w:color w:val="auto"/>
        </w:rPr>
        <w:t>In addition, such executive officers are eligible for an additional 3% contribution credit on all eligible pay (the “Supplemental Contribution”). The Supplemental Contribution was closed to new participants after December 31, 2015, and is being eliminated entirely effective December 31, 2020. In 2016, Mr. McInerney was the only named executive officer eligible for this Supplemental Contribution provided under the Restoration Plan. The portion of the Restoration Plan balance attributable to the Supplemental Contribution will not vest until attainment of age 60 with at least five years of service.</w:t>
      </w:r>
    </w:p>
    <w:p>
      <w:pPr>
        <w:spacing w:after="0" w:line="154" w:lineRule="exact"/>
        <w:rPr>
          <w:sz w:val="20"/>
          <w:szCs w:val="20"/>
          <w:color w:val="auto"/>
        </w:rPr>
      </w:pPr>
    </w:p>
    <w:p>
      <w:pPr>
        <w:ind w:right="660" w:firstLine="456"/>
        <w:spacing w:after="0" w:line="277" w:lineRule="auto"/>
        <w:rPr>
          <w:sz w:val="20"/>
          <w:szCs w:val="20"/>
          <w:color w:val="auto"/>
        </w:rPr>
      </w:pPr>
      <w:r>
        <w:rPr>
          <w:rFonts w:ascii="Arial" w:cs="Arial" w:eastAsia="Arial" w:hAnsi="Arial"/>
          <w:sz w:val="18"/>
          <w:szCs w:val="18"/>
          <w:color w:val="auto"/>
        </w:rPr>
        <w:t>Eligible executives, including our named executive officers, have had the opportunity to request that their Restoration Plan contribution credits (balances) be invested in or track a diverse array of generally available mutual fund investment options.</w:t>
      </w:r>
    </w:p>
    <w:p>
      <w:pPr>
        <w:spacing w:after="0" w:line="170" w:lineRule="exact"/>
        <w:rPr>
          <w:sz w:val="20"/>
          <w:szCs w:val="20"/>
          <w:color w:val="auto"/>
        </w:rPr>
      </w:pPr>
    </w:p>
    <w:p>
      <w:pPr>
        <w:ind w:right="60" w:firstLine="456"/>
        <w:spacing w:after="0" w:line="271" w:lineRule="auto"/>
        <w:rPr>
          <w:sz w:val="20"/>
          <w:szCs w:val="20"/>
          <w:color w:val="auto"/>
        </w:rPr>
      </w:pPr>
      <w:r>
        <w:rPr>
          <w:rFonts w:ascii="Arial" w:cs="Arial" w:eastAsia="Arial" w:hAnsi="Arial"/>
          <w:sz w:val="17"/>
          <w:szCs w:val="17"/>
          <w:color w:val="auto"/>
        </w:rPr>
        <w:t>The company previously offered a voluntary Deferred Compensation Plan that provided participants with the ability to annually defer receipt of a portion of their base salary and/or annual incentive award in order to save and accumulate additional retirement funds on a before-tax basis. Earnings (and losses) were credited to executive accounts based on participant choices between 10 generally available mutual fund investment options. A participant could defer between 10% and 75% of his or her salary and between 25% and 85% of his or her annual incentive award and could elect to have such deferred amount, plus any earnings (or losses) thereon, paid upon the participant’s termination of employment (in a lump sum or over up to 10 annual installments), or elect to receive an in-service lump sum payment upon a specific date. Participants were always 100% vested in their Deferred Compensation Plan accounts. As of December 31, 2016, Ms. Groh and Mr. Bobitz were the only named executive officers who had a balance in the Deferred Compensation Plan. Effective for plan years beginning January 1, 2016, the company suspended future contributions to the plan.</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459" w:right="23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2016 Non-Qualified Deferred Compensation Table</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0" w:type="dxa"/>
            <w:vAlign w:val="bottom"/>
          </w:tcPr>
          <w:p>
            <w:pPr>
              <w:spacing w:after="0"/>
              <w:rPr>
                <w:sz w:val="14"/>
                <w:szCs w:val="14"/>
                <w:color w:val="auto"/>
              </w:rPr>
            </w:pPr>
          </w:p>
        </w:tc>
        <w:tc>
          <w:tcPr>
            <w:tcW w:w="258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380" w:type="dxa"/>
            <w:vAlign w:val="bottom"/>
            <w:gridSpan w:val="2"/>
            <w:vMerge w:val="restart"/>
          </w:tcPr>
          <w:p>
            <w:pPr>
              <w:jc w:val="center"/>
              <w:ind w:right="500"/>
              <w:spacing w:after="0"/>
              <w:rPr>
                <w:sz w:val="20"/>
                <w:szCs w:val="20"/>
                <w:color w:val="auto"/>
              </w:rPr>
            </w:pPr>
            <w:r>
              <w:rPr>
                <w:rFonts w:ascii="Arial" w:cs="Arial" w:eastAsia="Arial" w:hAnsi="Arial"/>
                <w:sz w:val="14"/>
                <w:szCs w:val="14"/>
                <w:b w:val="1"/>
                <w:bCs w:val="1"/>
                <w:color w:val="auto"/>
                <w:w w:val="91"/>
              </w:rPr>
              <w:t>Executive</w:t>
            </w:r>
          </w:p>
        </w:tc>
        <w:tc>
          <w:tcPr>
            <w:tcW w:w="1380" w:type="dxa"/>
            <w:vAlign w:val="bottom"/>
            <w:gridSpan w:val="2"/>
            <w:vMerge w:val="restart"/>
          </w:tcPr>
          <w:p>
            <w:pPr>
              <w:jc w:val="center"/>
              <w:ind w:right="500"/>
              <w:spacing w:after="0"/>
              <w:rPr>
                <w:sz w:val="20"/>
                <w:szCs w:val="20"/>
                <w:color w:val="auto"/>
              </w:rPr>
            </w:pPr>
            <w:r>
              <w:rPr>
                <w:rFonts w:ascii="Arial" w:cs="Arial" w:eastAsia="Arial" w:hAnsi="Arial"/>
                <w:sz w:val="14"/>
                <w:szCs w:val="14"/>
                <w:b w:val="1"/>
                <w:bCs w:val="1"/>
                <w:color w:val="auto"/>
                <w:w w:val="92"/>
              </w:rPr>
              <w:t>Registrant</w:t>
            </w:r>
          </w:p>
        </w:tc>
        <w:tc>
          <w:tcPr>
            <w:tcW w:w="1240" w:type="dxa"/>
            <w:vAlign w:val="bottom"/>
            <w:gridSpan w:val="2"/>
            <w:vMerge w:val="restart"/>
          </w:tcPr>
          <w:p>
            <w:pPr>
              <w:jc w:val="center"/>
              <w:ind w:right="500"/>
              <w:spacing w:after="0"/>
              <w:rPr>
                <w:sz w:val="20"/>
                <w:szCs w:val="20"/>
                <w:color w:val="auto"/>
              </w:rPr>
            </w:pPr>
            <w:r>
              <w:rPr>
                <w:rFonts w:ascii="Arial" w:cs="Arial" w:eastAsia="Arial" w:hAnsi="Arial"/>
                <w:sz w:val="14"/>
                <w:szCs w:val="14"/>
                <w:b w:val="1"/>
                <w:bCs w:val="1"/>
                <w:color w:val="auto"/>
                <w:w w:val="89"/>
              </w:rPr>
              <w:t>Aggregate</w:t>
            </w:r>
          </w:p>
        </w:tc>
        <w:tc>
          <w:tcPr>
            <w:tcW w:w="1360" w:type="dxa"/>
            <w:vAlign w:val="bottom"/>
            <w:gridSpan w:val="2"/>
            <w:vMerge w:val="restart"/>
          </w:tcPr>
          <w:p>
            <w:pPr>
              <w:jc w:val="center"/>
              <w:ind w:right="480"/>
              <w:spacing w:after="0"/>
              <w:rPr>
                <w:sz w:val="20"/>
                <w:szCs w:val="20"/>
                <w:color w:val="auto"/>
              </w:rPr>
            </w:pPr>
            <w:r>
              <w:rPr>
                <w:rFonts w:ascii="Arial" w:cs="Arial" w:eastAsia="Arial" w:hAnsi="Arial"/>
                <w:sz w:val="14"/>
                <w:szCs w:val="14"/>
                <w:b w:val="1"/>
                <w:bCs w:val="1"/>
                <w:color w:val="auto"/>
                <w:w w:val="92"/>
              </w:rPr>
              <w:t>Aggregate</w:t>
            </w:r>
          </w:p>
        </w:tc>
        <w:tc>
          <w:tcPr>
            <w:tcW w:w="90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92"/>
              </w:rPr>
              <w:t>Aggregate</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17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380" w:type="dxa"/>
            <w:vAlign w:val="bottom"/>
            <w:gridSpan w:val="2"/>
            <w:vMerge w:val="continue"/>
          </w:tcPr>
          <w:p>
            <w:pPr>
              <w:spacing w:after="0"/>
              <w:rPr>
                <w:sz w:val="12"/>
                <w:szCs w:val="12"/>
                <w:color w:val="auto"/>
              </w:rPr>
            </w:pPr>
          </w:p>
        </w:tc>
        <w:tc>
          <w:tcPr>
            <w:tcW w:w="1380" w:type="dxa"/>
            <w:vAlign w:val="bottom"/>
            <w:gridSpan w:val="2"/>
            <w:vMerge w:val="continue"/>
          </w:tcPr>
          <w:p>
            <w:pPr>
              <w:spacing w:after="0"/>
              <w:rPr>
                <w:sz w:val="12"/>
                <w:szCs w:val="12"/>
                <w:color w:val="auto"/>
              </w:rPr>
            </w:pPr>
          </w:p>
        </w:tc>
        <w:tc>
          <w:tcPr>
            <w:tcW w:w="1240" w:type="dxa"/>
            <w:vAlign w:val="bottom"/>
            <w:gridSpan w:val="2"/>
            <w:vMerge w:val="continue"/>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90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89"/>
              </w:rPr>
              <w:t>Balance</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17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38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93"/>
              </w:rPr>
              <w:t>Contributions</w:t>
            </w:r>
          </w:p>
        </w:tc>
        <w:tc>
          <w:tcPr>
            <w:tcW w:w="138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93"/>
              </w:rPr>
              <w:t>Contributions</w:t>
            </w:r>
          </w:p>
        </w:tc>
        <w:tc>
          <w:tcPr>
            <w:tcW w:w="124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94"/>
              </w:rPr>
              <w:t>Earnings in</w:t>
            </w:r>
          </w:p>
        </w:tc>
        <w:tc>
          <w:tcPr>
            <w:tcW w:w="136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97"/>
              </w:rPr>
              <w:t>Withdrawals/</w:t>
            </w:r>
          </w:p>
        </w:tc>
        <w:tc>
          <w:tcPr>
            <w:tcW w:w="90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7"/>
              </w:rPr>
              <w:t>at Last</w:t>
            </w:r>
          </w:p>
        </w:tc>
        <w:tc>
          <w:tcPr>
            <w:tcW w:w="0" w:type="dxa"/>
            <w:vAlign w:val="bottom"/>
          </w:tcPr>
          <w:p>
            <w:pPr>
              <w:spacing w:after="0"/>
              <w:rPr>
                <w:sz w:val="1"/>
                <w:szCs w:val="1"/>
                <w:color w:val="auto"/>
              </w:rPr>
            </w:pPr>
          </w:p>
        </w:tc>
      </w:tr>
      <w:tr>
        <w:trPr>
          <w:trHeight w:val="149"/>
        </w:trPr>
        <w:tc>
          <w:tcPr>
            <w:tcW w:w="29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w:t>
            </w:r>
          </w:p>
        </w:tc>
        <w:tc>
          <w:tcPr>
            <w:tcW w:w="2200" w:type="dxa"/>
            <w:vAlign w:val="bottom"/>
            <w:gridSpan w:val="2"/>
            <w:vMerge w:val="restart"/>
          </w:tcPr>
          <w:p>
            <w:pPr>
              <w:ind w:left="540"/>
              <w:spacing w:after="0"/>
              <w:rPr>
                <w:sz w:val="20"/>
                <w:szCs w:val="20"/>
                <w:color w:val="auto"/>
              </w:rPr>
            </w:pPr>
            <w:r>
              <w:rPr>
                <w:rFonts w:ascii="Arial" w:cs="Arial" w:eastAsia="Arial" w:hAnsi="Arial"/>
                <w:sz w:val="14"/>
                <w:szCs w:val="14"/>
                <w:b w:val="1"/>
                <w:bCs w:val="1"/>
                <w:color w:val="auto"/>
              </w:rPr>
              <w:t>Plan Name</w:t>
            </w:r>
          </w:p>
        </w:tc>
        <w:tc>
          <w:tcPr>
            <w:tcW w:w="138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98"/>
              </w:rPr>
              <w:t>in Last FY</w:t>
            </w:r>
          </w:p>
        </w:tc>
        <w:tc>
          <w:tcPr>
            <w:tcW w:w="138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98"/>
              </w:rPr>
              <w:t>in Last FY</w:t>
            </w:r>
          </w:p>
        </w:tc>
        <w:tc>
          <w:tcPr>
            <w:tcW w:w="1240" w:type="dxa"/>
            <w:vAlign w:val="bottom"/>
            <w:gridSpan w:val="2"/>
          </w:tcPr>
          <w:p>
            <w:pPr>
              <w:jc w:val="center"/>
              <w:ind w:right="500"/>
              <w:spacing w:after="0" w:line="149" w:lineRule="exact"/>
              <w:rPr>
                <w:sz w:val="20"/>
                <w:szCs w:val="20"/>
                <w:color w:val="auto"/>
              </w:rPr>
            </w:pPr>
            <w:r>
              <w:rPr>
                <w:rFonts w:ascii="Arial" w:cs="Arial" w:eastAsia="Arial" w:hAnsi="Arial"/>
                <w:sz w:val="14"/>
                <w:szCs w:val="14"/>
                <w:b w:val="1"/>
                <w:bCs w:val="1"/>
                <w:color w:val="auto"/>
                <w:w w:val="98"/>
              </w:rPr>
              <w:t>Last FY</w:t>
            </w:r>
          </w:p>
        </w:tc>
        <w:tc>
          <w:tcPr>
            <w:tcW w:w="136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92"/>
              </w:rPr>
              <w:t>Distributions</w:t>
            </w:r>
          </w:p>
        </w:tc>
        <w:tc>
          <w:tcPr>
            <w:tcW w:w="90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rPr>
              <w:t>FYE</w:t>
            </w:r>
          </w:p>
        </w:tc>
        <w:tc>
          <w:tcPr>
            <w:tcW w:w="0" w:type="dxa"/>
            <w:vAlign w:val="bottom"/>
          </w:tcPr>
          <w:p>
            <w:pPr>
              <w:spacing w:after="0"/>
              <w:rPr>
                <w:sz w:val="1"/>
                <w:szCs w:val="1"/>
                <w:color w:val="auto"/>
              </w:rPr>
            </w:pPr>
          </w:p>
        </w:tc>
      </w:tr>
      <w:tr>
        <w:trPr>
          <w:trHeight w:val="171"/>
        </w:trPr>
        <w:tc>
          <w:tcPr>
            <w:tcW w:w="2960" w:type="dxa"/>
            <w:vAlign w:val="bottom"/>
            <w:gridSpan w:val="2"/>
            <w:vMerge w:val="continue"/>
          </w:tcPr>
          <w:p>
            <w:pPr>
              <w:spacing w:after="0"/>
              <w:rPr>
                <w:sz w:val="14"/>
                <w:szCs w:val="14"/>
                <w:color w:val="auto"/>
              </w:rPr>
            </w:pPr>
          </w:p>
        </w:tc>
        <w:tc>
          <w:tcPr>
            <w:tcW w:w="2200" w:type="dxa"/>
            <w:vAlign w:val="bottom"/>
            <w:gridSpan w:val="2"/>
            <w:vMerge w:val="continue"/>
          </w:tcPr>
          <w:p>
            <w:pPr>
              <w:spacing w:after="0"/>
              <w:rPr>
                <w:sz w:val="14"/>
                <w:szCs w:val="14"/>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w w:val="93"/>
              </w:rPr>
              <w:t>($)</w:t>
            </w:r>
          </w:p>
        </w:tc>
        <w:tc>
          <w:tcPr>
            <w:tcW w:w="500" w:type="dxa"/>
            <w:vAlign w:val="bottom"/>
          </w:tcPr>
          <w:p>
            <w:pPr>
              <w:spacing w:after="0"/>
              <w:rPr>
                <w:sz w:val="14"/>
                <w:szCs w:val="14"/>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w w:val="95"/>
              </w:rPr>
              <w:t xml:space="preserve">($) </w:t>
            </w:r>
            <w:r>
              <w:rPr>
                <w:rFonts w:ascii="Arial" w:cs="Arial" w:eastAsia="Arial" w:hAnsi="Arial"/>
                <w:sz w:val="12"/>
                <w:szCs w:val="12"/>
                <w:b w:val="1"/>
                <w:bCs w:val="1"/>
                <w:color w:val="auto"/>
                <w:w w:val="95"/>
              </w:rPr>
              <w:t>(1)</w:t>
            </w:r>
          </w:p>
        </w:tc>
        <w:tc>
          <w:tcPr>
            <w:tcW w:w="50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b w:val="1"/>
                <w:bCs w:val="1"/>
                <w:color w:val="auto"/>
              </w:rPr>
              <w:t>($)</w:t>
            </w:r>
          </w:p>
        </w:tc>
        <w:tc>
          <w:tcPr>
            <w:tcW w:w="500" w:type="dxa"/>
            <w:vAlign w:val="bottom"/>
          </w:tcPr>
          <w:p>
            <w:pPr>
              <w:spacing w:after="0"/>
              <w:rPr>
                <w:sz w:val="14"/>
                <w:szCs w:val="14"/>
                <w:color w:val="auto"/>
              </w:rPr>
            </w:pPr>
          </w:p>
        </w:tc>
        <w:tc>
          <w:tcPr>
            <w:tcW w:w="860" w:type="dxa"/>
            <w:vAlign w:val="bottom"/>
          </w:tcPr>
          <w:p>
            <w:pPr>
              <w:jc w:val="center"/>
              <w:spacing w:after="0"/>
              <w:rPr>
                <w:sz w:val="20"/>
                <w:szCs w:val="20"/>
                <w:color w:val="auto"/>
              </w:rPr>
            </w:pPr>
            <w:r>
              <w:rPr>
                <w:rFonts w:ascii="Arial" w:cs="Arial" w:eastAsia="Arial" w:hAnsi="Arial"/>
                <w:sz w:val="14"/>
                <w:szCs w:val="14"/>
                <w:b w:val="1"/>
                <w:bCs w:val="1"/>
                <w:color w:val="auto"/>
                <w:w w:val="93"/>
              </w:rPr>
              <w:t>($)</w:t>
            </w:r>
          </w:p>
        </w:tc>
        <w:tc>
          <w:tcPr>
            <w:tcW w:w="500" w:type="dxa"/>
            <w:vAlign w:val="bottom"/>
          </w:tcPr>
          <w:p>
            <w:pPr>
              <w:spacing w:after="0"/>
              <w:rPr>
                <w:sz w:val="14"/>
                <w:szCs w:val="14"/>
                <w:color w:val="auto"/>
              </w:rPr>
            </w:pPr>
          </w:p>
        </w:tc>
        <w:tc>
          <w:tcPr>
            <w:tcW w:w="840" w:type="dxa"/>
            <w:vAlign w:val="bottom"/>
          </w:tcPr>
          <w:p>
            <w:pPr>
              <w:jc w:val="center"/>
              <w:spacing w:after="0"/>
              <w:rPr>
                <w:sz w:val="20"/>
                <w:szCs w:val="20"/>
                <w:color w:val="auto"/>
              </w:rPr>
            </w:pPr>
            <w:r>
              <w:rPr>
                <w:rFonts w:ascii="Arial" w:cs="Arial" w:eastAsia="Arial" w:hAnsi="Arial"/>
                <w:sz w:val="14"/>
                <w:szCs w:val="14"/>
                <w:b w:val="1"/>
                <w:bCs w:val="1"/>
                <w:color w:val="auto"/>
                <w:w w:val="95"/>
              </w:rPr>
              <w:t xml:space="preserve">($) </w:t>
            </w:r>
            <w:r>
              <w:rPr>
                <w:rFonts w:ascii="Arial" w:cs="Arial" w:eastAsia="Arial" w:hAnsi="Arial"/>
                <w:sz w:val="12"/>
                <w:szCs w:val="12"/>
                <w:b w:val="1"/>
                <w:bCs w:val="1"/>
                <w:color w:val="auto"/>
                <w:w w:val="95"/>
              </w:rPr>
              <w:t>(2)</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3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Mr.</w:t>
            </w:r>
          </w:p>
        </w:tc>
        <w:tc>
          <w:tcPr>
            <w:tcW w:w="25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McInerney</w:t>
            </w:r>
          </w:p>
        </w:tc>
        <w:tc>
          <w:tcPr>
            <w:tcW w:w="17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Restoration</w:t>
            </w:r>
          </w:p>
        </w:tc>
        <w:tc>
          <w:tcPr>
            <w:tcW w:w="44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50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259,085</w:t>
            </w:r>
          </w:p>
        </w:tc>
        <w:tc>
          <w:tcPr>
            <w:tcW w:w="50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78,483</w:t>
            </w:r>
          </w:p>
        </w:tc>
        <w:tc>
          <w:tcPr>
            <w:tcW w:w="50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50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1,041,179</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960" w:type="dxa"/>
            <w:vAlign w:val="bottom"/>
            <w:gridSpan w:val="2"/>
          </w:tcPr>
          <w:p>
            <w:pPr>
              <w:spacing w:after="0"/>
              <w:rPr>
                <w:sz w:val="20"/>
                <w:szCs w:val="20"/>
                <w:color w:val="auto"/>
              </w:rPr>
            </w:pPr>
            <w:r>
              <w:rPr>
                <w:rFonts w:ascii="Arial" w:cs="Arial" w:eastAsia="Arial" w:hAnsi="Arial"/>
                <w:sz w:val="18"/>
                <w:szCs w:val="18"/>
                <w:color w:val="auto"/>
              </w:rPr>
              <w:t>Ms. Groh</w:t>
            </w:r>
          </w:p>
        </w:tc>
        <w:tc>
          <w:tcPr>
            <w:tcW w:w="2200" w:type="dxa"/>
            <w:vAlign w:val="bottom"/>
            <w:gridSpan w:val="2"/>
          </w:tcPr>
          <w:p>
            <w:pPr>
              <w:spacing w:after="0"/>
              <w:rPr>
                <w:sz w:val="20"/>
                <w:szCs w:val="20"/>
                <w:color w:val="auto"/>
              </w:rPr>
            </w:pPr>
            <w:r>
              <w:rPr>
                <w:rFonts w:ascii="Arial" w:cs="Arial" w:eastAsia="Arial" w:hAnsi="Arial"/>
                <w:sz w:val="18"/>
                <w:szCs w:val="18"/>
                <w:color w:val="auto"/>
              </w:rPr>
              <w:t>Restoration</w:t>
            </w:r>
          </w:p>
        </w:tc>
        <w:tc>
          <w:tcPr>
            <w:tcW w:w="1380" w:type="dxa"/>
            <w:vAlign w:val="bottom"/>
            <w:gridSpan w:val="2"/>
          </w:tcPr>
          <w:p>
            <w:pPr>
              <w:ind w:left="620"/>
              <w:spacing w:after="0"/>
              <w:rPr>
                <w:sz w:val="20"/>
                <w:szCs w:val="20"/>
                <w:color w:val="auto"/>
              </w:rPr>
            </w:pPr>
            <w:r>
              <w:rPr>
                <w:rFonts w:ascii="Arial" w:cs="Arial" w:eastAsia="Arial" w:hAnsi="Arial"/>
                <w:sz w:val="18"/>
                <w:szCs w:val="18"/>
                <w:color w:val="auto"/>
              </w:rPr>
              <w:t>—</w:t>
            </w:r>
          </w:p>
        </w:tc>
        <w:tc>
          <w:tcPr>
            <w:tcW w:w="1380" w:type="dxa"/>
            <w:vAlign w:val="bottom"/>
            <w:gridSpan w:val="2"/>
          </w:tcPr>
          <w:p>
            <w:pPr>
              <w:jc w:val="right"/>
              <w:ind w:right="500"/>
              <w:spacing w:after="0"/>
              <w:rPr>
                <w:sz w:val="20"/>
                <w:szCs w:val="20"/>
                <w:color w:val="auto"/>
              </w:rPr>
            </w:pPr>
            <w:r>
              <w:rPr>
                <w:rFonts w:ascii="Arial" w:cs="Arial" w:eastAsia="Arial" w:hAnsi="Arial"/>
                <w:sz w:val="18"/>
                <w:szCs w:val="18"/>
                <w:color w:val="auto"/>
              </w:rPr>
              <w:t>76,852</w:t>
            </w:r>
          </w:p>
        </w:tc>
        <w:tc>
          <w:tcPr>
            <w:tcW w:w="1240" w:type="dxa"/>
            <w:vAlign w:val="bottom"/>
            <w:gridSpan w:val="2"/>
          </w:tcPr>
          <w:p>
            <w:pPr>
              <w:jc w:val="right"/>
              <w:ind w:right="500"/>
              <w:spacing w:after="0"/>
              <w:rPr>
                <w:sz w:val="20"/>
                <w:szCs w:val="20"/>
                <w:color w:val="auto"/>
              </w:rPr>
            </w:pPr>
            <w:r>
              <w:rPr>
                <w:rFonts w:ascii="Arial" w:cs="Arial" w:eastAsia="Arial" w:hAnsi="Arial"/>
                <w:sz w:val="18"/>
                <w:szCs w:val="18"/>
                <w:color w:val="auto"/>
              </w:rPr>
              <w:t>16,303</w:t>
            </w:r>
          </w:p>
        </w:tc>
        <w:tc>
          <w:tcPr>
            <w:tcW w:w="1360" w:type="dxa"/>
            <w:vAlign w:val="bottom"/>
            <w:gridSpan w:val="2"/>
          </w:tcPr>
          <w:p>
            <w:pPr>
              <w:ind w:left="600"/>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239,334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 w:type="dxa"/>
            <w:vAlign w:val="bottom"/>
            <w:shd w:val="clear" w:color="auto" w:fill="CCEEFF"/>
          </w:tcPr>
          <w:p>
            <w:pPr>
              <w:spacing w:after="0"/>
              <w:rPr>
                <w:sz w:val="18"/>
                <w:szCs w:val="18"/>
                <w:color w:val="auto"/>
              </w:rPr>
            </w:pPr>
          </w:p>
        </w:tc>
        <w:tc>
          <w:tcPr>
            <w:tcW w:w="2580" w:type="dxa"/>
            <w:vAlign w:val="bottom"/>
            <w:shd w:val="clear" w:color="auto" w:fill="CCEEFF"/>
          </w:tcPr>
          <w:p>
            <w:pPr>
              <w:spacing w:after="0"/>
              <w:rPr>
                <w:sz w:val="18"/>
                <w:szCs w:val="18"/>
                <w:color w:val="auto"/>
              </w:rPr>
            </w:pPr>
          </w:p>
        </w:tc>
        <w:tc>
          <w:tcPr>
            <w:tcW w:w="2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Deferred Compensation</w:t>
            </w:r>
          </w:p>
        </w:tc>
        <w:tc>
          <w:tcPr>
            <w:tcW w:w="138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138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11,450</w:t>
            </w:r>
          </w:p>
        </w:tc>
        <w:tc>
          <w:tcPr>
            <w:tcW w:w="1360" w:type="dxa"/>
            <w:vAlign w:val="bottom"/>
            <w:gridSpan w:val="2"/>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136,589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960" w:type="dxa"/>
            <w:vAlign w:val="bottom"/>
            <w:gridSpan w:val="2"/>
          </w:tcPr>
          <w:p>
            <w:pPr>
              <w:spacing w:after="0"/>
              <w:rPr>
                <w:sz w:val="20"/>
                <w:szCs w:val="20"/>
                <w:color w:val="auto"/>
              </w:rPr>
            </w:pPr>
            <w:r>
              <w:rPr>
                <w:rFonts w:ascii="Arial" w:cs="Arial" w:eastAsia="Arial" w:hAnsi="Arial"/>
                <w:sz w:val="18"/>
                <w:szCs w:val="18"/>
                <w:color w:val="auto"/>
              </w:rPr>
              <w:t>Mr. Schneider</w:t>
            </w:r>
          </w:p>
        </w:tc>
        <w:tc>
          <w:tcPr>
            <w:tcW w:w="2200" w:type="dxa"/>
            <w:vAlign w:val="bottom"/>
            <w:gridSpan w:val="2"/>
          </w:tcPr>
          <w:p>
            <w:pPr>
              <w:spacing w:after="0"/>
              <w:rPr>
                <w:sz w:val="20"/>
                <w:szCs w:val="20"/>
                <w:color w:val="auto"/>
              </w:rPr>
            </w:pPr>
            <w:r>
              <w:rPr>
                <w:rFonts w:ascii="Arial" w:cs="Arial" w:eastAsia="Arial" w:hAnsi="Arial"/>
                <w:sz w:val="18"/>
                <w:szCs w:val="18"/>
                <w:color w:val="auto"/>
              </w:rPr>
              <w:t>Restoration</w:t>
            </w:r>
          </w:p>
        </w:tc>
        <w:tc>
          <w:tcPr>
            <w:tcW w:w="1380" w:type="dxa"/>
            <w:vAlign w:val="bottom"/>
            <w:gridSpan w:val="2"/>
          </w:tcPr>
          <w:p>
            <w:pPr>
              <w:ind w:left="620"/>
              <w:spacing w:after="0"/>
              <w:rPr>
                <w:sz w:val="20"/>
                <w:szCs w:val="20"/>
                <w:color w:val="auto"/>
              </w:rPr>
            </w:pPr>
            <w:r>
              <w:rPr>
                <w:rFonts w:ascii="Arial" w:cs="Arial" w:eastAsia="Arial" w:hAnsi="Arial"/>
                <w:sz w:val="18"/>
                <w:szCs w:val="18"/>
                <w:color w:val="auto"/>
              </w:rPr>
              <w:t>—</w:t>
            </w:r>
          </w:p>
        </w:tc>
        <w:tc>
          <w:tcPr>
            <w:tcW w:w="1380" w:type="dxa"/>
            <w:vAlign w:val="bottom"/>
            <w:gridSpan w:val="2"/>
          </w:tcPr>
          <w:p>
            <w:pPr>
              <w:jc w:val="right"/>
              <w:ind w:right="500"/>
              <w:spacing w:after="0"/>
              <w:rPr>
                <w:sz w:val="20"/>
                <w:szCs w:val="20"/>
                <w:color w:val="auto"/>
              </w:rPr>
            </w:pPr>
            <w:r>
              <w:rPr>
                <w:rFonts w:ascii="Arial" w:cs="Arial" w:eastAsia="Arial" w:hAnsi="Arial"/>
                <w:sz w:val="18"/>
                <w:szCs w:val="18"/>
                <w:color w:val="auto"/>
              </w:rPr>
              <w:t>99,461</w:t>
            </w:r>
          </w:p>
        </w:tc>
        <w:tc>
          <w:tcPr>
            <w:tcW w:w="1240" w:type="dxa"/>
            <w:vAlign w:val="bottom"/>
            <w:gridSpan w:val="2"/>
          </w:tcPr>
          <w:p>
            <w:pPr>
              <w:jc w:val="right"/>
              <w:ind w:right="500"/>
              <w:spacing w:after="0"/>
              <w:rPr>
                <w:sz w:val="20"/>
                <w:szCs w:val="20"/>
                <w:color w:val="auto"/>
              </w:rPr>
            </w:pPr>
            <w:r>
              <w:rPr>
                <w:rFonts w:ascii="Arial" w:cs="Arial" w:eastAsia="Arial" w:hAnsi="Arial"/>
                <w:sz w:val="18"/>
                <w:szCs w:val="18"/>
                <w:color w:val="auto"/>
              </w:rPr>
              <w:t>52,998</w:t>
            </w:r>
          </w:p>
        </w:tc>
        <w:tc>
          <w:tcPr>
            <w:tcW w:w="1360" w:type="dxa"/>
            <w:vAlign w:val="bottom"/>
            <w:gridSpan w:val="2"/>
          </w:tcPr>
          <w:p>
            <w:pPr>
              <w:ind w:left="600"/>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625,897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Mr. Bobitz</w:t>
            </w:r>
          </w:p>
        </w:tc>
        <w:tc>
          <w:tcPr>
            <w:tcW w:w="2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Restoration</w:t>
            </w:r>
          </w:p>
        </w:tc>
        <w:tc>
          <w:tcPr>
            <w:tcW w:w="138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138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30,519</w:t>
            </w:r>
          </w:p>
        </w:tc>
        <w:tc>
          <w:tcPr>
            <w:tcW w:w="124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12,926</w:t>
            </w:r>
          </w:p>
        </w:tc>
        <w:tc>
          <w:tcPr>
            <w:tcW w:w="1360" w:type="dxa"/>
            <w:vAlign w:val="bottom"/>
            <w:gridSpan w:val="2"/>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159,229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2200" w:type="dxa"/>
            <w:vAlign w:val="bottom"/>
            <w:gridSpan w:val="2"/>
          </w:tcPr>
          <w:p>
            <w:pPr>
              <w:spacing w:after="0"/>
              <w:rPr>
                <w:sz w:val="20"/>
                <w:szCs w:val="20"/>
                <w:color w:val="auto"/>
              </w:rPr>
            </w:pPr>
            <w:r>
              <w:rPr>
                <w:rFonts w:ascii="Arial" w:cs="Arial" w:eastAsia="Arial" w:hAnsi="Arial"/>
                <w:sz w:val="18"/>
                <w:szCs w:val="18"/>
                <w:color w:val="auto"/>
              </w:rPr>
              <w:t>Deferred Compensation</w:t>
            </w:r>
          </w:p>
        </w:tc>
        <w:tc>
          <w:tcPr>
            <w:tcW w:w="1380" w:type="dxa"/>
            <w:vAlign w:val="bottom"/>
            <w:gridSpan w:val="2"/>
          </w:tcPr>
          <w:p>
            <w:pPr>
              <w:ind w:left="620"/>
              <w:spacing w:after="0"/>
              <w:rPr>
                <w:sz w:val="20"/>
                <w:szCs w:val="20"/>
                <w:color w:val="auto"/>
              </w:rPr>
            </w:pPr>
            <w:r>
              <w:rPr>
                <w:rFonts w:ascii="Arial" w:cs="Arial" w:eastAsia="Arial" w:hAnsi="Arial"/>
                <w:sz w:val="18"/>
                <w:szCs w:val="18"/>
                <w:color w:val="auto"/>
              </w:rPr>
              <w:t>—</w:t>
            </w: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500"/>
              <w:spacing w:after="0"/>
              <w:rPr>
                <w:sz w:val="20"/>
                <w:szCs w:val="20"/>
                <w:color w:val="auto"/>
              </w:rPr>
            </w:pPr>
            <w:r>
              <w:rPr>
                <w:rFonts w:ascii="Arial" w:cs="Arial" w:eastAsia="Arial" w:hAnsi="Arial"/>
                <w:sz w:val="18"/>
                <w:szCs w:val="18"/>
                <w:color w:val="auto"/>
              </w:rPr>
              <w:t>6,376</w:t>
            </w:r>
          </w:p>
        </w:tc>
        <w:tc>
          <w:tcPr>
            <w:tcW w:w="1360" w:type="dxa"/>
            <w:vAlign w:val="bottom"/>
            <w:gridSpan w:val="2"/>
          </w:tcPr>
          <w:p>
            <w:pPr>
              <w:ind w:left="60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65,400</w:t>
            </w:r>
          </w:p>
        </w:tc>
        <w:tc>
          <w:tcPr>
            <w:tcW w:w="0" w:type="dxa"/>
            <w:vAlign w:val="bottom"/>
          </w:tcPr>
          <w:p>
            <w:pPr>
              <w:spacing w:after="0"/>
              <w:rPr>
                <w:sz w:val="1"/>
                <w:szCs w:val="1"/>
                <w:color w:val="auto"/>
              </w:rPr>
            </w:pPr>
          </w:p>
        </w:tc>
      </w:tr>
      <w:tr>
        <w:trPr>
          <w:trHeight w:val="216"/>
        </w:trPr>
        <w:tc>
          <w:tcPr>
            <w:tcW w:w="2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Mr. Sheehan</w:t>
            </w:r>
          </w:p>
        </w:tc>
        <w:tc>
          <w:tcPr>
            <w:tcW w:w="2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Restoration</w:t>
            </w:r>
          </w:p>
        </w:tc>
        <w:tc>
          <w:tcPr>
            <w:tcW w:w="138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138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97,985</w:t>
            </w:r>
          </w:p>
        </w:tc>
        <w:tc>
          <w:tcPr>
            <w:tcW w:w="124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45,333</w:t>
            </w:r>
          </w:p>
        </w:tc>
        <w:tc>
          <w:tcPr>
            <w:tcW w:w="1360" w:type="dxa"/>
            <w:vAlign w:val="bottom"/>
            <w:gridSpan w:val="2"/>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548,414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5" w:lineRule="exact"/>
        <w:rPr>
          <w:sz w:val="20"/>
          <w:szCs w:val="20"/>
          <w:color w:val="auto"/>
        </w:rPr>
      </w:pPr>
    </w:p>
    <w:p>
      <w:pPr>
        <w:ind w:left="460" w:right="960" w:hanging="452"/>
        <w:spacing w:after="0" w:line="258" w:lineRule="auto"/>
        <w:tabs>
          <w:tab w:leader="none" w:pos="460" w:val="left"/>
        </w:tabs>
        <w:numPr>
          <w:ilvl w:val="0"/>
          <w:numId w:val="50"/>
        </w:numPr>
        <w:rPr>
          <w:rFonts w:ascii="Arial" w:cs="Arial" w:eastAsia="Arial" w:hAnsi="Arial"/>
          <w:sz w:val="15"/>
          <w:szCs w:val="15"/>
          <w:color w:val="auto"/>
        </w:rPr>
      </w:pPr>
      <w:r>
        <w:rPr>
          <w:rFonts w:ascii="Arial" w:cs="Arial" w:eastAsia="Arial" w:hAnsi="Arial"/>
          <w:sz w:val="18"/>
          <w:szCs w:val="18"/>
          <w:color w:val="auto"/>
        </w:rPr>
        <w:t>Reflects company contributions to the Restoration Plan made in 2017, which are based on 2016 earnings. The contributions are reported as compensation for 2016 in the All Other Compensation column of the 2016 Summary Compensation Table.</w:t>
      </w:r>
    </w:p>
    <w:p>
      <w:pPr>
        <w:spacing w:after="0" w:line="1" w:lineRule="exact"/>
        <w:rPr>
          <w:rFonts w:ascii="Arial" w:cs="Arial" w:eastAsia="Arial" w:hAnsi="Arial"/>
          <w:sz w:val="15"/>
          <w:szCs w:val="15"/>
          <w:color w:val="auto"/>
        </w:rPr>
      </w:pPr>
    </w:p>
    <w:p>
      <w:pPr>
        <w:ind w:left="460" w:right="180" w:hanging="452"/>
        <w:spacing w:after="0" w:line="254" w:lineRule="auto"/>
        <w:tabs>
          <w:tab w:leader="none" w:pos="460" w:val="left"/>
        </w:tabs>
        <w:numPr>
          <w:ilvl w:val="0"/>
          <w:numId w:val="50"/>
        </w:numPr>
        <w:rPr>
          <w:rFonts w:ascii="Arial" w:cs="Arial" w:eastAsia="Arial" w:hAnsi="Arial"/>
          <w:sz w:val="15"/>
          <w:szCs w:val="15"/>
          <w:color w:val="auto"/>
        </w:rPr>
      </w:pPr>
      <w:r>
        <w:rPr>
          <w:rFonts w:ascii="Arial" w:cs="Arial" w:eastAsia="Arial" w:hAnsi="Arial"/>
          <w:sz w:val="18"/>
          <w:szCs w:val="18"/>
          <w:color w:val="auto"/>
        </w:rPr>
        <w:t>Aggregate balances reported as of December 31, 2016 for the named executive officers include amounts that were reported in the Summary Compensation Tables for 2016 and years prior. For the Restoration Plan, the amount of compensation reported in the Summary Compensation Tables for 2016 and years prior is $961,831 for Mr. McInerney, $99,107 for Ms. Groh, $431,745 for Mr. Schneider, $30,519 for Mr. Bobitz and $294,985 for Mr. Sheehan.</w:t>
      </w:r>
    </w:p>
    <w:p>
      <w:pPr>
        <w:spacing w:after="0" w:line="2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Potential Payments upon Termination or Change of Control</w:t>
      </w:r>
    </w:p>
    <w:p>
      <w:pPr>
        <w:spacing w:after="0" w:line="121" w:lineRule="exact"/>
        <w:rPr>
          <w:sz w:val="20"/>
          <w:szCs w:val="20"/>
          <w:color w:val="auto"/>
        </w:rPr>
      </w:pPr>
    </w:p>
    <w:p>
      <w:pPr>
        <w:ind w:right="20" w:firstLine="456"/>
        <w:spacing w:after="0" w:line="297" w:lineRule="auto"/>
        <w:rPr>
          <w:sz w:val="20"/>
          <w:szCs w:val="20"/>
          <w:color w:val="auto"/>
        </w:rPr>
      </w:pPr>
      <w:r>
        <w:rPr>
          <w:rFonts w:ascii="Arial" w:cs="Arial" w:eastAsia="Arial" w:hAnsi="Arial"/>
          <w:sz w:val="16"/>
          <w:szCs w:val="16"/>
          <w:color w:val="auto"/>
        </w:rPr>
        <w:t>The following tables and narrative disclosure summarize the compensation and benefits payable to each of the named executive officers in the event of a termination of employment under various circumstances, assuming that such termination was effective as of December 31, 2016. The compensation and benefits described and quantified below are in addition to the compensation and benefits that would already be earned or vested upon such named executive officer’s termination, including accrued but unpaid salary, accrued and unused vacation pay, and payments and benefits accrued under our broad-based benefit programs, including any vested contributions we made under the 401(k) Savings and Retirement Account Features of our Retirement and Savings Plan.</w:t>
      </w:r>
    </w:p>
    <w:p>
      <w:pPr>
        <w:spacing w:after="0" w:line="266"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Involuntary Termination of Employment (Without a Change of Control)</w:t>
      </w:r>
    </w:p>
    <w:p>
      <w:pPr>
        <w:spacing w:after="0" w:line="117" w:lineRule="exact"/>
        <w:rPr>
          <w:sz w:val="20"/>
          <w:szCs w:val="20"/>
          <w:color w:val="auto"/>
        </w:rPr>
      </w:pPr>
    </w:p>
    <w:p>
      <w:pPr>
        <w:ind w:right="60" w:firstLine="456"/>
        <w:spacing w:after="0" w:line="279" w:lineRule="auto"/>
        <w:rPr>
          <w:sz w:val="20"/>
          <w:szCs w:val="20"/>
          <w:color w:val="auto"/>
        </w:rPr>
      </w:pPr>
      <w:r>
        <w:rPr>
          <w:rFonts w:ascii="Arial" w:cs="Arial" w:eastAsia="Arial" w:hAnsi="Arial"/>
          <w:sz w:val="17"/>
          <w:szCs w:val="17"/>
          <w:color w:val="auto"/>
        </w:rPr>
        <w:t>In December 2014, the Compensation Committee approved the 2015 Severance Plan, which became effective as of January 1, 2015, in order to promote the retention of a select group of key employees, including our named executive officers, by providing severance benefits in the event their employment is terminated under certain circumstances and to align with severance benefits commonly provided in our market for competing executive talent. The 2015 Severance Plan replaced the company’s prior severance plan, which expired by its terms on December 31, 2014.</w:t>
      </w:r>
    </w:p>
    <w:p>
      <w:pPr>
        <w:spacing w:after="0" w:line="171" w:lineRule="exact"/>
        <w:rPr>
          <w:sz w:val="20"/>
          <w:szCs w:val="20"/>
          <w:color w:val="auto"/>
        </w:rPr>
      </w:pPr>
    </w:p>
    <w:p>
      <w:pPr>
        <w:ind w:right="280" w:firstLine="456"/>
        <w:spacing w:after="0" w:line="264" w:lineRule="auto"/>
        <w:rPr>
          <w:sz w:val="20"/>
          <w:szCs w:val="20"/>
          <w:color w:val="auto"/>
        </w:rPr>
      </w:pPr>
      <w:r>
        <w:rPr>
          <w:rFonts w:ascii="Arial" w:cs="Arial" w:eastAsia="Arial" w:hAnsi="Arial"/>
          <w:sz w:val="18"/>
          <w:szCs w:val="18"/>
          <w:color w:val="auto"/>
        </w:rPr>
        <w:t>In the event the employment of a named executive officer is terminated without “cause” or by the executive for “good reason” (as such terms are defined in the 2015 Severance Plan), such named executive officer would be entitled to receive the following severance benefits under the 2015 Severance Plan:</w:t>
      </w:r>
    </w:p>
    <w:p>
      <w:pPr>
        <w:spacing w:after="0" w:line="87" w:lineRule="exact"/>
        <w:rPr>
          <w:sz w:val="20"/>
          <w:szCs w:val="20"/>
          <w:color w:val="auto"/>
        </w:rPr>
      </w:pPr>
    </w:p>
    <w:p>
      <w:pPr>
        <w:ind w:left="900" w:right="80" w:hanging="325"/>
        <w:spacing w:after="0" w:line="264" w:lineRule="auto"/>
        <w:tabs>
          <w:tab w:leader="none" w:pos="900" w:val="left"/>
        </w:tabs>
        <w:numPr>
          <w:ilvl w:val="0"/>
          <w:numId w:val="51"/>
        </w:numPr>
        <w:rPr>
          <w:rFonts w:ascii="Arial" w:cs="Arial" w:eastAsia="Arial" w:hAnsi="Arial"/>
          <w:sz w:val="18"/>
          <w:szCs w:val="18"/>
          <w:color w:val="auto"/>
        </w:rPr>
      </w:pPr>
      <w:r>
        <w:rPr>
          <w:rFonts w:ascii="Arial" w:cs="Arial" w:eastAsia="Arial" w:hAnsi="Arial"/>
          <w:sz w:val="18"/>
          <w:szCs w:val="18"/>
          <w:i w:val="1"/>
          <w:iCs w:val="1"/>
          <w:color w:val="auto"/>
        </w:rPr>
        <w:t>Severance payment</w:t>
      </w:r>
      <w:r>
        <w:rPr>
          <w:rFonts w:ascii="Arial" w:cs="Arial" w:eastAsia="Arial" w:hAnsi="Arial"/>
          <w:sz w:val="18"/>
          <w:szCs w:val="18"/>
          <w:color w:val="auto"/>
        </w:rPr>
        <w:t>. The named executive officer would receive a lump sum cash severance payment, payable within 60 days of the date of</w:t>
      </w:r>
      <w:r>
        <w:rPr>
          <w:rFonts w:ascii="Arial" w:cs="Arial" w:eastAsia="Arial" w:hAnsi="Arial"/>
          <w:sz w:val="18"/>
          <w:szCs w:val="18"/>
          <w:i w:val="1"/>
          <w:iCs w:val="1"/>
          <w:color w:val="auto"/>
        </w:rPr>
        <w:t xml:space="preserve"> </w:t>
      </w:r>
      <w:r>
        <w:rPr>
          <w:rFonts w:ascii="Arial" w:cs="Arial" w:eastAsia="Arial" w:hAnsi="Arial"/>
          <w:sz w:val="18"/>
          <w:szCs w:val="18"/>
          <w:color w:val="auto"/>
        </w:rPr>
        <w:t>termination in an amount equal to two times the sum of base salary and target annual incentive, in the case of Mr. McInerney, and one times base salary plus one times target annual incentive for the other named executive officers.</w:t>
      </w:r>
    </w:p>
    <w:p>
      <w:pPr>
        <w:spacing w:after="0" w:line="86" w:lineRule="exact"/>
        <w:rPr>
          <w:rFonts w:ascii="Arial" w:cs="Arial" w:eastAsia="Arial" w:hAnsi="Arial"/>
          <w:sz w:val="18"/>
          <w:szCs w:val="18"/>
          <w:color w:val="auto"/>
        </w:rPr>
      </w:pPr>
    </w:p>
    <w:p>
      <w:pPr>
        <w:ind w:left="900" w:right="80" w:hanging="325"/>
        <w:spacing w:after="0" w:line="277" w:lineRule="auto"/>
        <w:tabs>
          <w:tab w:leader="none" w:pos="900" w:val="left"/>
        </w:tabs>
        <w:numPr>
          <w:ilvl w:val="0"/>
          <w:numId w:val="51"/>
        </w:numPr>
        <w:rPr>
          <w:rFonts w:ascii="Arial" w:cs="Arial" w:eastAsia="Arial" w:hAnsi="Arial"/>
          <w:sz w:val="18"/>
          <w:szCs w:val="18"/>
          <w:color w:val="auto"/>
        </w:rPr>
      </w:pPr>
      <w:r>
        <w:rPr>
          <w:rFonts w:ascii="Arial" w:cs="Arial" w:eastAsia="Arial" w:hAnsi="Arial"/>
          <w:sz w:val="18"/>
          <w:szCs w:val="18"/>
          <w:i w:val="1"/>
          <w:iCs w:val="1"/>
          <w:color w:val="auto"/>
        </w:rPr>
        <w:t>Pro rata annual incentive award</w:t>
      </w:r>
      <w:r>
        <w:rPr>
          <w:rFonts w:ascii="Arial" w:cs="Arial" w:eastAsia="Arial" w:hAnsi="Arial"/>
          <w:sz w:val="18"/>
          <w:szCs w:val="18"/>
          <w:color w:val="auto"/>
        </w:rPr>
        <w:t>. The named executive officer would receive a lump sum cash payment based on the annual incentive award that</w:t>
      </w:r>
      <w:r>
        <w:rPr>
          <w:rFonts w:ascii="Arial" w:cs="Arial" w:eastAsia="Arial" w:hAnsi="Arial"/>
          <w:sz w:val="18"/>
          <w:szCs w:val="18"/>
          <w:i w:val="1"/>
          <w:iCs w:val="1"/>
          <w:color w:val="auto"/>
        </w:rPr>
        <w:t xml:space="preserve"> </w:t>
      </w:r>
      <w:r>
        <w:rPr>
          <w:rFonts w:ascii="Arial" w:cs="Arial" w:eastAsia="Arial" w:hAnsi="Arial"/>
          <w:sz w:val="18"/>
          <w:szCs w:val="18"/>
          <w:color w:val="auto"/>
        </w:rPr>
        <w:t>would have been payable with respect to the fiscal</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459" w:right="23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right="220"/>
        <w:spacing w:after="0" w:line="277" w:lineRule="auto"/>
        <w:rPr>
          <w:sz w:val="20"/>
          <w:szCs w:val="20"/>
          <w:color w:val="auto"/>
        </w:rPr>
      </w:pPr>
      <w:r>
        <w:rPr>
          <w:rFonts w:ascii="Arial" w:cs="Arial" w:eastAsia="Arial" w:hAnsi="Arial"/>
          <w:sz w:val="18"/>
          <w:szCs w:val="18"/>
          <w:color w:val="auto"/>
        </w:rPr>
        <w:t>year in which the qualified termination occurs (determined at the end of such year based on actual performance results), prorated to the nearest half month to reflect the portion of the fiscal year that had elapsed prior to the date of termination.</w:t>
      </w:r>
    </w:p>
    <w:p>
      <w:pPr>
        <w:spacing w:after="0" w:line="76" w:lineRule="exact"/>
        <w:rPr>
          <w:sz w:val="20"/>
          <w:szCs w:val="20"/>
          <w:color w:val="auto"/>
        </w:rPr>
      </w:pPr>
    </w:p>
    <w:p>
      <w:pPr>
        <w:jc w:val="both"/>
        <w:ind w:left="900" w:right="60" w:hanging="325"/>
        <w:spacing w:after="0" w:line="264" w:lineRule="auto"/>
        <w:tabs>
          <w:tab w:leader="none" w:pos="900" w:val="left"/>
        </w:tabs>
        <w:numPr>
          <w:ilvl w:val="0"/>
          <w:numId w:val="52"/>
        </w:numPr>
        <w:rPr>
          <w:rFonts w:ascii="Arial" w:cs="Arial" w:eastAsia="Arial" w:hAnsi="Arial"/>
          <w:sz w:val="18"/>
          <w:szCs w:val="18"/>
          <w:color w:val="auto"/>
        </w:rPr>
      </w:pPr>
      <w:r>
        <w:rPr>
          <w:rFonts w:ascii="Arial" w:cs="Arial" w:eastAsia="Arial" w:hAnsi="Arial"/>
          <w:sz w:val="18"/>
          <w:szCs w:val="18"/>
          <w:i w:val="1"/>
          <w:iCs w:val="1"/>
          <w:color w:val="auto"/>
        </w:rPr>
        <w:t>Benefits payment</w:t>
      </w:r>
      <w:r>
        <w:rPr>
          <w:rFonts w:ascii="Arial" w:cs="Arial" w:eastAsia="Arial" w:hAnsi="Arial"/>
          <w:sz w:val="18"/>
          <w:szCs w:val="18"/>
          <w:color w:val="auto"/>
        </w:rPr>
        <w:t>. The named executive officer would receive a lump sum cash payment, payable within 60 days of the date of termination, equal</w:t>
      </w:r>
      <w:r>
        <w:rPr>
          <w:rFonts w:ascii="Arial" w:cs="Arial" w:eastAsia="Arial" w:hAnsi="Arial"/>
          <w:sz w:val="18"/>
          <w:szCs w:val="18"/>
          <w:i w:val="1"/>
          <w:iCs w:val="1"/>
          <w:color w:val="auto"/>
        </w:rPr>
        <w:t xml:space="preserve"> </w:t>
      </w:r>
      <w:r>
        <w:rPr>
          <w:rFonts w:ascii="Arial" w:cs="Arial" w:eastAsia="Arial" w:hAnsi="Arial"/>
          <w:sz w:val="18"/>
          <w:szCs w:val="18"/>
          <w:color w:val="auto"/>
        </w:rPr>
        <w:t>to the monthly cost of the employer portion to provide the group medical, dental, vision, and/or prescription drug plan benefits the employee had been receiving before the termination, multiplied by 12.</w:t>
      </w:r>
    </w:p>
    <w:p>
      <w:pPr>
        <w:spacing w:after="0" w:line="86" w:lineRule="exact"/>
        <w:rPr>
          <w:rFonts w:ascii="Arial" w:cs="Arial" w:eastAsia="Arial" w:hAnsi="Arial"/>
          <w:sz w:val="18"/>
          <w:szCs w:val="18"/>
          <w:color w:val="auto"/>
        </w:rPr>
      </w:pPr>
    </w:p>
    <w:p>
      <w:pPr>
        <w:ind w:left="900" w:right="60" w:hanging="325"/>
        <w:spacing w:after="0" w:line="257" w:lineRule="auto"/>
        <w:tabs>
          <w:tab w:leader="none" w:pos="900" w:val="left"/>
        </w:tabs>
        <w:numPr>
          <w:ilvl w:val="0"/>
          <w:numId w:val="52"/>
        </w:numPr>
        <w:rPr>
          <w:rFonts w:ascii="Arial" w:cs="Arial" w:eastAsia="Arial" w:hAnsi="Arial"/>
          <w:sz w:val="18"/>
          <w:szCs w:val="18"/>
          <w:color w:val="auto"/>
        </w:rPr>
      </w:pPr>
      <w:r>
        <w:rPr>
          <w:rFonts w:ascii="Arial" w:cs="Arial" w:eastAsia="Arial" w:hAnsi="Arial"/>
          <w:sz w:val="18"/>
          <w:szCs w:val="18"/>
          <w:i w:val="1"/>
          <w:iCs w:val="1"/>
          <w:color w:val="auto"/>
        </w:rPr>
        <w:t>Partial vesting of time-based equity awards</w:t>
      </w:r>
      <w:r>
        <w:rPr>
          <w:rFonts w:ascii="Arial" w:cs="Arial" w:eastAsia="Arial" w:hAnsi="Arial"/>
          <w:sz w:val="18"/>
          <w:szCs w:val="18"/>
          <w:color w:val="auto"/>
        </w:rPr>
        <w:t>. Stock options, SARs, RSUs and other equity awards with time-based vesting restrictions held by the</w:t>
      </w:r>
      <w:r>
        <w:rPr>
          <w:rFonts w:ascii="Arial" w:cs="Arial" w:eastAsia="Arial" w:hAnsi="Arial"/>
          <w:sz w:val="18"/>
          <w:szCs w:val="18"/>
          <w:i w:val="1"/>
          <w:iCs w:val="1"/>
          <w:color w:val="auto"/>
        </w:rPr>
        <w:t xml:space="preserve"> </w:t>
      </w:r>
      <w:r>
        <w:rPr>
          <w:rFonts w:ascii="Arial" w:cs="Arial" w:eastAsia="Arial" w:hAnsi="Arial"/>
          <w:sz w:val="18"/>
          <w:szCs w:val="18"/>
          <w:color w:val="auto"/>
        </w:rPr>
        <w:t>named executive officer would become immediately vested as of the participant’s termination, but only with respect to a number of awards that otherwise would have become vested on the award’s next regularly scheduled vesting date based on continued employment (the remainder of such awards would be forfeited), and stock options and SARs would remain exercisable until the earlier of the first anniversary of the date of the qualified termination or the award’s regular expiration date.</w:t>
      </w:r>
    </w:p>
    <w:p>
      <w:pPr>
        <w:spacing w:after="0" w:line="93" w:lineRule="exact"/>
        <w:rPr>
          <w:rFonts w:ascii="Arial" w:cs="Arial" w:eastAsia="Arial" w:hAnsi="Arial"/>
          <w:sz w:val="18"/>
          <w:szCs w:val="18"/>
          <w:color w:val="auto"/>
        </w:rPr>
      </w:pPr>
    </w:p>
    <w:p>
      <w:pPr>
        <w:jc w:val="both"/>
        <w:ind w:left="900" w:right="60" w:hanging="325"/>
        <w:spacing w:after="0" w:line="286" w:lineRule="auto"/>
        <w:tabs>
          <w:tab w:leader="none" w:pos="900" w:val="left"/>
        </w:tabs>
        <w:numPr>
          <w:ilvl w:val="0"/>
          <w:numId w:val="52"/>
        </w:numPr>
        <w:rPr>
          <w:rFonts w:ascii="Arial" w:cs="Arial" w:eastAsia="Arial" w:hAnsi="Arial"/>
          <w:sz w:val="17"/>
          <w:szCs w:val="17"/>
          <w:color w:val="auto"/>
        </w:rPr>
      </w:pPr>
      <w:r>
        <w:rPr>
          <w:rFonts w:ascii="Arial" w:cs="Arial" w:eastAsia="Arial" w:hAnsi="Arial"/>
          <w:sz w:val="17"/>
          <w:szCs w:val="17"/>
          <w:i w:val="1"/>
          <w:iCs w:val="1"/>
          <w:color w:val="auto"/>
        </w:rPr>
        <w:t>Vesting of performance-based equity awards</w:t>
      </w:r>
      <w:r>
        <w:rPr>
          <w:rFonts w:ascii="Arial" w:cs="Arial" w:eastAsia="Arial" w:hAnsi="Arial"/>
          <w:sz w:val="17"/>
          <w:szCs w:val="17"/>
          <w:color w:val="auto"/>
        </w:rPr>
        <w:t>. Performance-based equity awards held by the named executive officer for at least 12 months would</w:t>
      </w:r>
      <w:r>
        <w:rPr>
          <w:rFonts w:ascii="Arial" w:cs="Arial" w:eastAsia="Arial" w:hAnsi="Arial"/>
          <w:sz w:val="17"/>
          <w:szCs w:val="17"/>
          <w:i w:val="1"/>
          <w:iCs w:val="1"/>
          <w:color w:val="auto"/>
        </w:rPr>
        <w:t xml:space="preserve"> </w:t>
      </w:r>
      <w:r>
        <w:rPr>
          <w:rFonts w:ascii="Arial" w:cs="Arial" w:eastAsia="Arial" w:hAnsi="Arial"/>
          <w:sz w:val="17"/>
          <w:szCs w:val="17"/>
          <w:color w:val="auto"/>
        </w:rPr>
        <w:t>remain outstanding and would be earned, if at all, based on actual performance through the end of the performance period, prorated to the nearest half-month to reflect the portion of the performance period year that had elapsed prior to the date of termination.</w:t>
      </w:r>
    </w:p>
    <w:p>
      <w:pPr>
        <w:spacing w:after="0" w:line="70" w:lineRule="exact"/>
        <w:rPr>
          <w:rFonts w:ascii="Arial" w:cs="Arial" w:eastAsia="Arial" w:hAnsi="Arial"/>
          <w:sz w:val="17"/>
          <w:szCs w:val="17"/>
          <w:color w:val="auto"/>
        </w:rPr>
      </w:pPr>
    </w:p>
    <w:p>
      <w:pPr>
        <w:ind w:left="900" w:right="100" w:hanging="325"/>
        <w:spacing w:after="0" w:line="342" w:lineRule="auto"/>
        <w:tabs>
          <w:tab w:leader="none" w:pos="900" w:val="left"/>
        </w:tabs>
        <w:numPr>
          <w:ilvl w:val="0"/>
          <w:numId w:val="52"/>
        </w:numPr>
        <w:rPr>
          <w:rFonts w:ascii="Arial" w:cs="Arial" w:eastAsia="Arial" w:hAnsi="Arial"/>
          <w:sz w:val="16"/>
          <w:szCs w:val="16"/>
          <w:color w:val="auto"/>
        </w:rPr>
      </w:pPr>
      <w:r>
        <w:rPr>
          <w:rFonts w:ascii="Arial" w:cs="Arial" w:eastAsia="Arial" w:hAnsi="Arial"/>
          <w:sz w:val="16"/>
          <w:szCs w:val="16"/>
          <w:i w:val="1"/>
          <w:iCs w:val="1"/>
          <w:color w:val="auto"/>
        </w:rPr>
        <w:t>Retirement plan provisions</w:t>
      </w:r>
      <w:r>
        <w:rPr>
          <w:rFonts w:ascii="Arial" w:cs="Arial" w:eastAsia="Arial" w:hAnsi="Arial"/>
          <w:sz w:val="16"/>
          <w:szCs w:val="16"/>
          <w:color w:val="auto"/>
        </w:rPr>
        <w:t>. The named executive officer would become fully vested in any funded or unfunded nonqualified pension, retirement</w:t>
      </w:r>
      <w:r>
        <w:rPr>
          <w:rFonts w:ascii="Arial" w:cs="Arial" w:eastAsia="Arial" w:hAnsi="Arial"/>
          <w:sz w:val="16"/>
          <w:szCs w:val="16"/>
          <w:i w:val="1"/>
          <w:iCs w:val="1"/>
          <w:color w:val="auto"/>
        </w:rPr>
        <w:t xml:space="preserve"> </w:t>
      </w:r>
      <w:r>
        <w:rPr>
          <w:rFonts w:ascii="Arial" w:cs="Arial" w:eastAsia="Arial" w:hAnsi="Arial"/>
          <w:sz w:val="16"/>
          <w:szCs w:val="16"/>
          <w:color w:val="auto"/>
        </w:rPr>
        <w:t>or deferred compensation plans in which he or she participates, provided he or she has been employed by the company for at least five years.</w:t>
      </w:r>
    </w:p>
    <w:p>
      <w:pPr>
        <w:spacing w:after="0" w:line="124" w:lineRule="exact"/>
        <w:rPr>
          <w:sz w:val="20"/>
          <w:szCs w:val="20"/>
          <w:color w:val="auto"/>
        </w:rPr>
      </w:pPr>
    </w:p>
    <w:p>
      <w:pPr>
        <w:ind w:right="20" w:firstLine="456"/>
        <w:spacing w:after="0" w:line="264" w:lineRule="auto"/>
        <w:rPr>
          <w:sz w:val="20"/>
          <w:szCs w:val="20"/>
          <w:color w:val="auto"/>
        </w:rPr>
      </w:pPr>
      <w:r>
        <w:rPr>
          <w:rFonts w:ascii="Arial" w:cs="Arial" w:eastAsia="Arial" w:hAnsi="Arial"/>
          <w:sz w:val="18"/>
          <w:szCs w:val="18"/>
          <w:color w:val="auto"/>
        </w:rPr>
        <w:t>To receive severance benefits under the 2015 Severance Plan, the executive would have to execute and deliver to us a general release of claims and agree to certain restrictive covenants, including a 12-month non-compete provision, 24-month restrictions on the solicitation of customers and employees, and restrictions on the use of confidential information.</w:t>
      </w:r>
    </w:p>
    <w:p>
      <w:pPr>
        <w:spacing w:after="0" w:line="181" w:lineRule="exact"/>
        <w:rPr>
          <w:sz w:val="20"/>
          <w:szCs w:val="20"/>
          <w:color w:val="auto"/>
        </w:rPr>
      </w:pPr>
    </w:p>
    <w:p>
      <w:pPr>
        <w:ind w:right="320" w:firstLine="456"/>
        <w:spacing w:after="0" w:line="342" w:lineRule="auto"/>
        <w:rPr>
          <w:sz w:val="20"/>
          <w:szCs w:val="20"/>
          <w:color w:val="auto"/>
        </w:rPr>
      </w:pPr>
      <w:r>
        <w:rPr>
          <w:rFonts w:ascii="Arial" w:cs="Arial" w:eastAsia="Arial" w:hAnsi="Arial"/>
          <w:sz w:val="16"/>
          <w:szCs w:val="16"/>
          <w:color w:val="auto"/>
        </w:rPr>
        <w:t>The following table summarizes the payments and benefits that would have been payable to the named executive officers under the 2015 Severance Plan and other retention incentives in the event of a termination without “cause” or by the executive for “good reason” on December 31, 2016.</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920" w:type="dxa"/>
            <w:vAlign w:val="bottom"/>
            <w:gridSpan w:val="2"/>
          </w:tcPr>
          <w:p>
            <w:pPr>
              <w:spacing w:after="0"/>
              <w:rPr>
                <w:sz w:val="20"/>
                <w:szCs w:val="20"/>
                <w:color w:val="auto"/>
              </w:rPr>
            </w:pPr>
            <w:r>
              <w:rPr>
                <w:rFonts w:ascii="Arial" w:cs="Arial" w:eastAsia="Arial" w:hAnsi="Arial"/>
                <w:sz w:val="14"/>
                <w:szCs w:val="14"/>
                <w:b w:val="1"/>
                <w:bCs w:val="1"/>
                <w:color w:val="auto"/>
                <w:w w:val="95"/>
              </w:rPr>
              <w:t>Mr. McInerney</w:t>
            </w:r>
          </w:p>
        </w:tc>
        <w:tc>
          <w:tcPr>
            <w:tcW w:w="400" w:type="dxa"/>
            <w:vAlign w:val="bottom"/>
          </w:tcPr>
          <w:p>
            <w:pPr>
              <w:spacing w:after="0"/>
              <w:rPr>
                <w:sz w:val="14"/>
                <w:szCs w:val="14"/>
                <w:color w:val="auto"/>
              </w:rPr>
            </w:pPr>
          </w:p>
        </w:tc>
        <w:tc>
          <w:tcPr>
            <w:tcW w:w="1220" w:type="dxa"/>
            <w:vAlign w:val="bottom"/>
            <w:gridSpan w:val="2"/>
          </w:tcPr>
          <w:p>
            <w:pPr>
              <w:ind w:left="120"/>
              <w:spacing w:after="0"/>
              <w:rPr>
                <w:sz w:val="20"/>
                <w:szCs w:val="20"/>
                <w:color w:val="auto"/>
              </w:rPr>
            </w:pPr>
            <w:r>
              <w:rPr>
                <w:rFonts w:ascii="Arial" w:cs="Arial" w:eastAsia="Arial" w:hAnsi="Arial"/>
                <w:sz w:val="14"/>
                <w:szCs w:val="14"/>
                <w:b w:val="1"/>
                <w:bCs w:val="1"/>
                <w:color w:val="auto"/>
              </w:rPr>
              <w:t>Ms. Groh</w:t>
            </w:r>
          </w:p>
        </w:tc>
        <w:tc>
          <w:tcPr>
            <w:tcW w:w="126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w w:val="90"/>
              </w:rPr>
              <w:t>Mr. Schneider</w:t>
            </w:r>
          </w:p>
        </w:tc>
        <w:tc>
          <w:tcPr>
            <w:tcW w:w="1220" w:type="dxa"/>
            <w:vAlign w:val="bottom"/>
            <w:gridSpan w:val="3"/>
          </w:tcPr>
          <w:p>
            <w:pPr>
              <w:jc w:val="right"/>
              <w:ind w:right="480"/>
              <w:spacing w:after="0"/>
              <w:rPr>
                <w:sz w:val="20"/>
                <w:szCs w:val="20"/>
                <w:color w:val="auto"/>
              </w:rPr>
            </w:pPr>
            <w:r>
              <w:rPr>
                <w:rFonts w:ascii="Arial" w:cs="Arial" w:eastAsia="Arial" w:hAnsi="Arial"/>
                <w:sz w:val="14"/>
                <w:szCs w:val="14"/>
                <w:b w:val="1"/>
                <w:bCs w:val="1"/>
                <w:color w:val="auto"/>
              </w:rPr>
              <w:t>Mr. Bobitz</w:t>
            </w:r>
          </w:p>
        </w:tc>
        <w:tc>
          <w:tcPr>
            <w:tcW w:w="900" w:type="dxa"/>
            <w:vAlign w:val="bottom"/>
            <w:gridSpan w:val="2"/>
          </w:tcPr>
          <w:p>
            <w:pPr>
              <w:ind w:left="20"/>
              <w:spacing w:after="0"/>
              <w:rPr>
                <w:sz w:val="20"/>
                <w:szCs w:val="20"/>
                <w:color w:val="auto"/>
              </w:rPr>
            </w:pPr>
            <w:r>
              <w:rPr>
                <w:rFonts w:ascii="Arial" w:cs="Arial" w:eastAsia="Arial" w:hAnsi="Arial"/>
                <w:sz w:val="14"/>
                <w:szCs w:val="14"/>
                <w:b w:val="1"/>
                <w:bCs w:val="1"/>
                <w:color w:val="auto"/>
              </w:rPr>
              <w:t>Mr. Sheehan</w:t>
            </w:r>
          </w:p>
        </w:tc>
      </w:tr>
      <w:tr>
        <w:trPr>
          <w:trHeight w:val="210"/>
        </w:trPr>
        <w:tc>
          <w:tcPr>
            <w:tcW w:w="54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 xml:space="preserve">Cash Severance </w:t>
            </w:r>
            <w:r>
              <w:rPr>
                <w:rFonts w:ascii="Arial" w:cs="Arial" w:eastAsia="Arial" w:hAnsi="Arial"/>
                <w:sz w:val="15"/>
                <w:szCs w:val="15"/>
                <w:color w:val="auto"/>
              </w:rPr>
              <w:t>(1)</w:t>
            </w: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6,000,000</w:t>
            </w:r>
          </w:p>
        </w:tc>
        <w:tc>
          <w:tcPr>
            <w:tcW w:w="40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$1,100,000</w:t>
            </w:r>
          </w:p>
        </w:tc>
        <w:tc>
          <w:tcPr>
            <w:tcW w:w="40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$ 1,812,500</w:t>
            </w:r>
          </w:p>
        </w:tc>
        <w:tc>
          <w:tcPr>
            <w:tcW w:w="4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850,000</w:t>
            </w:r>
          </w:p>
        </w:tc>
        <w:tc>
          <w:tcPr>
            <w:tcW w:w="40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$ 1,650,000</w:t>
            </w:r>
          </w:p>
        </w:tc>
        <w:tc>
          <w:tcPr>
            <w:tcW w:w="60" w:type="dxa"/>
            <w:vAlign w:val="bottom"/>
            <w:tcBorders>
              <w:top w:val="single" w:sz="8" w:color="CCEEFF"/>
            </w:tcBorders>
            <w:shd w:val="clear" w:color="auto" w:fill="CCEEFF"/>
          </w:tcPr>
          <w:p>
            <w:pPr>
              <w:spacing w:after="0"/>
              <w:rPr>
                <w:sz w:val="18"/>
                <w:szCs w:val="18"/>
                <w:color w:val="auto"/>
              </w:rPr>
            </w:pPr>
          </w:p>
        </w:tc>
      </w:tr>
      <w:tr>
        <w:trPr>
          <w:trHeight w:val="216"/>
        </w:trPr>
        <w:tc>
          <w:tcPr>
            <w:tcW w:w="5480" w:type="dxa"/>
            <w:vAlign w:val="bottom"/>
          </w:tcPr>
          <w:p>
            <w:pPr>
              <w:spacing w:after="0"/>
              <w:rPr>
                <w:sz w:val="20"/>
                <w:szCs w:val="20"/>
                <w:color w:val="auto"/>
              </w:rPr>
            </w:pPr>
            <w:r>
              <w:rPr>
                <w:rFonts w:ascii="Arial" w:cs="Arial" w:eastAsia="Arial" w:hAnsi="Arial"/>
                <w:sz w:val="18"/>
                <w:szCs w:val="18"/>
                <w:color w:val="auto"/>
              </w:rPr>
              <w:t xml:space="preserve">Annual Incentive </w:t>
            </w:r>
            <w:r>
              <w:rPr>
                <w:rFonts w:ascii="Arial" w:cs="Arial" w:eastAsia="Arial" w:hAnsi="Arial"/>
                <w:sz w:val="15"/>
                <w:szCs w:val="15"/>
                <w:color w:val="auto"/>
              </w:rPr>
              <w:t>(2)</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4"/>
              </w:rPr>
              <w:t>3,000,000</w:t>
            </w:r>
          </w:p>
        </w:tc>
        <w:tc>
          <w:tcPr>
            <w:tcW w:w="1620" w:type="dxa"/>
            <w:vAlign w:val="bottom"/>
            <w:gridSpan w:val="3"/>
          </w:tcPr>
          <w:p>
            <w:pPr>
              <w:jc w:val="right"/>
              <w:ind w:right="400"/>
              <w:spacing w:after="0"/>
              <w:rPr>
                <w:sz w:val="20"/>
                <w:szCs w:val="20"/>
                <w:color w:val="auto"/>
              </w:rPr>
            </w:pPr>
            <w:r>
              <w:rPr>
                <w:rFonts w:ascii="Arial" w:cs="Arial" w:eastAsia="Arial" w:hAnsi="Arial"/>
                <w:sz w:val="18"/>
                <w:szCs w:val="18"/>
                <w:color w:val="auto"/>
              </w:rPr>
              <w:t>850,000</w:t>
            </w:r>
          </w:p>
        </w:tc>
        <w:tc>
          <w:tcPr>
            <w:tcW w:w="1260" w:type="dxa"/>
            <w:vAlign w:val="bottom"/>
            <w:gridSpan w:val="2"/>
          </w:tcPr>
          <w:p>
            <w:pPr>
              <w:jc w:val="right"/>
              <w:ind w:right="400"/>
              <w:spacing w:after="0"/>
              <w:rPr>
                <w:sz w:val="20"/>
                <w:szCs w:val="20"/>
                <w:color w:val="auto"/>
              </w:rPr>
            </w:pPr>
            <w:r>
              <w:rPr>
                <w:rFonts w:ascii="Arial" w:cs="Arial" w:eastAsia="Arial" w:hAnsi="Arial"/>
                <w:sz w:val="18"/>
                <w:szCs w:val="18"/>
                <w:color w:val="auto"/>
              </w:rPr>
              <w:t>1,500,000</w:t>
            </w:r>
          </w:p>
        </w:tc>
        <w:tc>
          <w:tcPr>
            <w:tcW w:w="100" w:type="dxa"/>
            <w:vAlign w:val="bottom"/>
          </w:tcPr>
          <w:p>
            <w:pPr>
              <w:spacing w:after="0"/>
              <w:rPr>
                <w:sz w:val="18"/>
                <w:szCs w:val="18"/>
                <w:color w:val="auto"/>
              </w:rPr>
            </w:pPr>
          </w:p>
        </w:tc>
        <w:tc>
          <w:tcPr>
            <w:tcW w:w="1120" w:type="dxa"/>
            <w:vAlign w:val="bottom"/>
            <w:gridSpan w:val="2"/>
          </w:tcPr>
          <w:p>
            <w:pPr>
              <w:jc w:val="right"/>
              <w:ind w:right="400"/>
              <w:spacing w:after="0"/>
              <w:rPr>
                <w:sz w:val="20"/>
                <w:szCs w:val="20"/>
                <w:color w:val="auto"/>
              </w:rPr>
            </w:pPr>
            <w:r>
              <w:rPr>
                <w:rFonts w:ascii="Arial" w:cs="Arial" w:eastAsia="Arial" w:hAnsi="Arial"/>
                <w:sz w:val="18"/>
                <w:szCs w:val="18"/>
                <w:color w:val="auto"/>
              </w:rPr>
              <w:t>750,000</w:t>
            </w:r>
          </w:p>
        </w:tc>
        <w:tc>
          <w:tcPr>
            <w:tcW w:w="840" w:type="dxa"/>
            <w:vAlign w:val="bottom"/>
          </w:tcPr>
          <w:p>
            <w:pPr>
              <w:jc w:val="right"/>
              <w:spacing w:after="0"/>
              <w:rPr>
                <w:sz w:val="20"/>
                <w:szCs w:val="20"/>
                <w:color w:val="auto"/>
              </w:rPr>
            </w:pPr>
            <w:r>
              <w:rPr>
                <w:rFonts w:ascii="Arial" w:cs="Arial" w:eastAsia="Arial" w:hAnsi="Arial"/>
                <w:sz w:val="18"/>
                <w:szCs w:val="18"/>
                <w:color w:val="auto"/>
              </w:rPr>
              <w:t>1,900,000</w:t>
            </w:r>
          </w:p>
        </w:tc>
        <w:tc>
          <w:tcPr>
            <w:tcW w:w="60" w:type="dxa"/>
            <w:vAlign w:val="bottom"/>
          </w:tcPr>
          <w:p>
            <w:pPr>
              <w:spacing w:after="0"/>
              <w:rPr>
                <w:sz w:val="18"/>
                <w:szCs w:val="18"/>
                <w:color w:val="auto"/>
              </w:rPr>
            </w:pPr>
          </w:p>
        </w:tc>
      </w:tr>
      <w:tr>
        <w:trPr>
          <w:trHeight w:val="216"/>
        </w:trPr>
        <w:tc>
          <w:tcPr>
            <w:tcW w:w="5480" w:type="dxa"/>
            <w:vAlign w:val="bottom"/>
            <w:shd w:val="clear" w:color="auto" w:fill="CCEEFF"/>
          </w:tcPr>
          <w:p>
            <w:pPr>
              <w:spacing w:after="0"/>
              <w:rPr>
                <w:sz w:val="20"/>
                <w:szCs w:val="20"/>
                <w:color w:val="auto"/>
              </w:rPr>
            </w:pPr>
            <w:r>
              <w:rPr>
                <w:rFonts w:ascii="Arial" w:cs="Arial" w:eastAsia="Arial" w:hAnsi="Arial"/>
                <w:sz w:val="18"/>
                <w:szCs w:val="18"/>
                <w:color w:val="auto"/>
              </w:rPr>
              <w:t xml:space="preserve">Retention Incentive </w:t>
            </w:r>
            <w:r>
              <w:rPr>
                <w:rFonts w:ascii="Arial" w:cs="Arial" w:eastAsia="Arial" w:hAnsi="Arial"/>
                <w:sz w:val="15"/>
                <w:szCs w:val="15"/>
                <w:color w:val="auto"/>
              </w:rPr>
              <w:t>(3)</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2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600,000</w:t>
            </w:r>
          </w:p>
        </w:tc>
        <w:tc>
          <w:tcPr>
            <w:tcW w:w="12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1,000,000</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425,000</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1,000,000</w:t>
            </w:r>
          </w:p>
        </w:tc>
        <w:tc>
          <w:tcPr>
            <w:tcW w:w="60" w:type="dxa"/>
            <w:vAlign w:val="bottom"/>
            <w:shd w:val="clear" w:color="auto" w:fill="CCEEFF"/>
          </w:tcPr>
          <w:p>
            <w:pPr>
              <w:spacing w:after="0"/>
              <w:rPr>
                <w:sz w:val="18"/>
                <w:szCs w:val="18"/>
                <w:color w:val="auto"/>
              </w:rPr>
            </w:pPr>
          </w:p>
        </w:tc>
      </w:tr>
      <w:tr>
        <w:trPr>
          <w:trHeight w:val="216"/>
        </w:trPr>
        <w:tc>
          <w:tcPr>
            <w:tcW w:w="5480" w:type="dxa"/>
            <w:vAlign w:val="bottom"/>
          </w:tcPr>
          <w:p>
            <w:pPr>
              <w:spacing w:after="0"/>
              <w:rPr>
                <w:sz w:val="20"/>
                <w:szCs w:val="20"/>
                <w:color w:val="auto"/>
              </w:rPr>
            </w:pPr>
            <w:r>
              <w:rPr>
                <w:rFonts w:ascii="Arial" w:cs="Arial" w:eastAsia="Arial" w:hAnsi="Arial"/>
                <w:sz w:val="18"/>
                <w:szCs w:val="18"/>
                <w:color w:val="auto"/>
              </w:rPr>
              <w:t xml:space="preserve">Payments Related to Health Benefits </w:t>
            </w:r>
            <w:r>
              <w:rPr>
                <w:rFonts w:ascii="Arial" w:cs="Arial" w:eastAsia="Arial" w:hAnsi="Arial"/>
                <w:sz w:val="15"/>
                <w:szCs w:val="15"/>
                <w:color w:val="auto"/>
              </w:rPr>
              <w:t>(4)</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3,495</w:t>
            </w:r>
          </w:p>
        </w:tc>
        <w:tc>
          <w:tcPr>
            <w:tcW w:w="1620" w:type="dxa"/>
            <w:vAlign w:val="bottom"/>
            <w:gridSpan w:val="3"/>
          </w:tcPr>
          <w:p>
            <w:pPr>
              <w:jc w:val="right"/>
              <w:ind w:right="400"/>
              <w:spacing w:after="0"/>
              <w:rPr>
                <w:sz w:val="20"/>
                <w:szCs w:val="20"/>
                <w:color w:val="auto"/>
              </w:rPr>
            </w:pPr>
            <w:r>
              <w:rPr>
                <w:rFonts w:ascii="Arial" w:cs="Arial" w:eastAsia="Arial" w:hAnsi="Arial"/>
                <w:sz w:val="18"/>
                <w:szCs w:val="18"/>
                <w:color w:val="auto"/>
              </w:rPr>
              <w:t>6,565</w:t>
            </w:r>
          </w:p>
        </w:tc>
        <w:tc>
          <w:tcPr>
            <w:tcW w:w="1260" w:type="dxa"/>
            <w:vAlign w:val="bottom"/>
            <w:gridSpan w:val="2"/>
          </w:tcPr>
          <w:p>
            <w:pPr>
              <w:jc w:val="right"/>
              <w:ind w:right="400"/>
              <w:spacing w:after="0"/>
              <w:rPr>
                <w:sz w:val="20"/>
                <w:szCs w:val="20"/>
                <w:color w:val="auto"/>
              </w:rPr>
            </w:pPr>
            <w:r>
              <w:rPr>
                <w:rFonts w:ascii="Arial" w:cs="Arial" w:eastAsia="Arial" w:hAnsi="Arial"/>
                <w:sz w:val="18"/>
                <w:szCs w:val="18"/>
                <w:color w:val="auto"/>
              </w:rPr>
              <w:t>11,833</w:t>
            </w:r>
          </w:p>
        </w:tc>
        <w:tc>
          <w:tcPr>
            <w:tcW w:w="100" w:type="dxa"/>
            <w:vAlign w:val="bottom"/>
          </w:tcPr>
          <w:p>
            <w:pPr>
              <w:spacing w:after="0"/>
              <w:rPr>
                <w:sz w:val="18"/>
                <w:szCs w:val="18"/>
                <w:color w:val="auto"/>
              </w:rPr>
            </w:pPr>
          </w:p>
        </w:tc>
        <w:tc>
          <w:tcPr>
            <w:tcW w:w="112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14,622</w:t>
            </w:r>
          </w:p>
        </w:tc>
      </w:tr>
      <w:tr>
        <w:trPr>
          <w:trHeight w:val="216"/>
        </w:trPr>
        <w:tc>
          <w:tcPr>
            <w:tcW w:w="5480" w:type="dxa"/>
            <w:vAlign w:val="bottom"/>
            <w:shd w:val="clear" w:color="auto" w:fill="CCEEFF"/>
          </w:tcPr>
          <w:p>
            <w:pPr>
              <w:spacing w:after="0"/>
              <w:rPr>
                <w:sz w:val="20"/>
                <w:szCs w:val="20"/>
                <w:color w:val="auto"/>
              </w:rPr>
            </w:pPr>
            <w:r>
              <w:rPr>
                <w:rFonts w:ascii="Arial" w:cs="Arial" w:eastAsia="Arial" w:hAnsi="Arial"/>
                <w:sz w:val="18"/>
                <w:szCs w:val="18"/>
                <w:color w:val="auto"/>
              </w:rPr>
              <w:t xml:space="preserve">SAR and Option Vesting </w:t>
            </w:r>
            <w:r>
              <w:rPr>
                <w:rFonts w:ascii="Arial" w:cs="Arial" w:eastAsia="Arial" w:hAnsi="Arial"/>
                <w:sz w:val="15"/>
                <w:szCs w:val="15"/>
                <w:color w:val="auto"/>
              </w:rPr>
              <w:t>(5)</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w:t>
            </w:r>
          </w:p>
        </w:tc>
      </w:tr>
      <w:tr>
        <w:trPr>
          <w:trHeight w:val="216"/>
        </w:trPr>
        <w:tc>
          <w:tcPr>
            <w:tcW w:w="5480" w:type="dxa"/>
            <w:vAlign w:val="bottom"/>
          </w:tcPr>
          <w:p>
            <w:pPr>
              <w:spacing w:after="0"/>
              <w:rPr>
                <w:sz w:val="20"/>
                <w:szCs w:val="20"/>
                <w:color w:val="auto"/>
              </w:rPr>
            </w:pPr>
            <w:r>
              <w:rPr>
                <w:rFonts w:ascii="Arial" w:cs="Arial" w:eastAsia="Arial" w:hAnsi="Arial"/>
                <w:sz w:val="18"/>
                <w:szCs w:val="18"/>
                <w:color w:val="auto"/>
              </w:rPr>
              <w:t xml:space="preserve">RSU Vesting </w:t>
            </w:r>
            <w:r>
              <w:rPr>
                <w:rFonts w:ascii="Arial" w:cs="Arial" w:eastAsia="Arial" w:hAnsi="Arial"/>
                <w:sz w:val="15"/>
                <w:szCs w:val="15"/>
                <w:color w:val="auto"/>
              </w:rPr>
              <w:t>(6)</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620" w:type="dxa"/>
            <w:vAlign w:val="bottom"/>
            <w:gridSpan w:val="3"/>
          </w:tcPr>
          <w:p>
            <w:pPr>
              <w:jc w:val="right"/>
              <w:ind w:right="400"/>
              <w:spacing w:after="0"/>
              <w:rPr>
                <w:sz w:val="20"/>
                <w:szCs w:val="20"/>
                <w:color w:val="auto"/>
              </w:rPr>
            </w:pPr>
            <w:r>
              <w:rPr>
                <w:rFonts w:ascii="Arial" w:cs="Arial" w:eastAsia="Arial" w:hAnsi="Arial"/>
                <w:sz w:val="18"/>
                <w:szCs w:val="18"/>
                <w:color w:val="auto"/>
              </w:rPr>
              <w:t>282,793</w:t>
            </w:r>
          </w:p>
        </w:tc>
        <w:tc>
          <w:tcPr>
            <w:tcW w:w="1260" w:type="dxa"/>
            <w:vAlign w:val="bottom"/>
            <w:gridSpan w:val="2"/>
          </w:tcPr>
          <w:p>
            <w:pPr>
              <w:jc w:val="right"/>
              <w:ind w:right="400"/>
              <w:spacing w:after="0"/>
              <w:rPr>
                <w:sz w:val="20"/>
                <w:szCs w:val="20"/>
                <w:color w:val="auto"/>
              </w:rPr>
            </w:pPr>
            <w:r>
              <w:rPr>
                <w:rFonts w:ascii="Arial" w:cs="Arial" w:eastAsia="Arial" w:hAnsi="Arial"/>
                <w:sz w:val="18"/>
                <w:szCs w:val="18"/>
                <w:color w:val="auto"/>
              </w:rPr>
              <w:t>565,153</w:t>
            </w:r>
          </w:p>
        </w:tc>
        <w:tc>
          <w:tcPr>
            <w:tcW w:w="100" w:type="dxa"/>
            <w:vAlign w:val="bottom"/>
          </w:tcPr>
          <w:p>
            <w:pPr>
              <w:spacing w:after="0"/>
              <w:rPr>
                <w:sz w:val="18"/>
                <w:szCs w:val="18"/>
                <w:color w:val="auto"/>
              </w:rPr>
            </w:pPr>
          </w:p>
        </w:tc>
        <w:tc>
          <w:tcPr>
            <w:tcW w:w="1120" w:type="dxa"/>
            <w:vAlign w:val="bottom"/>
            <w:gridSpan w:val="2"/>
          </w:tcPr>
          <w:p>
            <w:pPr>
              <w:jc w:val="right"/>
              <w:ind w:right="400"/>
              <w:spacing w:after="0"/>
              <w:rPr>
                <w:sz w:val="20"/>
                <w:szCs w:val="20"/>
                <w:color w:val="auto"/>
              </w:rPr>
            </w:pPr>
            <w:r>
              <w:rPr>
                <w:rFonts w:ascii="Arial" w:cs="Arial" w:eastAsia="Arial" w:hAnsi="Arial"/>
                <w:sz w:val="18"/>
                <w:szCs w:val="18"/>
                <w:color w:val="auto"/>
              </w:rPr>
              <w:t>158,382</w:t>
            </w:r>
          </w:p>
        </w:tc>
        <w:tc>
          <w:tcPr>
            <w:tcW w:w="840" w:type="dxa"/>
            <w:vAlign w:val="bottom"/>
          </w:tcPr>
          <w:p>
            <w:pPr>
              <w:jc w:val="right"/>
              <w:spacing w:after="0"/>
              <w:rPr>
                <w:sz w:val="20"/>
                <w:szCs w:val="20"/>
                <w:color w:val="auto"/>
              </w:rPr>
            </w:pPr>
            <w:r>
              <w:rPr>
                <w:rFonts w:ascii="Arial" w:cs="Arial" w:eastAsia="Arial" w:hAnsi="Arial"/>
                <w:sz w:val="18"/>
                <w:szCs w:val="18"/>
                <w:color w:val="auto"/>
              </w:rPr>
              <w:t>546,103</w:t>
            </w:r>
          </w:p>
        </w:tc>
        <w:tc>
          <w:tcPr>
            <w:tcW w:w="60" w:type="dxa"/>
            <w:vAlign w:val="bottom"/>
          </w:tcPr>
          <w:p>
            <w:pPr>
              <w:spacing w:after="0"/>
              <w:rPr>
                <w:sz w:val="18"/>
                <w:szCs w:val="18"/>
                <w:color w:val="auto"/>
              </w:rPr>
            </w:pPr>
          </w:p>
        </w:tc>
      </w:tr>
      <w:tr>
        <w:trPr>
          <w:trHeight w:val="216"/>
        </w:trPr>
        <w:tc>
          <w:tcPr>
            <w:tcW w:w="5480" w:type="dxa"/>
            <w:vAlign w:val="bottom"/>
            <w:shd w:val="clear" w:color="auto" w:fill="CCEEFF"/>
          </w:tcPr>
          <w:p>
            <w:pPr>
              <w:spacing w:after="0"/>
              <w:rPr>
                <w:sz w:val="20"/>
                <w:szCs w:val="20"/>
                <w:color w:val="auto"/>
              </w:rPr>
            </w:pPr>
            <w:r>
              <w:rPr>
                <w:rFonts w:ascii="Arial" w:cs="Arial" w:eastAsia="Arial" w:hAnsi="Arial"/>
                <w:sz w:val="18"/>
                <w:szCs w:val="18"/>
                <w:color w:val="auto"/>
              </w:rPr>
              <w:t xml:space="preserve">PSU Vesting </w:t>
            </w:r>
            <w:r>
              <w:rPr>
                <w:rFonts w:ascii="Arial" w:cs="Arial" w:eastAsia="Arial" w:hAnsi="Arial"/>
                <w:sz w:val="15"/>
                <w:szCs w:val="15"/>
                <w:color w:val="auto"/>
              </w:rPr>
              <w:t>(7)</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127,000</w:t>
            </w:r>
          </w:p>
        </w:tc>
        <w:tc>
          <w:tcPr>
            <w:tcW w:w="40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133,350</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44,450</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88,900</w:t>
            </w:r>
          </w:p>
        </w:tc>
      </w:tr>
      <w:tr>
        <w:trPr>
          <w:trHeight w:val="216"/>
        </w:trPr>
        <w:tc>
          <w:tcPr>
            <w:tcW w:w="5480" w:type="dxa"/>
            <w:vAlign w:val="bottom"/>
          </w:tcPr>
          <w:p>
            <w:pPr>
              <w:spacing w:after="0"/>
              <w:rPr>
                <w:sz w:val="20"/>
                <w:szCs w:val="20"/>
                <w:color w:val="auto"/>
              </w:rPr>
            </w:pPr>
            <w:r>
              <w:rPr>
                <w:rFonts w:ascii="Arial" w:cs="Arial" w:eastAsia="Arial" w:hAnsi="Arial"/>
                <w:sz w:val="18"/>
                <w:szCs w:val="18"/>
                <w:color w:val="auto"/>
              </w:rPr>
              <w:t xml:space="preserve">SERP Vesting </w:t>
            </w:r>
            <w:r>
              <w:rPr>
                <w:rFonts w:ascii="Arial" w:cs="Arial" w:eastAsia="Arial" w:hAnsi="Arial"/>
                <w:sz w:val="15"/>
                <w:szCs w:val="15"/>
                <w:color w:val="auto"/>
              </w:rPr>
              <w:t>(8)</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620" w:type="dxa"/>
            <w:vAlign w:val="bottom"/>
            <w:gridSpan w:val="3"/>
          </w:tcPr>
          <w:p>
            <w:pPr>
              <w:jc w:val="right"/>
              <w:ind w:right="400"/>
              <w:spacing w:after="0"/>
              <w:rPr>
                <w:sz w:val="20"/>
                <w:szCs w:val="20"/>
                <w:color w:val="auto"/>
              </w:rPr>
            </w:pPr>
            <w:r>
              <w:rPr>
                <w:rFonts w:ascii="Arial" w:cs="Arial" w:eastAsia="Arial" w:hAnsi="Arial"/>
                <w:sz w:val="18"/>
                <w:szCs w:val="18"/>
                <w:color w:val="auto"/>
              </w:rPr>
              <w:t>659,201</w:t>
            </w:r>
          </w:p>
        </w:tc>
        <w:tc>
          <w:tcPr>
            <w:tcW w:w="1260" w:type="dxa"/>
            <w:vAlign w:val="bottom"/>
            <w:gridSpan w:val="2"/>
          </w:tcPr>
          <w:p>
            <w:pPr>
              <w:jc w:val="right"/>
              <w:ind w:right="400"/>
              <w:spacing w:after="0"/>
              <w:rPr>
                <w:sz w:val="20"/>
                <w:szCs w:val="20"/>
                <w:color w:val="auto"/>
              </w:rPr>
            </w:pPr>
            <w:r>
              <w:rPr>
                <w:rFonts w:ascii="Arial" w:cs="Arial" w:eastAsia="Arial" w:hAnsi="Arial"/>
                <w:sz w:val="18"/>
                <w:szCs w:val="18"/>
                <w:color w:val="auto"/>
              </w:rPr>
              <w:t>2,988,165</w:t>
            </w:r>
          </w:p>
        </w:tc>
        <w:tc>
          <w:tcPr>
            <w:tcW w:w="100" w:type="dxa"/>
            <w:vAlign w:val="bottom"/>
          </w:tcPr>
          <w:p>
            <w:pPr>
              <w:spacing w:after="0"/>
              <w:rPr>
                <w:sz w:val="18"/>
                <w:szCs w:val="18"/>
                <w:color w:val="auto"/>
              </w:rPr>
            </w:pPr>
          </w:p>
        </w:tc>
        <w:tc>
          <w:tcPr>
            <w:tcW w:w="1120" w:type="dxa"/>
            <w:vAlign w:val="bottom"/>
            <w:gridSpan w:val="2"/>
          </w:tcPr>
          <w:p>
            <w:pPr>
              <w:jc w:val="right"/>
              <w:ind w:right="400"/>
              <w:spacing w:after="0"/>
              <w:rPr>
                <w:sz w:val="20"/>
                <w:szCs w:val="20"/>
                <w:color w:val="auto"/>
              </w:rPr>
            </w:pPr>
            <w:r>
              <w:rPr>
                <w:rFonts w:ascii="Arial" w:cs="Arial" w:eastAsia="Arial" w:hAnsi="Arial"/>
                <w:sz w:val="18"/>
                <w:szCs w:val="18"/>
                <w:color w:val="auto"/>
              </w:rPr>
              <w:t>988,168</w:t>
            </w:r>
          </w:p>
        </w:tc>
        <w:tc>
          <w:tcPr>
            <w:tcW w:w="840" w:type="dxa"/>
            <w:vAlign w:val="bottom"/>
          </w:tcPr>
          <w:p>
            <w:pPr>
              <w:jc w:val="right"/>
              <w:spacing w:after="0"/>
              <w:rPr>
                <w:sz w:val="20"/>
                <w:szCs w:val="20"/>
                <w:color w:val="auto"/>
              </w:rPr>
            </w:pPr>
            <w:r>
              <w:rPr>
                <w:rFonts w:ascii="Arial" w:cs="Arial" w:eastAsia="Arial" w:hAnsi="Arial"/>
                <w:sz w:val="18"/>
                <w:szCs w:val="18"/>
                <w:color w:val="auto"/>
              </w:rPr>
              <w:t>2,557,025</w:t>
            </w:r>
          </w:p>
        </w:tc>
        <w:tc>
          <w:tcPr>
            <w:tcW w:w="60" w:type="dxa"/>
            <w:vAlign w:val="bottom"/>
          </w:tcPr>
          <w:p>
            <w:pPr>
              <w:spacing w:after="0"/>
              <w:rPr>
                <w:sz w:val="18"/>
                <w:szCs w:val="18"/>
                <w:color w:val="auto"/>
              </w:rPr>
            </w:pPr>
          </w:p>
        </w:tc>
      </w:tr>
      <w:tr>
        <w:trPr>
          <w:trHeight w:val="216"/>
        </w:trPr>
        <w:tc>
          <w:tcPr>
            <w:tcW w:w="5480" w:type="dxa"/>
            <w:vAlign w:val="bottom"/>
            <w:shd w:val="clear" w:color="auto" w:fill="CCEEFF"/>
          </w:tcPr>
          <w:p>
            <w:pPr>
              <w:spacing w:after="0"/>
              <w:rPr>
                <w:sz w:val="20"/>
                <w:szCs w:val="20"/>
                <w:color w:val="auto"/>
              </w:rPr>
            </w:pPr>
            <w:r>
              <w:rPr>
                <w:rFonts w:ascii="Arial" w:cs="Arial" w:eastAsia="Arial" w:hAnsi="Arial"/>
                <w:sz w:val="18"/>
                <w:szCs w:val="18"/>
                <w:color w:val="auto"/>
              </w:rPr>
              <w:t xml:space="preserve">Restoration Plan Vesting </w:t>
            </w:r>
            <w:r>
              <w:rPr>
                <w:rFonts w:ascii="Arial" w:cs="Arial" w:eastAsia="Arial" w:hAnsi="Arial"/>
                <w:sz w:val="15"/>
                <w:szCs w:val="15"/>
                <w:color w:val="auto"/>
              </w:rPr>
              <w:t>(9)</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2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239,334</w:t>
            </w:r>
          </w:p>
        </w:tc>
        <w:tc>
          <w:tcPr>
            <w:tcW w:w="12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625,897</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159,229</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548,414</w:t>
            </w:r>
          </w:p>
        </w:tc>
        <w:tc>
          <w:tcPr>
            <w:tcW w:w="60" w:type="dxa"/>
            <w:vAlign w:val="bottom"/>
            <w:shd w:val="clear" w:color="auto" w:fill="CCEEFF"/>
          </w:tcPr>
          <w:p>
            <w:pPr>
              <w:spacing w:after="0"/>
              <w:rPr>
                <w:sz w:val="18"/>
                <w:szCs w:val="18"/>
                <w:color w:val="auto"/>
              </w:rPr>
            </w:pPr>
          </w:p>
        </w:tc>
      </w:tr>
      <w:tr>
        <w:trPr>
          <w:trHeight w:val="223"/>
        </w:trPr>
        <w:tc>
          <w:tcPr>
            <w:tcW w:w="5480" w:type="dxa"/>
            <w:vAlign w:val="bottom"/>
          </w:tcPr>
          <w:p>
            <w:pPr>
              <w:spacing w:after="0"/>
              <w:rPr>
                <w:sz w:val="20"/>
                <w:szCs w:val="20"/>
                <w:color w:val="auto"/>
              </w:rPr>
            </w:pPr>
            <w:r>
              <w:rPr>
                <w:rFonts w:ascii="Arial" w:cs="Arial" w:eastAsia="Arial" w:hAnsi="Arial"/>
                <w:sz w:val="18"/>
                <w:szCs w:val="18"/>
                <w:color w:val="auto"/>
              </w:rPr>
              <w:t>Total</w:t>
            </w:r>
          </w:p>
        </w:tc>
        <w:tc>
          <w:tcPr>
            <w:tcW w:w="20" w:type="dxa"/>
            <w:vAlign w:val="bottom"/>
            <w:tcBorders>
              <w:bottom w:val="single" w:sz="8" w:color="auto"/>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9,130,495</w:t>
            </w:r>
          </w:p>
        </w:tc>
        <w:tc>
          <w:tcPr>
            <w:tcW w:w="400" w:type="dxa"/>
            <w:vAlign w:val="bottom"/>
          </w:tcPr>
          <w:p>
            <w:pPr>
              <w:spacing w:after="0"/>
              <w:rPr>
                <w:sz w:val="19"/>
                <w:szCs w:val="19"/>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8"/>
              </w:rPr>
              <w:t>$</w:t>
            </w:r>
            <w:r>
              <w:rPr>
                <w:rFonts w:ascii="Arial" w:cs="Arial" w:eastAsia="Arial" w:hAnsi="Arial"/>
                <w:sz w:val="18"/>
                <w:szCs w:val="18"/>
                <w:color w:val="auto"/>
                <w:w w:val="88"/>
              </w:rPr>
              <w:t>3,737,893</w:t>
            </w:r>
          </w:p>
        </w:tc>
        <w:tc>
          <w:tcPr>
            <w:tcW w:w="400" w:type="dxa"/>
            <w:vAlign w:val="bottom"/>
          </w:tcPr>
          <w:p>
            <w:pPr>
              <w:spacing w:after="0"/>
              <w:rPr>
                <w:sz w:val="19"/>
                <w:szCs w:val="19"/>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8"/>
              </w:rPr>
              <w:t>$ 8,636,898</w:t>
            </w:r>
          </w:p>
        </w:tc>
        <w:tc>
          <w:tcPr>
            <w:tcW w:w="4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3,375,229</w:t>
            </w:r>
          </w:p>
        </w:tc>
        <w:tc>
          <w:tcPr>
            <w:tcW w:w="400" w:type="dxa"/>
            <w:vAlign w:val="bottom"/>
          </w:tcPr>
          <w:p>
            <w:pPr>
              <w:spacing w:after="0"/>
              <w:rPr>
                <w:sz w:val="19"/>
                <w:szCs w:val="19"/>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6"/>
              </w:rPr>
              <w:t>$ 8,305,064</w:t>
            </w:r>
          </w:p>
        </w:tc>
        <w:tc>
          <w:tcPr>
            <w:tcW w:w="60" w:type="dxa"/>
            <w:vAlign w:val="bottom"/>
          </w:tcPr>
          <w:p>
            <w:pPr>
              <w:spacing w:after="0"/>
              <w:rPr>
                <w:sz w:val="19"/>
                <w:szCs w:val="19"/>
                <w:color w:val="auto"/>
              </w:rPr>
            </w:pPr>
          </w:p>
        </w:tc>
      </w:tr>
      <w:tr>
        <w:trPr>
          <w:trHeight w:val="20"/>
        </w:trPr>
        <w:tc>
          <w:tcPr>
            <w:tcW w:w="5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94615</wp:posOffset>
            </wp:positionV>
            <wp:extent cx="72898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68" w:lineRule="exact"/>
        <w:rPr>
          <w:sz w:val="20"/>
          <w:szCs w:val="20"/>
          <w:color w:val="auto"/>
        </w:rPr>
      </w:pPr>
    </w:p>
    <w:p>
      <w:pPr>
        <w:ind w:left="460" w:right="300" w:hanging="452"/>
        <w:spacing w:after="0" w:line="258" w:lineRule="auto"/>
        <w:tabs>
          <w:tab w:leader="none" w:pos="460" w:val="left"/>
        </w:tabs>
        <w:numPr>
          <w:ilvl w:val="0"/>
          <w:numId w:val="53"/>
        </w:numPr>
        <w:rPr>
          <w:rFonts w:ascii="Arial" w:cs="Arial" w:eastAsia="Arial" w:hAnsi="Arial"/>
          <w:sz w:val="15"/>
          <w:szCs w:val="15"/>
          <w:color w:val="auto"/>
        </w:rPr>
      </w:pPr>
      <w:r>
        <w:rPr>
          <w:rFonts w:ascii="Arial" w:cs="Arial" w:eastAsia="Arial" w:hAnsi="Arial"/>
          <w:sz w:val="18"/>
          <w:szCs w:val="18"/>
          <w:color w:val="auto"/>
        </w:rPr>
        <w:t>Reflects a cash severance in the amount of two times the sum of base salary and target annual incentive in the case of Mr. McInerney, and one times base salary plus one times target annual incentive in the case of the other named executive officers.</w:t>
      </w:r>
    </w:p>
    <w:p>
      <w:pPr>
        <w:spacing w:after="0" w:line="1" w:lineRule="exact"/>
        <w:rPr>
          <w:rFonts w:ascii="Arial" w:cs="Arial" w:eastAsia="Arial" w:hAnsi="Arial"/>
          <w:sz w:val="15"/>
          <w:szCs w:val="15"/>
          <w:color w:val="auto"/>
        </w:rPr>
      </w:pPr>
    </w:p>
    <w:p>
      <w:pPr>
        <w:ind w:left="460" w:right="260" w:hanging="452"/>
        <w:spacing w:after="0" w:line="250" w:lineRule="auto"/>
        <w:tabs>
          <w:tab w:leader="none" w:pos="460" w:val="left"/>
        </w:tabs>
        <w:numPr>
          <w:ilvl w:val="0"/>
          <w:numId w:val="53"/>
        </w:numPr>
        <w:rPr>
          <w:rFonts w:ascii="Arial" w:cs="Arial" w:eastAsia="Arial" w:hAnsi="Arial"/>
          <w:sz w:val="15"/>
          <w:szCs w:val="15"/>
          <w:color w:val="auto"/>
        </w:rPr>
      </w:pPr>
      <w:r>
        <w:rPr>
          <w:rFonts w:ascii="Arial" w:cs="Arial" w:eastAsia="Arial" w:hAnsi="Arial"/>
          <w:sz w:val="18"/>
          <w:szCs w:val="18"/>
          <w:color w:val="auto"/>
        </w:rPr>
        <w:t>Reflects an annual incentive award based on actual performance results through the end of 2016. Annual incentive awards under the 2015 Severance Plan are determined based on actual pro rata performance.</w:t>
      </w:r>
    </w:p>
    <w:p>
      <w:pPr>
        <w:ind w:left="460" w:right="380" w:hanging="452"/>
        <w:spacing w:after="0" w:line="261" w:lineRule="auto"/>
        <w:tabs>
          <w:tab w:leader="none" w:pos="460" w:val="left"/>
        </w:tabs>
        <w:numPr>
          <w:ilvl w:val="0"/>
          <w:numId w:val="53"/>
        </w:numPr>
        <w:rPr>
          <w:rFonts w:ascii="Arial" w:cs="Arial" w:eastAsia="Arial" w:hAnsi="Arial"/>
          <w:sz w:val="15"/>
          <w:szCs w:val="15"/>
          <w:color w:val="auto"/>
        </w:rPr>
      </w:pPr>
      <w:r>
        <w:rPr>
          <w:rFonts w:ascii="Arial" w:cs="Arial" w:eastAsia="Arial" w:hAnsi="Arial"/>
          <w:sz w:val="18"/>
          <w:szCs w:val="18"/>
          <w:color w:val="auto"/>
        </w:rPr>
        <w:t xml:space="preserve">Reflects cash-based retention incentive awards that remained outstanding and had not been earned as of December 31, 2016. For more information regarding the retention incentive, please see the </w:t>
      </w:r>
      <w:r>
        <w:rPr>
          <w:rFonts w:ascii="Arial" w:cs="Arial" w:eastAsia="Arial" w:hAnsi="Arial"/>
          <w:sz w:val="18"/>
          <w:szCs w:val="18"/>
          <w:i w:val="1"/>
          <w:iCs w:val="1"/>
          <w:color w:val="auto"/>
        </w:rPr>
        <w:t>Compensation Discussion and Analysis</w:t>
      </w:r>
      <w:r>
        <w:rPr>
          <w:rFonts w:ascii="Arial" w:cs="Arial" w:eastAsia="Arial" w:hAnsi="Arial"/>
          <w:sz w:val="18"/>
          <w:szCs w:val="18"/>
          <w:color w:val="auto"/>
        </w:rPr>
        <w:t xml:space="preserve"> above.</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459" w:right="23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hanging="452"/>
        <w:spacing w:after="0"/>
        <w:tabs>
          <w:tab w:leader="none" w:pos="460" w:val="left"/>
        </w:tabs>
        <w:numPr>
          <w:ilvl w:val="0"/>
          <w:numId w:val="54"/>
        </w:numPr>
        <w:rPr>
          <w:rFonts w:ascii="Arial" w:cs="Arial" w:eastAsia="Arial" w:hAnsi="Arial"/>
          <w:sz w:val="15"/>
          <w:szCs w:val="15"/>
          <w:color w:val="auto"/>
        </w:rPr>
      </w:pPr>
      <w:r>
        <w:rPr>
          <w:rFonts w:ascii="Arial" w:cs="Arial" w:eastAsia="Arial" w:hAnsi="Arial"/>
          <w:sz w:val="18"/>
          <w:szCs w:val="18"/>
          <w:color w:val="auto"/>
        </w:rPr>
        <w:t>Represents a lump sum cash payment equal to the company cost of 12 months of continued health coverage.</w:t>
      </w:r>
    </w:p>
    <w:p>
      <w:pPr>
        <w:spacing w:after="0" w:line="23" w:lineRule="exact"/>
        <w:rPr>
          <w:rFonts w:ascii="Arial" w:cs="Arial" w:eastAsia="Arial" w:hAnsi="Arial"/>
          <w:sz w:val="15"/>
          <w:szCs w:val="15"/>
          <w:color w:val="auto"/>
        </w:rPr>
      </w:pPr>
    </w:p>
    <w:p>
      <w:pPr>
        <w:ind w:left="460" w:right="60" w:hanging="452"/>
        <w:spacing w:after="0" w:line="250" w:lineRule="auto"/>
        <w:tabs>
          <w:tab w:leader="none" w:pos="460" w:val="left"/>
        </w:tabs>
        <w:numPr>
          <w:ilvl w:val="0"/>
          <w:numId w:val="54"/>
        </w:numPr>
        <w:rPr>
          <w:rFonts w:ascii="Arial" w:cs="Arial" w:eastAsia="Arial" w:hAnsi="Arial"/>
          <w:sz w:val="15"/>
          <w:szCs w:val="15"/>
          <w:color w:val="auto"/>
        </w:rPr>
      </w:pPr>
      <w:r>
        <w:rPr>
          <w:rFonts w:ascii="Arial" w:cs="Arial" w:eastAsia="Arial" w:hAnsi="Arial"/>
          <w:sz w:val="18"/>
          <w:szCs w:val="18"/>
          <w:color w:val="auto"/>
        </w:rPr>
        <w:t>Reflects the aggregate value of stock options and SARs (based on the excess, if any, of the closing price of Genworth common stock on December 31, 2016 over the exercise price) that would immediately vest as of the executive’s termination (the awards for which vesting would accelerate are those awards that would have become vested on the award’s next regularly scheduled vesting date based on continued employment). Because the closing price of Genworth common stock on December 31, 2016 ($3.81) was less than the exercise price for all stock options and SARs that would become vested, no value for these awards is reflected in the table.</w:t>
      </w:r>
    </w:p>
    <w:p>
      <w:pPr>
        <w:spacing w:after="0" w:line="2" w:lineRule="exact"/>
        <w:rPr>
          <w:rFonts w:ascii="Arial" w:cs="Arial" w:eastAsia="Arial" w:hAnsi="Arial"/>
          <w:sz w:val="15"/>
          <w:szCs w:val="15"/>
          <w:color w:val="auto"/>
        </w:rPr>
      </w:pPr>
    </w:p>
    <w:p>
      <w:pPr>
        <w:ind w:left="460" w:right="20" w:hanging="452"/>
        <w:spacing w:after="0" w:line="250" w:lineRule="auto"/>
        <w:tabs>
          <w:tab w:leader="none" w:pos="460" w:val="left"/>
        </w:tabs>
        <w:numPr>
          <w:ilvl w:val="0"/>
          <w:numId w:val="54"/>
        </w:numPr>
        <w:rPr>
          <w:rFonts w:ascii="Arial" w:cs="Arial" w:eastAsia="Arial" w:hAnsi="Arial"/>
          <w:sz w:val="15"/>
          <w:szCs w:val="15"/>
          <w:color w:val="auto"/>
        </w:rPr>
      </w:pPr>
      <w:r>
        <w:rPr>
          <w:rFonts w:ascii="Arial" w:cs="Arial" w:eastAsia="Arial" w:hAnsi="Arial"/>
          <w:sz w:val="18"/>
          <w:szCs w:val="18"/>
          <w:color w:val="auto"/>
        </w:rPr>
        <w:t>Reflects the aggregate value of RSUs (based on the closing price of Genworth common stock on December 31, 2016 of $3.81) that would immediately vest as of the executive’s termination (the awards for which vesting would accelerate are those awards that would have become vested on the award’s next regularly scheduled vesting date based on continued employment).</w:t>
      </w:r>
    </w:p>
    <w:p>
      <w:pPr>
        <w:spacing w:after="0" w:line="1" w:lineRule="exact"/>
        <w:rPr>
          <w:rFonts w:ascii="Arial" w:cs="Arial" w:eastAsia="Arial" w:hAnsi="Arial"/>
          <w:sz w:val="15"/>
          <w:szCs w:val="15"/>
          <w:color w:val="auto"/>
        </w:rPr>
      </w:pPr>
    </w:p>
    <w:p>
      <w:pPr>
        <w:ind w:left="460" w:hanging="452"/>
        <w:spacing w:after="0" w:line="250" w:lineRule="auto"/>
        <w:tabs>
          <w:tab w:leader="none" w:pos="460" w:val="left"/>
        </w:tabs>
        <w:numPr>
          <w:ilvl w:val="0"/>
          <w:numId w:val="54"/>
        </w:numPr>
        <w:rPr>
          <w:rFonts w:ascii="Arial" w:cs="Arial" w:eastAsia="Arial" w:hAnsi="Arial"/>
          <w:sz w:val="15"/>
          <w:szCs w:val="15"/>
          <w:color w:val="auto"/>
        </w:rPr>
      </w:pPr>
      <w:r>
        <w:rPr>
          <w:rFonts w:ascii="Arial" w:cs="Arial" w:eastAsia="Arial" w:hAnsi="Arial"/>
          <w:sz w:val="18"/>
          <w:szCs w:val="18"/>
          <w:color w:val="auto"/>
        </w:rPr>
        <w:t>Reflects the aggregate value of 2015-2017 PSUs, that would remain outstanding following the executive’s termination, and could be earned, if at all, at the end of the performance period based on actual results, prorated to the nearest half-month to reflect the portion of the performance period year that had elapsed prior to the date of termination. Based on current progress toward goals, amounts payable based on threshold level of performance are shown. Performance-based equity awards that have been held for less than one year at the time of termination are forfeited, and therefore the named executive officers would have forfeited the 2016-2018 PSUs granted on March 16, 2016. Based on performance toward goals, the 2014-2016 PSUs did not result in any payout following the performance period.</w:t>
      </w:r>
    </w:p>
    <w:p>
      <w:pPr>
        <w:spacing w:after="0" w:line="2" w:lineRule="exact"/>
        <w:rPr>
          <w:rFonts w:ascii="Arial" w:cs="Arial" w:eastAsia="Arial" w:hAnsi="Arial"/>
          <w:sz w:val="15"/>
          <w:szCs w:val="15"/>
          <w:color w:val="auto"/>
        </w:rPr>
      </w:pPr>
    </w:p>
    <w:p>
      <w:pPr>
        <w:ind w:left="460" w:right="60" w:hanging="452"/>
        <w:spacing w:after="0" w:line="250" w:lineRule="auto"/>
        <w:tabs>
          <w:tab w:leader="none" w:pos="460" w:val="left"/>
        </w:tabs>
        <w:numPr>
          <w:ilvl w:val="0"/>
          <w:numId w:val="54"/>
        </w:numPr>
        <w:rPr>
          <w:rFonts w:ascii="Arial" w:cs="Arial" w:eastAsia="Arial" w:hAnsi="Arial"/>
          <w:sz w:val="15"/>
          <w:szCs w:val="15"/>
          <w:color w:val="auto"/>
        </w:rPr>
      </w:pPr>
      <w:r>
        <w:rPr>
          <w:rFonts w:ascii="Arial" w:cs="Arial" w:eastAsia="Arial" w:hAnsi="Arial"/>
          <w:sz w:val="18"/>
          <w:szCs w:val="18"/>
          <w:color w:val="auto"/>
        </w:rPr>
        <w:t>Reflects the present value of each participating named executive officer’s accumulated benefits under the SERP, as noted in the 2016 Pension Benefits Table, which would become fully vested.</w:t>
      </w:r>
    </w:p>
    <w:p>
      <w:pPr>
        <w:ind w:left="460" w:right="80" w:hanging="452"/>
        <w:spacing w:after="0" w:line="254" w:lineRule="auto"/>
        <w:tabs>
          <w:tab w:leader="none" w:pos="460" w:val="left"/>
        </w:tabs>
        <w:numPr>
          <w:ilvl w:val="0"/>
          <w:numId w:val="54"/>
        </w:numPr>
        <w:rPr>
          <w:rFonts w:ascii="Arial" w:cs="Arial" w:eastAsia="Arial" w:hAnsi="Arial"/>
          <w:sz w:val="15"/>
          <w:szCs w:val="15"/>
          <w:color w:val="auto"/>
        </w:rPr>
      </w:pPr>
      <w:r>
        <w:rPr>
          <w:rFonts w:ascii="Arial" w:cs="Arial" w:eastAsia="Arial" w:hAnsi="Arial"/>
          <w:sz w:val="18"/>
          <w:szCs w:val="18"/>
          <w:color w:val="auto"/>
        </w:rPr>
        <w:t>Reflects the outstanding balance of the Restoration Plan as of December 31, 2016, including contributions made to the plan in 2017 for qualified earnings in 2016, as noted in the 2016 Non-Qualified Deferred Compensation Table, which would become fully vested, provided the executive officer has been employed by the company for at least five years. For Mr. McInerney, the unvested portion of his Restoration Plan balance would be forfeited until he meets this five-year service requirement.</w:t>
      </w:r>
    </w:p>
    <w:p>
      <w:pPr>
        <w:spacing w:after="0" w:line="297" w:lineRule="exact"/>
        <w:rPr>
          <w:rFonts w:ascii="Arial" w:cs="Arial" w:eastAsia="Arial" w:hAnsi="Arial"/>
          <w:sz w:val="15"/>
          <w:szCs w:val="15"/>
          <w:color w:val="auto"/>
        </w:rPr>
      </w:pPr>
    </w:p>
    <w:p>
      <w:pPr>
        <w:ind w:left="460"/>
        <w:spacing w:after="0"/>
        <w:rPr>
          <w:rFonts w:ascii="Arial" w:cs="Arial" w:eastAsia="Arial" w:hAnsi="Arial"/>
          <w:sz w:val="15"/>
          <w:szCs w:val="15"/>
          <w:color w:val="auto"/>
        </w:rPr>
      </w:pPr>
      <w:r>
        <w:rPr>
          <w:rFonts w:ascii="Arial" w:cs="Arial" w:eastAsia="Arial" w:hAnsi="Arial"/>
          <w:sz w:val="18"/>
          <w:szCs w:val="18"/>
          <w:b w:val="1"/>
          <w:bCs w:val="1"/>
          <w:i w:val="1"/>
          <w:iCs w:val="1"/>
          <w:color w:val="auto"/>
        </w:rPr>
        <w:t>Involuntary Termination Following a Change of Control</w:t>
      </w:r>
    </w:p>
    <w:p>
      <w:pPr>
        <w:spacing w:after="0" w:line="117" w:lineRule="exact"/>
        <w:rPr>
          <w:sz w:val="20"/>
          <w:szCs w:val="20"/>
          <w:color w:val="auto"/>
        </w:rPr>
      </w:pPr>
    </w:p>
    <w:p>
      <w:pPr>
        <w:ind w:firstLine="456"/>
        <w:spacing w:after="0" w:line="276" w:lineRule="auto"/>
        <w:rPr>
          <w:sz w:val="20"/>
          <w:szCs w:val="20"/>
          <w:color w:val="auto"/>
        </w:rPr>
      </w:pPr>
      <w:r>
        <w:rPr>
          <w:rFonts w:ascii="Arial" w:cs="Arial" w:eastAsia="Arial" w:hAnsi="Arial"/>
          <w:sz w:val="17"/>
          <w:szCs w:val="17"/>
          <w:color w:val="auto"/>
        </w:rPr>
        <w:t>In December 2014, the Compensation Committee adopted a new 2014 Change of Control Plan (the “2014 Change of Control Plan”) in order to continue to provide severance benefits to a select group of key executives, including our named executive officers, in the event that the executive’s employment is terminated without “cause” or by the executive for “good reason” following a change of control of the company. If an executive becomes eligible to receive benefits under the 2014 Change of Control Plan, he or she will not be eligible to receive benefits under the 2015 Severance Plan. The 2014 Change of Control Plan replaced and consolidated the company’s two prior change of control plans.</w:t>
      </w:r>
    </w:p>
    <w:p>
      <w:pPr>
        <w:spacing w:after="0" w:line="173" w:lineRule="exact"/>
        <w:rPr>
          <w:sz w:val="20"/>
          <w:szCs w:val="20"/>
          <w:color w:val="auto"/>
        </w:rPr>
      </w:pPr>
    </w:p>
    <w:p>
      <w:pPr>
        <w:ind w:right="180" w:firstLine="456"/>
        <w:spacing w:after="0" w:line="259" w:lineRule="auto"/>
        <w:rPr>
          <w:sz w:val="20"/>
          <w:szCs w:val="20"/>
          <w:color w:val="auto"/>
        </w:rPr>
      </w:pPr>
      <w:r>
        <w:rPr>
          <w:rFonts w:ascii="Arial" w:cs="Arial" w:eastAsia="Arial" w:hAnsi="Arial"/>
          <w:sz w:val="18"/>
          <w:szCs w:val="18"/>
          <w:color w:val="auto"/>
        </w:rPr>
        <w:t>Pursuant to the 2014 Change of Control Plan, a named executive officer would receive payments and benefits in the event of a termination of employment without “cause” or by the executive with “good reason” within two years following a change of control of the company (each a “Qualified Termination” as defined in the Change of Control Plan). In the event of a Qualified Termination, such named executive officer would be eligible to receive the following severance benefits under the 2014 Change of Control Plan:</w:t>
      </w:r>
    </w:p>
    <w:p>
      <w:pPr>
        <w:spacing w:after="0" w:line="92" w:lineRule="exact"/>
        <w:rPr>
          <w:sz w:val="20"/>
          <w:szCs w:val="20"/>
          <w:color w:val="auto"/>
        </w:rPr>
      </w:pPr>
    </w:p>
    <w:p>
      <w:pPr>
        <w:jc w:val="both"/>
        <w:ind w:left="900" w:right="260" w:hanging="325"/>
        <w:spacing w:after="0" w:line="286" w:lineRule="auto"/>
        <w:tabs>
          <w:tab w:leader="none" w:pos="900" w:val="left"/>
        </w:tabs>
        <w:numPr>
          <w:ilvl w:val="0"/>
          <w:numId w:val="55"/>
        </w:numPr>
        <w:rPr>
          <w:rFonts w:ascii="Arial" w:cs="Arial" w:eastAsia="Arial" w:hAnsi="Arial"/>
          <w:sz w:val="17"/>
          <w:szCs w:val="17"/>
          <w:color w:val="auto"/>
        </w:rPr>
      </w:pPr>
      <w:r>
        <w:rPr>
          <w:rFonts w:ascii="Arial" w:cs="Arial" w:eastAsia="Arial" w:hAnsi="Arial"/>
          <w:sz w:val="17"/>
          <w:szCs w:val="17"/>
          <w:i w:val="1"/>
          <w:iCs w:val="1"/>
          <w:color w:val="auto"/>
        </w:rPr>
        <w:t>Severance payment</w:t>
      </w:r>
      <w:r>
        <w:rPr>
          <w:rFonts w:ascii="Arial" w:cs="Arial" w:eastAsia="Arial" w:hAnsi="Arial"/>
          <w:sz w:val="17"/>
          <w:szCs w:val="17"/>
          <w:color w:val="auto"/>
        </w:rPr>
        <w:t>. The named executive officer would receive a lump sum cash severance payment in an amount equal to two and one-half</w:t>
      </w:r>
      <w:r>
        <w:rPr>
          <w:rFonts w:ascii="Arial" w:cs="Arial" w:eastAsia="Arial" w:hAnsi="Arial"/>
          <w:sz w:val="17"/>
          <w:szCs w:val="17"/>
          <w:i w:val="1"/>
          <w:iCs w:val="1"/>
          <w:color w:val="auto"/>
        </w:rPr>
        <w:t xml:space="preserve"> </w:t>
      </w:r>
      <w:r>
        <w:rPr>
          <w:rFonts w:ascii="Arial" w:cs="Arial" w:eastAsia="Arial" w:hAnsi="Arial"/>
          <w:sz w:val="17"/>
          <w:szCs w:val="17"/>
          <w:color w:val="auto"/>
        </w:rPr>
        <w:t>times the sum of his base salary and target annual incentive in the case of Mr. McInerney, and two times the sum of his or her base salary and target annual incentive in the case of the other named executive officers, payable within 60 days following termination.</w:t>
      </w:r>
    </w:p>
    <w:p>
      <w:pPr>
        <w:spacing w:after="0" w:line="70" w:lineRule="exact"/>
        <w:rPr>
          <w:rFonts w:ascii="Arial" w:cs="Arial" w:eastAsia="Arial" w:hAnsi="Arial"/>
          <w:sz w:val="17"/>
          <w:szCs w:val="17"/>
          <w:color w:val="auto"/>
        </w:rPr>
      </w:pPr>
    </w:p>
    <w:p>
      <w:pPr>
        <w:ind w:left="900" w:hanging="325"/>
        <w:spacing w:after="0" w:line="264" w:lineRule="auto"/>
        <w:tabs>
          <w:tab w:leader="none" w:pos="900" w:val="left"/>
        </w:tabs>
        <w:numPr>
          <w:ilvl w:val="0"/>
          <w:numId w:val="55"/>
        </w:numPr>
        <w:rPr>
          <w:rFonts w:ascii="Arial" w:cs="Arial" w:eastAsia="Arial" w:hAnsi="Arial"/>
          <w:sz w:val="18"/>
          <w:szCs w:val="18"/>
          <w:color w:val="auto"/>
        </w:rPr>
      </w:pPr>
      <w:r>
        <w:rPr>
          <w:rFonts w:ascii="Arial" w:cs="Arial" w:eastAsia="Arial" w:hAnsi="Arial"/>
          <w:sz w:val="18"/>
          <w:szCs w:val="18"/>
          <w:i w:val="1"/>
          <w:iCs w:val="1"/>
          <w:color w:val="auto"/>
        </w:rPr>
        <w:t>Pro rata annual incentive award</w:t>
      </w:r>
      <w:r>
        <w:rPr>
          <w:rFonts w:ascii="Arial" w:cs="Arial" w:eastAsia="Arial" w:hAnsi="Arial"/>
          <w:sz w:val="18"/>
          <w:szCs w:val="18"/>
          <w:color w:val="auto"/>
        </w:rPr>
        <w:t>. The named executive officer would receive a lump sum cash payment based on the annual incentive award that</w:t>
      </w:r>
      <w:r>
        <w:rPr>
          <w:rFonts w:ascii="Arial" w:cs="Arial" w:eastAsia="Arial" w:hAnsi="Arial"/>
          <w:sz w:val="18"/>
          <w:szCs w:val="18"/>
          <w:i w:val="1"/>
          <w:iCs w:val="1"/>
          <w:color w:val="auto"/>
        </w:rPr>
        <w:t xml:space="preserve"> </w:t>
      </w:r>
      <w:r>
        <w:rPr>
          <w:rFonts w:ascii="Arial" w:cs="Arial" w:eastAsia="Arial" w:hAnsi="Arial"/>
          <w:sz w:val="18"/>
          <w:szCs w:val="18"/>
          <w:color w:val="auto"/>
        </w:rPr>
        <w:t>would have been payable with respect to the fiscal year in which the Qualified Termination occurs (determined based on actual pro rata performance, to</w:t>
      </w:r>
    </w:p>
    <w:p>
      <w:pPr>
        <w:spacing w:after="0" w:line="11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340"/>
          </w:cols>
          <w:pgMar w:left="240" w:top="459" w:right="31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right="200"/>
        <w:spacing w:after="0" w:line="264" w:lineRule="auto"/>
        <w:rPr>
          <w:sz w:val="20"/>
          <w:szCs w:val="20"/>
          <w:color w:val="auto"/>
        </w:rPr>
      </w:pPr>
      <w:r>
        <w:rPr>
          <w:rFonts w:ascii="Arial" w:cs="Arial" w:eastAsia="Arial" w:hAnsi="Arial"/>
          <w:sz w:val="18"/>
          <w:szCs w:val="18"/>
          <w:color w:val="auto"/>
        </w:rPr>
        <w:t>the extent such performance can be reasonably established, or otherwise based on an assumed achievement of all relevant performance goals at “target”), prorated to the nearest half-month to reflect the portion of the fiscal year that had elapsed prior to the Qualified Termination, and payable within 60 days following termination.</w:t>
      </w:r>
    </w:p>
    <w:p>
      <w:pPr>
        <w:spacing w:after="0" w:line="87" w:lineRule="exact"/>
        <w:rPr>
          <w:sz w:val="20"/>
          <w:szCs w:val="20"/>
          <w:color w:val="auto"/>
        </w:rPr>
      </w:pPr>
    </w:p>
    <w:p>
      <w:pPr>
        <w:ind w:left="900" w:right="160" w:hanging="325"/>
        <w:spacing w:after="0" w:line="264" w:lineRule="auto"/>
        <w:tabs>
          <w:tab w:leader="none" w:pos="900" w:val="left"/>
        </w:tabs>
        <w:numPr>
          <w:ilvl w:val="0"/>
          <w:numId w:val="56"/>
        </w:numPr>
        <w:rPr>
          <w:rFonts w:ascii="Arial" w:cs="Arial" w:eastAsia="Arial" w:hAnsi="Arial"/>
          <w:sz w:val="18"/>
          <w:szCs w:val="18"/>
          <w:color w:val="auto"/>
        </w:rPr>
      </w:pPr>
      <w:r>
        <w:rPr>
          <w:rFonts w:ascii="Arial" w:cs="Arial" w:eastAsia="Arial" w:hAnsi="Arial"/>
          <w:sz w:val="18"/>
          <w:szCs w:val="18"/>
          <w:i w:val="1"/>
          <w:iCs w:val="1"/>
          <w:color w:val="auto"/>
        </w:rPr>
        <w:t>Vesting of time-based equity awards</w:t>
      </w:r>
      <w:r>
        <w:rPr>
          <w:rFonts w:ascii="Arial" w:cs="Arial" w:eastAsia="Arial" w:hAnsi="Arial"/>
          <w:sz w:val="18"/>
          <w:szCs w:val="18"/>
          <w:color w:val="auto"/>
        </w:rPr>
        <w:t>. Stock options, SARs, RSUs and other stock awards with time-based vesting restrictions held by the named</w:t>
      </w:r>
      <w:r>
        <w:rPr>
          <w:rFonts w:ascii="Arial" w:cs="Arial" w:eastAsia="Arial" w:hAnsi="Arial"/>
          <w:sz w:val="18"/>
          <w:szCs w:val="18"/>
          <w:i w:val="1"/>
          <w:iCs w:val="1"/>
          <w:color w:val="auto"/>
        </w:rPr>
        <w:t xml:space="preserve"> </w:t>
      </w:r>
      <w:r>
        <w:rPr>
          <w:rFonts w:ascii="Arial" w:cs="Arial" w:eastAsia="Arial" w:hAnsi="Arial"/>
          <w:sz w:val="18"/>
          <w:szCs w:val="18"/>
          <w:color w:val="auto"/>
        </w:rPr>
        <w:t>executive officer would become immediately vested as of a Qualified Termination and would remain exercisable until the award’s regular expiration date.</w:t>
      </w:r>
    </w:p>
    <w:p>
      <w:pPr>
        <w:spacing w:after="0" w:line="86" w:lineRule="exact"/>
        <w:rPr>
          <w:rFonts w:ascii="Arial" w:cs="Arial" w:eastAsia="Arial" w:hAnsi="Arial"/>
          <w:sz w:val="18"/>
          <w:szCs w:val="18"/>
          <w:color w:val="auto"/>
        </w:rPr>
      </w:pPr>
    </w:p>
    <w:p>
      <w:pPr>
        <w:ind w:left="900" w:right="40" w:hanging="325"/>
        <w:spacing w:after="0" w:line="257" w:lineRule="auto"/>
        <w:tabs>
          <w:tab w:leader="none" w:pos="900" w:val="left"/>
        </w:tabs>
        <w:numPr>
          <w:ilvl w:val="0"/>
          <w:numId w:val="56"/>
        </w:numPr>
        <w:rPr>
          <w:rFonts w:ascii="Arial" w:cs="Arial" w:eastAsia="Arial" w:hAnsi="Arial"/>
          <w:sz w:val="18"/>
          <w:szCs w:val="18"/>
          <w:color w:val="auto"/>
        </w:rPr>
      </w:pPr>
      <w:r>
        <w:rPr>
          <w:rFonts w:ascii="Arial" w:cs="Arial" w:eastAsia="Arial" w:hAnsi="Arial"/>
          <w:sz w:val="18"/>
          <w:szCs w:val="18"/>
          <w:i w:val="1"/>
          <w:iCs w:val="1"/>
          <w:color w:val="auto"/>
        </w:rPr>
        <w:t>Vesting of performance-based equity awards</w:t>
      </w:r>
      <w:r>
        <w:rPr>
          <w:rFonts w:ascii="Arial" w:cs="Arial" w:eastAsia="Arial" w:hAnsi="Arial"/>
          <w:sz w:val="18"/>
          <w:szCs w:val="18"/>
          <w:color w:val="auto"/>
        </w:rPr>
        <w:t>. Performance-based equity awards held by the named executive officer would become vested and be</w:t>
      </w:r>
      <w:r>
        <w:rPr>
          <w:rFonts w:ascii="Arial" w:cs="Arial" w:eastAsia="Arial" w:hAnsi="Arial"/>
          <w:sz w:val="18"/>
          <w:szCs w:val="18"/>
          <w:i w:val="1"/>
          <w:iCs w:val="1"/>
          <w:color w:val="auto"/>
        </w:rPr>
        <w:t xml:space="preserve"> </w:t>
      </w:r>
      <w:r>
        <w:rPr>
          <w:rFonts w:ascii="Arial" w:cs="Arial" w:eastAsia="Arial" w:hAnsi="Arial"/>
          <w:sz w:val="18"/>
          <w:szCs w:val="18"/>
          <w:color w:val="auto"/>
        </w:rPr>
        <w:t>deemed earned based on actual pro rata performance as of the date of a Qualified Termination, to the extent such performance can be reasonably established, or otherwise based on an assumed achievement of all relevant performance goals at “target,” prorated to the nearest half-month to reflect the portion of the performance period that had elapsed prior to the Qualified Termination, and payable within 60 days following termination.</w:t>
      </w:r>
    </w:p>
    <w:p>
      <w:pPr>
        <w:spacing w:after="0" w:line="93" w:lineRule="exact"/>
        <w:rPr>
          <w:rFonts w:ascii="Arial" w:cs="Arial" w:eastAsia="Arial" w:hAnsi="Arial"/>
          <w:sz w:val="18"/>
          <w:szCs w:val="18"/>
          <w:color w:val="auto"/>
        </w:rPr>
      </w:pPr>
    </w:p>
    <w:p>
      <w:pPr>
        <w:ind w:left="900" w:right="20" w:hanging="325"/>
        <w:spacing w:after="0" w:line="259" w:lineRule="auto"/>
        <w:tabs>
          <w:tab w:leader="none" w:pos="900" w:val="left"/>
        </w:tabs>
        <w:numPr>
          <w:ilvl w:val="0"/>
          <w:numId w:val="56"/>
        </w:numPr>
        <w:rPr>
          <w:rFonts w:ascii="Arial" w:cs="Arial" w:eastAsia="Arial" w:hAnsi="Arial"/>
          <w:sz w:val="18"/>
          <w:szCs w:val="18"/>
          <w:color w:val="auto"/>
        </w:rPr>
      </w:pPr>
      <w:r>
        <w:rPr>
          <w:rFonts w:ascii="Arial" w:cs="Arial" w:eastAsia="Arial" w:hAnsi="Arial"/>
          <w:sz w:val="18"/>
          <w:szCs w:val="18"/>
          <w:i w:val="1"/>
          <w:iCs w:val="1"/>
          <w:color w:val="auto"/>
        </w:rPr>
        <w:t>Payment related to health and life insurance benefits</w:t>
      </w:r>
      <w:r>
        <w:rPr>
          <w:rFonts w:ascii="Arial" w:cs="Arial" w:eastAsia="Arial" w:hAnsi="Arial"/>
          <w:sz w:val="18"/>
          <w:szCs w:val="18"/>
          <w:color w:val="auto"/>
        </w:rPr>
        <w:t>. The named executive officer would receive a lump sum cash payment, payable within 60</w:t>
      </w:r>
      <w:r>
        <w:rPr>
          <w:rFonts w:ascii="Arial" w:cs="Arial" w:eastAsia="Arial" w:hAnsi="Arial"/>
          <w:sz w:val="18"/>
          <w:szCs w:val="18"/>
          <w:i w:val="1"/>
          <w:iCs w:val="1"/>
          <w:color w:val="auto"/>
        </w:rPr>
        <w:t xml:space="preserve"> </w:t>
      </w:r>
      <w:r>
        <w:rPr>
          <w:rFonts w:ascii="Arial" w:cs="Arial" w:eastAsia="Arial" w:hAnsi="Arial"/>
          <w:sz w:val="18"/>
          <w:szCs w:val="18"/>
          <w:color w:val="auto"/>
        </w:rPr>
        <w:t>days of the date of termination, equal to the monthly cost of the employer portion to provide the group medical, dental, vision, and/or prescription drug plan benefits the employee had been receiving before the qualified termination, multiplied by 18, and he or she would continue to receive life insurance coverage for 18 months.</w:t>
      </w:r>
    </w:p>
    <w:p>
      <w:pPr>
        <w:spacing w:after="0" w:line="92" w:lineRule="exact"/>
        <w:rPr>
          <w:rFonts w:ascii="Arial" w:cs="Arial" w:eastAsia="Arial" w:hAnsi="Arial"/>
          <w:sz w:val="18"/>
          <w:szCs w:val="18"/>
          <w:color w:val="auto"/>
        </w:rPr>
      </w:pPr>
    </w:p>
    <w:p>
      <w:pPr>
        <w:ind w:left="900" w:right="100" w:hanging="325"/>
        <w:spacing w:after="0" w:line="277" w:lineRule="auto"/>
        <w:tabs>
          <w:tab w:leader="none" w:pos="900" w:val="left"/>
        </w:tabs>
        <w:numPr>
          <w:ilvl w:val="0"/>
          <w:numId w:val="56"/>
        </w:numPr>
        <w:rPr>
          <w:rFonts w:ascii="Arial" w:cs="Arial" w:eastAsia="Arial" w:hAnsi="Arial"/>
          <w:sz w:val="18"/>
          <w:szCs w:val="18"/>
          <w:color w:val="auto"/>
        </w:rPr>
      </w:pPr>
      <w:r>
        <w:rPr>
          <w:rFonts w:ascii="Arial" w:cs="Arial" w:eastAsia="Arial" w:hAnsi="Arial"/>
          <w:sz w:val="18"/>
          <w:szCs w:val="18"/>
          <w:i w:val="1"/>
          <w:iCs w:val="1"/>
          <w:color w:val="auto"/>
        </w:rPr>
        <w:t>Retirement plan provisions</w:t>
      </w:r>
      <w:r>
        <w:rPr>
          <w:rFonts w:ascii="Arial" w:cs="Arial" w:eastAsia="Arial" w:hAnsi="Arial"/>
          <w:sz w:val="18"/>
          <w:szCs w:val="18"/>
          <w:color w:val="auto"/>
        </w:rPr>
        <w:t>. The named executive officer would become fully vested in any funded or unfunded nonqualified pension, retirement</w:t>
      </w:r>
      <w:r>
        <w:rPr>
          <w:rFonts w:ascii="Arial" w:cs="Arial" w:eastAsia="Arial" w:hAnsi="Arial"/>
          <w:sz w:val="18"/>
          <w:szCs w:val="18"/>
          <w:i w:val="1"/>
          <w:iCs w:val="1"/>
          <w:color w:val="auto"/>
        </w:rPr>
        <w:t xml:space="preserve"> </w:t>
      </w:r>
      <w:r>
        <w:rPr>
          <w:rFonts w:ascii="Arial" w:cs="Arial" w:eastAsia="Arial" w:hAnsi="Arial"/>
          <w:sz w:val="18"/>
          <w:szCs w:val="18"/>
          <w:color w:val="auto"/>
        </w:rPr>
        <w:t>or deferred compensation plans in which he or she participates.</w:t>
      </w:r>
    </w:p>
    <w:p>
      <w:pPr>
        <w:spacing w:after="0" w:line="170" w:lineRule="exact"/>
        <w:rPr>
          <w:sz w:val="20"/>
          <w:szCs w:val="20"/>
          <w:color w:val="auto"/>
        </w:rPr>
      </w:pPr>
    </w:p>
    <w:p>
      <w:pPr>
        <w:ind w:right="260" w:firstLine="456"/>
        <w:spacing w:after="0" w:line="259" w:lineRule="auto"/>
        <w:rPr>
          <w:sz w:val="20"/>
          <w:szCs w:val="20"/>
          <w:color w:val="auto"/>
        </w:rPr>
      </w:pPr>
      <w:r>
        <w:rPr>
          <w:rFonts w:ascii="Arial" w:cs="Arial" w:eastAsia="Arial" w:hAnsi="Arial"/>
          <w:sz w:val="18"/>
          <w:szCs w:val="18"/>
          <w:color w:val="auto"/>
        </w:rPr>
        <w:t>The 2014 Change of Control Plan provides that in the event the participant would be subject to a 20% excise tax under Section 4999 of the Code (imposed on individuals who receive compensation in connection with a change of control that exceeds certain specified limits), the payments and benefits would be reduced to the maximum amount that does not trigger the excise tax, unless the executive would retain greater value (on an after-tax basis) by receiving all payments and benefits and paying all excise and income taxes.</w:t>
      </w:r>
    </w:p>
    <w:p>
      <w:pPr>
        <w:spacing w:after="0" w:line="18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summarizes the payments and benefits that would have been payable to the named executive officers under the 2014 Change of</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Control Plan and other retention incentives in the event of a Qualified Termination as of December 31, 2016:</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0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360" w:type="dxa"/>
            <w:vAlign w:val="bottom"/>
            <w:gridSpan w:val="4"/>
          </w:tcPr>
          <w:p>
            <w:pPr>
              <w:spacing w:after="0"/>
              <w:rPr>
                <w:sz w:val="20"/>
                <w:szCs w:val="20"/>
                <w:color w:val="auto"/>
              </w:rPr>
            </w:pPr>
            <w:r>
              <w:rPr>
                <w:rFonts w:ascii="Arial" w:cs="Arial" w:eastAsia="Arial" w:hAnsi="Arial"/>
                <w:sz w:val="14"/>
                <w:szCs w:val="14"/>
                <w:b w:val="1"/>
                <w:bCs w:val="1"/>
                <w:color w:val="auto"/>
              </w:rPr>
              <w:t>Mr. McInerney</w:t>
            </w:r>
          </w:p>
        </w:tc>
        <w:tc>
          <w:tcPr>
            <w:tcW w:w="1280" w:type="dxa"/>
            <w:vAlign w:val="bottom"/>
            <w:gridSpan w:val="2"/>
          </w:tcPr>
          <w:p>
            <w:pPr>
              <w:jc w:val="right"/>
              <w:ind w:right="540"/>
              <w:spacing w:after="0"/>
              <w:rPr>
                <w:sz w:val="20"/>
                <w:szCs w:val="20"/>
                <w:color w:val="auto"/>
              </w:rPr>
            </w:pPr>
            <w:r>
              <w:rPr>
                <w:rFonts w:ascii="Arial" w:cs="Arial" w:eastAsia="Arial" w:hAnsi="Arial"/>
                <w:sz w:val="14"/>
                <w:szCs w:val="14"/>
                <w:b w:val="1"/>
                <w:bCs w:val="1"/>
                <w:color w:val="auto"/>
              </w:rPr>
              <w:t>Ms. Groh</w:t>
            </w:r>
          </w:p>
        </w:tc>
        <w:tc>
          <w:tcPr>
            <w:tcW w:w="1420" w:type="dxa"/>
            <w:vAlign w:val="bottom"/>
            <w:gridSpan w:val="3"/>
          </w:tcPr>
          <w:p>
            <w:pPr>
              <w:jc w:val="right"/>
              <w:ind w:right="500"/>
              <w:spacing w:after="0"/>
              <w:rPr>
                <w:sz w:val="20"/>
                <w:szCs w:val="20"/>
                <w:color w:val="auto"/>
              </w:rPr>
            </w:pPr>
            <w:r>
              <w:rPr>
                <w:rFonts w:ascii="Arial" w:cs="Arial" w:eastAsia="Arial" w:hAnsi="Arial"/>
                <w:sz w:val="14"/>
                <w:szCs w:val="14"/>
                <w:b w:val="1"/>
                <w:bCs w:val="1"/>
                <w:color w:val="auto"/>
                <w:w w:val="97"/>
              </w:rPr>
              <w:t>Mr. Schneider</w:t>
            </w:r>
          </w:p>
        </w:tc>
        <w:tc>
          <w:tcPr>
            <w:tcW w:w="100" w:type="dxa"/>
            <w:vAlign w:val="bottom"/>
          </w:tcPr>
          <w:p>
            <w:pPr>
              <w:spacing w:after="0"/>
              <w:rPr>
                <w:sz w:val="14"/>
                <w:szCs w:val="14"/>
                <w:color w:val="auto"/>
              </w:rPr>
            </w:pPr>
          </w:p>
        </w:tc>
        <w:tc>
          <w:tcPr>
            <w:tcW w:w="980" w:type="dxa"/>
            <w:vAlign w:val="bottom"/>
            <w:gridSpan w:val="2"/>
          </w:tcPr>
          <w:p>
            <w:pPr>
              <w:ind w:left="20"/>
              <w:spacing w:after="0"/>
              <w:rPr>
                <w:sz w:val="20"/>
                <w:szCs w:val="20"/>
                <w:color w:val="auto"/>
              </w:rPr>
            </w:pPr>
            <w:r>
              <w:rPr>
                <w:rFonts w:ascii="Arial" w:cs="Arial" w:eastAsia="Arial" w:hAnsi="Arial"/>
                <w:sz w:val="14"/>
                <w:szCs w:val="14"/>
                <w:b w:val="1"/>
                <w:bCs w:val="1"/>
                <w:color w:val="auto"/>
              </w:rPr>
              <w:t>Mr. Bobitz</w:t>
            </w: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tcPr>
          <w:p>
            <w:pPr>
              <w:spacing w:after="0"/>
              <w:rPr>
                <w:sz w:val="20"/>
                <w:szCs w:val="20"/>
                <w:color w:val="auto"/>
              </w:rPr>
            </w:pPr>
            <w:r>
              <w:rPr>
                <w:rFonts w:ascii="Arial" w:cs="Arial" w:eastAsia="Arial" w:hAnsi="Arial"/>
                <w:sz w:val="14"/>
                <w:szCs w:val="14"/>
                <w:b w:val="1"/>
                <w:bCs w:val="1"/>
                <w:color w:val="auto"/>
              </w:rPr>
              <w:t>Mr. Sheehan</w:t>
            </w:r>
          </w:p>
        </w:tc>
      </w:tr>
      <w:tr>
        <w:trPr>
          <w:trHeight w:val="210"/>
        </w:trPr>
        <w:tc>
          <w:tcPr>
            <w:tcW w:w="50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 xml:space="preserve">Cash Severance </w:t>
            </w:r>
            <w:r>
              <w:rPr>
                <w:rFonts w:ascii="Arial" w:cs="Arial" w:eastAsia="Arial" w:hAnsi="Arial"/>
                <w:sz w:val="15"/>
                <w:szCs w:val="15"/>
                <w:color w:val="auto"/>
              </w:rPr>
              <w:t>(1)</w:t>
            </w:r>
          </w:p>
        </w:tc>
        <w:tc>
          <w:tcPr>
            <w:tcW w:w="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ind w:right="3"/>
              <w:spacing w:after="0"/>
              <w:rPr>
                <w:sz w:val="20"/>
                <w:szCs w:val="20"/>
                <w:color w:val="auto"/>
              </w:rPr>
            </w:pPr>
            <w:r>
              <w:rPr>
                <w:rFonts w:ascii="Arial" w:cs="Arial" w:eastAsia="Arial" w:hAnsi="Arial"/>
                <w:sz w:val="10"/>
                <w:szCs w:val="10"/>
                <w:color w:val="auto"/>
                <w:w w:val="71"/>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7,500,000</w:t>
            </w:r>
          </w:p>
        </w:tc>
        <w:tc>
          <w:tcPr>
            <w:tcW w:w="20" w:type="dxa"/>
            <w:vAlign w:val="bottom"/>
            <w:tcBorders>
              <w:top w:val="single" w:sz="8" w:color="CCEEFF"/>
            </w:tcBorders>
            <w:shd w:val="clear" w:color="auto" w:fill="CCEEFF"/>
          </w:tcPr>
          <w:p>
            <w:pPr>
              <w:spacing w:after="0"/>
              <w:rPr>
                <w:sz w:val="18"/>
                <w:szCs w:val="18"/>
                <w:color w:val="auto"/>
              </w:rPr>
            </w:pPr>
          </w:p>
        </w:tc>
        <w:tc>
          <w:tcPr>
            <w:tcW w:w="36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$ 2,200,000</w:t>
            </w:r>
          </w:p>
        </w:tc>
        <w:tc>
          <w:tcPr>
            <w:tcW w:w="4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3,625,000</w:t>
            </w:r>
          </w:p>
        </w:tc>
        <w:tc>
          <w:tcPr>
            <w:tcW w:w="4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1,700,000</w:t>
            </w:r>
          </w:p>
        </w:tc>
        <w:tc>
          <w:tcPr>
            <w:tcW w:w="2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3,300,000</w:t>
            </w:r>
          </w:p>
        </w:tc>
        <w:tc>
          <w:tcPr>
            <w:tcW w:w="60" w:type="dxa"/>
            <w:vAlign w:val="bottom"/>
            <w:tcBorders>
              <w:top w:val="single" w:sz="8" w:color="CCEEFF"/>
            </w:tcBorders>
            <w:shd w:val="clear" w:color="auto" w:fill="CCEEFF"/>
          </w:tcPr>
          <w:p>
            <w:pPr>
              <w:spacing w:after="0"/>
              <w:rPr>
                <w:sz w:val="18"/>
                <w:szCs w:val="18"/>
                <w:color w:val="auto"/>
              </w:rPr>
            </w:pPr>
          </w:p>
        </w:tc>
      </w:tr>
      <w:tr>
        <w:trPr>
          <w:trHeight w:val="216"/>
        </w:trPr>
        <w:tc>
          <w:tcPr>
            <w:tcW w:w="5020" w:type="dxa"/>
            <w:vAlign w:val="bottom"/>
          </w:tcPr>
          <w:p>
            <w:pPr>
              <w:spacing w:after="0"/>
              <w:rPr>
                <w:sz w:val="20"/>
                <w:szCs w:val="20"/>
                <w:color w:val="auto"/>
              </w:rPr>
            </w:pPr>
            <w:r>
              <w:rPr>
                <w:rFonts w:ascii="Arial" w:cs="Arial" w:eastAsia="Arial" w:hAnsi="Arial"/>
                <w:sz w:val="18"/>
                <w:szCs w:val="18"/>
                <w:color w:val="auto"/>
              </w:rPr>
              <w:t xml:space="preserve">Annual Incentive </w:t>
            </w:r>
            <w:r>
              <w:rPr>
                <w:rFonts w:ascii="Arial" w:cs="Arial" w:eastAsia="Arial" w:hAnsi="Arial"/>
                <w:sz w:val="15"/>
                <w:szCs w:val="15"/>
                <w:color w:val="auto"/>
              </w:rPr>
              <w:t>(2)</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3,000,000</w:t>
            </w: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80" w:type="dxa"/>
            <w:vAlign w:val="bottom"/>
            <w:gridSpan w:val="2"/>
          </w:tcPr>
          <w:p>
            <w:pPr>
              <w:jc w:val="right"/>
              <w:ind w:right="400"/>
              <w:spacing w:after="0"/>
              <w:rPr>
                <w:sz w:val="20"/>
                <w:szCs w:val="20"/>
                <w:color w:val="auto"/>
              </w:rPr>
            </w:pPr>
            <w:r>
              <w:rPr>
                <w:rFonts w:ascii="Arial" w:cs="Arial" w:eastAsia="Arial" w:hAnsi="Arial"/>
                <w:sz w:val="18"/>
                <w:szCs w:val="18"/>
                <w:color w:val="auto"/>
              </w:rPr>
              <w:t>850,000</w:t>
            </w:r>
          </w:p>
        </w:tc>
        <w:tc>
          <w:tcPr>
            <w:tcW w:w="120" w:type="dxa"/>
            <w:vAlign w:val="bottom"/>
          </w:tcPr>
          <w:p>
            <w:pPr>
              <w:spacing w:after="0"/>
              <w:rPr>
                <w:sz w:val="18"/>
                <w:szCs w:val="18"/>
                <w:color w:val="auto"/>
              </w:rPr>
            </w:pP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1,500,000</w:t>
            </w: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750,000</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1,900,000</w:t>
            </w:r>
          </w:p>
        </w:tc>
        <w:tc>
          <w:tcPr>
            <w:tcW w:w="60" w:type="dxa"/>
            <w:vAlign w:val="bottom"/>
          </w:tcPr>
          <w:p>
            <w:pPr>
              <w:spacing w:after="0"/>
              <w:rPr>
                <w:sz w:val="18"/>
                <w:szCs w:val="18"/>
                <w:color w:val="auto"/>
              </w:rPr>
            </w:pPr>
          </w:p>
        </w:tc>
      </w:tr>
      <w:tr>
        <w:trPr>
          <w:trHeight w:val="216"/>
        </w:trPr>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 xml:space="preserve">Retention Incentive </w:t>
            </w:r>
            <w:r>
              <w:rPr>
                <w:rFonts w:ascii="Arial" w:cs="Arial" w:eastAsia="Arial" w:hAnsi="Arial"/>
                <w:sz w:val="15"/>
                <w:szCs w:val="15"/>
                <w:color w:val="auto"/>
              </w:rPr>
              <w:t>(3)</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3"/>
            <w:shd w:val="clear" w:color="auto" w:fill="CCEEFF"/>
          </w:tcPr>
          <w:p>
            <w:pPr>
              <w:ind w:left="58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600,000</w:t>
            </w:r>
          </w:p>
        </w:tc>
        <w:tc>
          <w:tcPr>
            <w:tcW w:w="1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1,000,000</w:t>
            </w: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425,000</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1,000,000</w:t>
            </w:r>
          </w:p>
        </w:tc>
        <w:tc>
          <w:tcPr>
            <w:tcW w:w="60" w:type="dxa"/>
            <w:vAlign w:val="bottom"/>
            <w:shd w:val="clear" w:color="auto" w:fill="CCEEFF"/>
          </w:tcPr>
          <w:p>
            <w:pPr>
              <w:spacing w:after="0"/>
              <w:rPr>
                <w:sz w:val="18"/>
                <w:szCs w:val="18"/>
                <w:color w:val="auto"/>
              </w:rPr>
            </w:pPr>
          </w:p>
        </w:tc>
      </w:tr>
      <w:tr>
        <w:trPr>
          <w:trHeight w:val="216"/>
        </w:trPr>
        <w:tc>
          <w:tcPr>
            <w:tcW w:w="5020" w:type="dxa"/>
            <w:vAlign w:val="bottom"/>
          </w:tcPr>
          <w:p>
            <w:pPr>
              <w:spacing w:after="0"/>
              <w:rPr>
                <w:sz w:val="20"/>
                <w:szCs w:val="20"/>
                <w:color w:val="auto"/>
              </w:rPr>
            </w:pPr>
            <w:r>
              <w:rPr>
                <w:rFonts w:ascii="Arial" w:cs="Arial" w:eastAsia="Arial" w:hAnsi="Arial"/>
                <w:sz w:val="18"/>
                <w:szCs w:val="18"/>
                <w:color w:val="auto"/>
              </w:rPr>
              <w:t xml:space="preserve">Payment Related to Health Benefits </w:t>
            </w:r>
            <w:r>
              <w:rPr>
                <w:rFonts w:ascii="Arial" w:cs="Arial" w:eastAsia="Arial" w:hAnsi="Arial"/>
                <w:sz w:val="15"/>
                <w:szCs w:val="15"/>
                <w:color w:val="auto"/>
              </w:rPr>
              <w:t>(4)</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5,242</w:t>
            </w:r>
          </w:p>
        </w:tc>
        <w:tc>
          <w:tcPr>
            <w:tcW w:w="360" w:type="dxa"/>
            <w:vAlign w:val="bottom"/>
          </w:tcPr>
          <w:p>
            <w:pPr>
              <w:spacing w:after="0"/>
              <w:rPr>
                <w:sz w:val="18"/>
                <w:szCs w:val="18"/>
                <w:color w:val="auto"/>
              </w:rPr>
            </w:pPr>
          </w:p>
        </w:tc>
        <w:tc>
          <w:tcPr>
            <w:tcW w:w="1280" w:type="dxa"/>
            <w:vAlign w:val="bottom"/>
            <w:gridSpan w:val="2"/>
          </w:tcPr>
          <w:p>
            <w:pPr>
              <w:jc w:val="right"/>
              <w:ind w:right="400"/>
              <w:spacing w:after="0"/>
              <w:rPr>
                <w:sz w:val="20"/>
                <w:szCs w:val="20"/>
                <w:color w:val="auto"/>
              </w:rPr>
            </w:pPr>
            <w:r>
              <w:rPr>
                <w:rFonts w:ascii="Arial" w:cs="Arial" w:eastAsia="Arial" w:hAnsi="Arial"/>
                <w:sz w:val="18"/>
                <w:szCs w:val="18"/>
                <w:color w:val="auto"/>
              </w:rPr>
              <w:t>9,847</w:t>
            </w:r>
          </w:p>
        </w:tc>
        <w:tc>
          <w:tcPr>
            <w:tcW w:w="120" w:type="dxa"/>
            <w:vAlign w:val="bottom"/>
          </w:tcPr>
          <w:p>
            <w:pPr>
              <w:spacing w:after="0"/>
              <w:rPr>
                <w:sz w:val="18"/>
                <w:szCs w:val="18"/>
                <w:color w:val="auto"/>
              </w:rPr>
            </w:pP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17,749</w:t>
            </w:r>
          </w:p>
        </w:tc>
        <w:tc>
          <w:tcPr>
            <w:tcW w:w="100" w:type="dxa"/>
            <w:vAlign w:val="bottom"/>
          </w:tcPr>
          <w:p>
            <w:pPr>
              <w:spacing w:after="0"/>
              <w:rPr>
                <w:sz w:val="18"/>
                <w:szCs w:val="18"/>
                <w:color w:val="auto"/>
              </w:rPr>
            </w:pPr>
          </w:p>
        </w:tc>
        <w:tc>
          <w:tcPr>
            <w:tcW w:w="980" w:type="dxa"/>
            <w:vAlign w:val="bottom"/>
            <w:gridSpan w:val="2"/>
          </w:tcPr>
          <w:p>
            <w:pPr>
              <w:ind w:left="5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60"/>
              <w:spacing w:after="0"/>
              <w:rPr>
                <w:sz w:val="20"/>
                <w:szCs w:val="20"/>
                <w:color w:val="auto"/>
              </w:rPr>
            </w:pPr>
            <w:r>
              <w:rPr>
                <w:rFonts w:ascii="Arial" w:cs="Arial" w:eastAsia="Arial" w:hAnsi="Arial"/>
                <w:sz w:val="18"/>
                <w:szCs w:val="18"/>
                <w:color w:val="auto"/>
              </w:rPr>
              <w:t>21,933</w:t>
            </w:r>
          </w:p>
        </w:tc>
      </w:tr>
      <w:tr>
        <w:trPr>
          <w:trHeight w:val="216"/>
        </w:trPr>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 xml:space="preserve">SAR and Option Vesting </w:t>
            </w:r>
            <w:r>
              <w:rPr>
                <w:rFonts w:ascii="Arial" w:cs="Arial" w:eastAsia="Arial" w:hAnsi="Arial"/>
                <w:sz w:val="15"/>
                <w:szCs w:val="15"/>
                <w:color w:val="auto"/>
              </w:rPr>
              <w:t>(5)</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3"/>
            <w:shd w:val="clear" w:color="auto" w:fill="CCEEFF"/>
          </w:tcPr>
          <w:p>
            <w:pPr>
              <w:ind w:left="58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ind w:left="600"/>
              <w:spacing w:after="0"/>
              <w:rPr>
                <w:sz w:val="20"/>
                <w:szCs w:val="20"/>
                <w:color w:val="auto"/>
              </w:rPr>
            </w:pPr>
            <w:r>
              <w:rPr>
                <w:rFonts w:ascii="Arial" w:cs="Arial" w:eastAsia="Arial" w:hAnsi="Arial"/>
                <w:sz w:val="18"/>
                <w:szCs w:val="18"/>
                <w:color w:val="auto"/>
              </w:rPr>
              <w:t>—</w:t>
            </w:r>
          </w:p>
        </w:tc>
      </w:tr>
      <w:tr>
        <w:trPr>
          <w:trHeight w:val="216"/>
        </w:trPr>
        <w:tc>
          <w:tcPr>
            <w:tcW w:w="5020" w:type="dxa"/>
            <w:vAlign w:val="bottom"/>
          </w:tcPr>
          <w:p>
            <w:pPr>
              <w:spacing w:after="0"/>
              <w:rPr>
                <w:sz w:val="20"/>
                <w:szCs w:val="20"/>
                <w:color w:val="auto"/>
              </w:rPr>
            </w:pPr>
            <w:r>
              <w:rPr>
                <w:rFonts w:ascii="Arial" w:cs="Arial" w:eastAsia="Arial" w:hAnsi="Arial"/>
                <w:sz w:val="18"/>
                <w:szCs w:val="18"/>
                <w:color w:val="auto"/>
              </w:rPr>
              <w:t xml:space="preserve">RSU Vesting </w:t>
            </w:r>
            <w:r>
              <w:rPr>
                <w:rFonts w:ascii="Arial" w:cs="Arial" w:eastAsia="Arial" w:hAnsi="Arial"/>
                <w:sz w:val="15"/>
                <w:szCs w:val="15"/>
                <w:color w:val="auto"/>
              </w:rPr>
              <w:t>(6)</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3"/>
          </w:tcPr>
          <w:p>
            <w:pPr>
              <w:ind w:left="580"/>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400"/>
              <w:spacing w:after="0"/>
              <w:rPr>
                <w:sz w:val="20"/>
                <w:szCs w:val="20"/>
                <w:color w:val="auto"/>
              </w:rPr>
            </w:pPr>
            <w:r>
              <w:rPr>
                <w:rFonts w:ascii="Arial" w:cs="Arial" w:eastAsia="Arial" w:hAnsi="Arial"/>
                <w:sz w:val="18"/>
                <w:szCs w:val="18"/>
                <w:color w:val="auto"/>
              </w:rPr>
              <w:t>783,187</w:t>
            </w:r>
          </w:p>
        </w:tc>
        <w:tc>
          <w:tcPr>
            <w:tcW w:w="120" w:type="dxa"/>
            <w:vAlign w:val="bottom"/>
          </w:tcPr>
          <w:p>
            <w:pPr>
              <w:spacing w:after="0"/>
              <w:rPr>
                <w:sz w:val="18"/>
                <w:szCs w:val="18"/>
                <w:color w:val="auto"/>
              </w:rPr>
            </w:pP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1,593,849</w:t>
            </w: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423,874</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1,441,449</w:t>
            </w:r>
          </w:p>
        </w:tc>
        <w:tc>
          <w:tcPr>
            <w:tcW w:w="60" w:type="dxa"/>
            <w:vAlign w:val="bottom"/>
          </w:tcPr>
          <w:p>
            <w:pPr>
              <w:spacing w:after="0"/>
              <w:rPr>
                <w:sz w:val="18"/>
                <w:szCs w:val="18"/>
                <w:color w:val="auto"/>
              </w:rPr>
            </w:pPr>
          </w:p>
        </w:tc>
      </w:tr>
      <w:tr>
        <w:trPr>
          <w:trHeight w:val="216"/>
        </w:trPr>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 xml:space="preserve">PSU Vesting </w:t>
            </w:r>
            <w:r>
              <w:rPr>
                <w:rFonts w:ascii="Arial" w:cs="Arial" w:eastAsia="Arial" w:hAnsi="Arial"/>
                <w:sz w:val="15"/>
                <w:szCs w:val="15"/>
                <w:color w:val="auto"/>
              </w:rPr>
              <w:t>(7)</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2,159,000</w:t>
            </w: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228,600</w:t>
            </w:r>
          </w:p>
        </w:tc>
        <w:tc>
          <w:tcPr>
            <w:tcW w:w="1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730,250</w:t>
            </w: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203,200</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527,050</w:t>
            </w:r>
          </w:p>
        </w:tc>
        <w:tc>
          <w:tcPr>
            <w:tcW w:w="60" w:type="dxa"/>
            <w:vAlign w:val="bottom"/>
            <w:shd w:val="clear" w:color="auto" w:fill="CCEEFF"/>
          </w:tcPr>
          <w:p>
            <w:pPr>
              <w:spacing w:after="0"/>
              <w:rPr>
                <w:sz w:val="18"/>
                <w:szCs w:val="18"/>
                <w:color w:val="auto"/>
              </w:rPr>
            </w:pPr>
          </w:p>
        </w:tc>
      </w:tr>
      <w:tr>
        <w:trPr>
          <w:trHeight w:val="216"/>
        </w:trPr>
        <w:tc>
          <w:tcPr>
            <w:tcW w:w="5020" w:type="dxa"/>
            <w:vAlign w:val="bottom"/>
          </w:tcPr>
          <w:p>
            <w:pPr>
              <w:spacing w:after="0"/>
              <w:rPr>
                <w:sz w:val="20"/>
                <w:szCs w:val="20"/>
                <w:color w:val="auto"/>
              </w:rPr>
            </w:pPr>
            <w:r>
              <w:rPr>
                <w:rFonts w:ascii="Arial" w:cs="Arial" w:eastAsia="Arial" w:hAnsi="Arial"/>
                <w:sz w:val="18"/>
                <w:szCs w:val="18"/>
                <w:color w:val="auto"/>
              </w:rPr>
              <w:t xml:space="preserve">SERP Vesting </w:t>
            </w:r>
            <w:r>
              <w:rPr>
                <w:rFonts w:ascii="Arial" w:cs="Arial" w:eastAsia="Arial" w:hAnsi="Arial"/>
                <w:sz w:val="15"/>
                <w:szCs w:val="15"/>
                <w:color w:val="auto"/>
              </w:rPr>
              <w:t>(8)</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3"/>
          </w:tcPr>
          <w:p>
            <w:pPr>
              <w:ind w:left="580"/>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400"/>
              <w:spacing w:after="0"/>
              <w:rPr>
                <w:sz w:val="20"/>
                <w:szCs w:val="20"/>
                <w:color w:val="auto"/>
              </w:rPr>
            </w:pPr>
            <w:r>
              <w:rPr>
                <w:rFonts w:ascii="Arial" w:cs="Arial" w:eastAsia="Arial" w:hAnsi="Arial"/>
                <w:sz w:val="18"/>
                <w:szCs w:val="18"/>
                <w:color w:val="auto"/>
              </w:rPr>
              <w:t>659,201</w:t>
            </w:r>
          </w:p>
        </w:tc>
        <w:tc>
          <w:tcPr>
            <w:tcW w:w="120" w:type="dxa"/>
            <w:vAlign w:val="bottom"/>
          </w:tcPr>
          <w:p>
            <w:pPr>
              <w:spacing w:after="0"/>
              <w:rPr>
                <w:sz w:val="18"/>
                <w:szCs w:val="18"/>
                <w:color w:val="auto"/>
              </w:rPr>
            </w:pP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2,988,165</w:t>
            </w: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988,168</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2,557,025</w:t>
            </w:r>
          </w:p>
        </w:tc>
        <w:tc>
          <w:tcPr>
            <w:tcW w:w="60" w:type="dxa"/>
            <w:vAlign w:val="bottom"/>
          </w:tcPr>
          <w:p>
            <w:pPr>
              <w:spacing w:after="0"/>
              <w:rPr>
                <w:sz w:val="18"/>
                <w:szCs w:val="18"/>
                <w:color w:val="auto"/>
              </w:rPr>
            </w:pPr>
          </w:p>
        </w:tc>
      </w:tr>
      <w:tr>
        <w:trPr>
          <w:trHeight w:val="216"/>
        </w:trPr>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 xml:space="preserve">Restoration Plan Vesting </w:t>
            </w:r>
            <w:r>
              <w:rPr>
                <w:rFonts w:ascii="Arial" w:cs="Arial" w:eastAsia="Arial" w:hAnsi="Arial"/>
                <w:sz w:val="15"/>
                <w:szCs w:val="15"/>
                <w:color w:val="auto"/>
              </w:rPr>
              <w:t>(9)</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266,884</w:t>
            </w:r>
          </w:p>
        </w:tc>
        <w:tc>
          <w:tcPr>
            <w:tcW w:w="36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239,334</w:t>
            </w:r>
          </w:p>
        </w:tc>
        <w:tc>
          <w:tcPr>
            <w:tcW w:w="1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625,897</w:t>
            </w: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159,229</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548,414</w:t>
            </w:r>
          </w:p>
        </w:tc>
        <w:tc>
          <w:tcPr>
            <w:tcW w:w="60" w:type="dxa"/>
            <w:vAlign w:val="bottom"/>
            <w:shd w:val="clear" w:color="auto" w:fill="CCEEFF"/>
          </w:tcPr>
          <w:p>
            <w:pPr>
              <w:spacing w:after="0"/>
              <w:rPr>
                <w:sz w:val="18"/>
                <w:szCs w:val="18"/>
                <w:color w:val="auto"/>
              </w:rPr>
            </w:pPr>
          </w:p>
        </w:tc>
      </w:tr>
      <w:tr>
        <w:trPr>
          <w:trHeight w:val="216"/>
        </w:trPr>
        <w:tc>
          <w:tcPr>
            <w:tcW w:w="5020" w:type="dxa"/>
            <w:vAlign w:val="bottom"/>
          </w:tcPr>
          <w:p>
            <w:pPr>
              <w:spacing w:after="0"/>
              <w:rPr>
                <w:sz w:val="20"/>
                <w:szCs w:val="20"/>
                <w:color w:val="auto"/>
              </w:rPr>
            </w:pPr>
            <w:r>
              <w:rPr>
                <w:rFonts w:ascii="Arial" w:cs="Arial" w:eastAsia="Arial" w:hAnsi="Arial"/>
                <w:sz w:val="18"/>
                <w:szCs w:val="18"/>
                <w:color w:val="auto"/>
              </w:rPr>
              <w:t xml:space="preserve">Continued Life Insurance </w:t>
            </w:r>
            <w:r>
              <w:rPr>
                <w:rFonts w:ascii="Arial" w:cs="Arial" w:eastAsia="Arial" w:hAnsi="Arial"/>
                <w:sz w:val="15"/>
                <w:szCs w:val="15"/>
                <w:color w:val="auto"/>
              </w:rPr>
              <w:t>(10)</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34,055</w:t>
            </w:r>
          </w:p>
        </w:tc>
        <w:tc>
          <w:tcPr>
            <w:tcW w:w="360" w:type="dxa"/>
            <w:vAlign w:val="bottom"/>
          </w:tcPr>
          <w:p>
            <w:pPr>
              <w:spacing w:after="0"/>
              <w:rPr>
                <w:sz w:val="18"/>
                <w:szCs w:val="18"/>
                <w:color w:val="auto"/>
              </w:rPr>
            </w:pPr>
          </w:p>
        </w:tc>
        <w:tc>
          <w:tcPr>
            <w:tcW w:w="1280" w:type="dxa"/>
            <w:vAlign w:val="bottom"/>
            <w:gridSpan w:val="2"/>
          </w:tcPr>
          <w:p>
            <w:pPr>
              <w:jc w:val="right"/>
              <w:ind w:right="400"/>
              <w:spacing w:after="0"/>
              <w:rPr>
                <w:sz w:val="20"/>
                <w:szCs w:val="20"/>
                <w:color w:val="auto"/>
              </w:rPr>
            </w:pPr>
            <w:r>
              <w:rPr>
                <w:rFonts w:ascii="Arial" w:cs="Arial" w:eastAsia="Arial" w:hAnsi="Arial"/>
                <w:sz w:val="18"/>
                <w:szCs w:val="18"/>
                <w:color w:val="auto"/>
              </w:rPr>
              <w:t>12,760</w:t>
            </w:r>
          </w:p>
        </w:tc>
        <w:tc>
          <w:tcPr>
            <w:tcW w:w="120" w:type="dxa"/>
            <w:vAlign w:val="bottom"/>
          </w:tcPr>
          <w:p>
            <w:pPr>
              <w:spacing w:after="0"/>
              <w:rPr>
                <w:sz w:val="18"/>
                <w:szCs w:val="18"/>
                <w:color w:val="auto"/>
              </w:rPr>
            </w:pP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26,937</w:t>
            </w:r>
          </w:p>
        </w:tc>
        <w:tc>
          <w:tcPr>
            <w:tcW w:w="100" w:type="dxa"/>
            <w:vAlign w:val="bottom"/>
          </w:tcPr>
          <w:p>
            <w:pPr>
              <w:spacing w:after="0"/>
              <w:rPr>
                <w:sz w:val="18"/>
                <w:szCs w:val="18"/>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19,850</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60"/>
              <w:spacing w:after="0"/>
              <w:rPr>
                <w:sz w:val="20"/>
                <w:szCs w:val="20"/>
                <w:color w:val="auto"/>
              </w:rPr>
            </w:pPr>
            <w:r>
              <w:rPr>
                <w:rFonts w:ascii="Arial" w:cs="Arial" w:eastAsia="Arial" w:hAnsi="Arial"/>
                <w:sz w:val="18"/>
                <w:szCs w:val="18"/>
                <w:color w:val="auto"/>
              </w:rPr>
              <w:t>15,292</w:t>
            </w:r>
          </w:p>
        </w:tc>
      </w:tr>
      <w:tr>
        <w:trPr>
          <w:trHeight w:val="216"/>
        </w:trPr>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 xml:space="preserve">280G Cut-Back </w:t>
            </w:r>
            <w:r>
              <w:rPr>
                <w:rFonts w:ascii="Arial" w:cs="Arial" w:eastAsia="Arial" w:hAnsi="Arial"/>
                <w:sz w:val="15"/>
                <w:szCs w:val="15"/>
                <w:color w:val="auto"/>
              </w:rPr>
              <w:t>(11)</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3"/>
            <w:shd w:val="clear" w:color="auto" w:fill="CCEEFF"/>
          </w:tcPr>
          <w:p>
            <w:pPr>
              <w:ind w:left="58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(344,185)</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ind w:left="600"/>
              <w:spacing w:after="0"/>
              <w:rPr>
                <w:sz w:val="20"/>
                <w:szCs w:val="20"/>
                <w:color w:val="auto"/>
              </w:rPr>
            </w:pPr>
            <w:r>
              <w:rPr>
                <w:rFonts w:ascii="Arial" w:cs="Arial" w:eastAsia="Arial" w:hAnsi="Arial"/>
                <w:sz w:val="18"/>
                <w:szCs w:val="18"/>
                <w:color w:val="auto"/>
              </w:rPr>
              <w:t>—</w:t>
            </w:r>
          </w:p>
        </w:tc>
      </w:tr>
      <w:tr>
        <w:trPr>
          <w:trHeight w:val="223"/>
        </w:trPr>
        <w:tc>
          <w:tcPr>
            <w:tcW w:w="5020" w:type="dxa"/>
            <w:vAlign w:val="bottom"/>
          </w:tcPr>
          <w:p>
            <w:pPr>
              <w:spacing w:after="0"/>
              <w:rPr>
                <w:sz w:val="20"/>
                <w:szCs w:val="20"/>
                <w:color w:val="auto"/>
              </w:rPr>
            </w:pPr>
            <w:r>
              <w:rPr>
                <w:rFonts w:ascii="Arial" w:cs="Arial" w:eastAsia="Arial" w:hAnsi="Arial"/>
                <w:sz w:val="18"/>
                <w:szCs w:val="18"/>
                <w:color w:val="auto"/>
              </w:rPr>
              <w:t>Total</w:t>
            </w:r>
          </w:p>
        </w:tc>
        <w:tc>
          <w:tcPr>
            <w:tcW w:w="20" w:type="dxa"/>
            <w:vAlign w:val="bottom"/>
            <w:tcBorders>
              <w:bottom w:val="single" w:sz="8" w:color="auto"/>
            </w:tcBorders>
          </w:tcPr>
          <w:p>
            <w:pPr>
              <w:spacing w:after="0"/>
              <w:rPr>
                <w:sz w:val="19"/>
                <w:szCs w:val="19"/>
                <w:color w:val="auto"/>
              </w:rPr>
            </w:pPr>
          </w:p>
        </w:tc>
        <w:tc>
          <w:tcPr>
            <w:tcW w:w="120" w:type="dxa"/>
            <w:vAlign w:val="bottom"/>
            <w:tcBorders>
              <w:top w:val="single" w:sz="8" w:color="auto"/>
              <w:bottom w:val="single" w:sz="8" w:color="auto"/>
            </w:tcBorders>
          </w:tcPr>
          <w:p>
            <w:pPr>
              <w:jc w:val="right"/>
              <w:ind w:right="3"/>
              <w:spacing w:after="0"/>
              <w:rPr>
                <w:sz w:val="20"/>
                <w:szCs w:val="20"/>
                <w:color w:val="auto"/>
              </w:rPr>
            </w:pPr>
            <w:r>
              <w:rPr>
                <w:rFonts w:ascii="Arial" w:cs="Arial" w:eastAsia="Arial" w:hAnsi="Arial"/>
                <w:sz w:val="10"/>
                <w:szCs w:val="10"/>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3"/>
              </w:rPr>
              <w:t>12,965,181</w:t>
            </w:r>
          </w:p>
        </w:tc>
        <w:tc>
          <w:tcPr>
            <w:tcW w:w="20" w:type="dxa"/>
            <w:vAlign w:val="bottom"/>
            <w:tcBorders>
              <w:bottom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0"/>
              </w:rPr>
              <w:t>$ 5,582,929</w:t>
            </w:r>
          </w:p>
        </w:tc>
        <w:tc>
          <w:tcPr>
            <w:tcW w:w="40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3"/>
              </w:rPr>
              <w:t>11,763,662</w:t>
            </w:r>
          </w:p>
        </w:tc>
        <w:tc>
          <w:tcPr>
            <w:tcW w:w="44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4,669,321</w:t>
            </w: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11,311,163</w:t>
            </w:r>
          </w:p>
        </w:tc>
        <w:tc>
          <w:tcPr>
            <w:tcW w:w="60" w:type="dxa"/>
            <w:vAlign w:val="bottom"/>
          </w:tcPr>
          <w:p>
            <w:pPr>
              <w:spacing w:after="0"/>
              <w:rPr>
                <w:sz w:val="19"/>
                <w:szCs w:val="19"/>
                <w:color w:val="auto"/>
              </w:rPr>
            </w:pPr>
          </w:p>
        </w:tc>
      </w:tr>
      <w:tr>
        <w:trPr>
          <w:trHeight w:val="20"/>
        </w:trPr>
        <w:tc>
          <w:tcPr>
            <w:tcW w:w="50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94615</wp:posOffset>
            </wp:positionV>
            <wp:extent cx="728980"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68" w:lineRule="exact"/>
        <w:rPr>
          <w:sz w:val="20"/>
          <w:szCs w:val="20"/>
          <w:color w:val="auto"/>
        </w:rPr>
      </w:pPr>
    </w:p>
    <w:p>
      <w:pPr>
        <w:ind w:left="460" w:right="80" w:hanging="452"/>
        <w:spacing w:after="0" w:line="264" w:lineRule="auto"/>
        <w:tabs>
          <w:tab w:leader="none" w:pos="460" w:val="left"/>
        </w:tabs>
        <w:numPr>
          <w:ilvl w:val="0"/>
          <w:numId w:val="57"/>
        </w:numPr>
        <w:rPr>
          <w:rFonts w:ascii="Arial" w:cs="Arial" w:eastAsia="Arial" w:hAnsi="Arial"/>
          <w:sz w:val="15"/>
          <w:szCs w:val="15"/>
          <w:color w:val="auto"/>
        </w:rPr>
      </w:pPr>
      <w:r>
        <w:rPr>
          <w:rFonts w:ascii="Arial" w:cs="Arial" w:eastAsia="Arial" w:hAnsi="Arial"/>
          <w:sz w:val="18"/>
          <w:szCs w:val="18"/>
          <w:color w:val="auto"/>
        </w:rPr>
        <w:t>Reflects a lump sum cash severance payment, payable within 60 days of the date of termination in an amount equal to two and one-half times base salary plus two and one-half times target annual incentive in the case of Mr. McInerney, or two times base salary plus two times target annual incentive in the case of the other named executive officers.</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20"/>
          </w:cols>
          <w:pgMar w:left="240" w:top="459" w:right="23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240" w:hanging="452"/>
        <w:spacing w:after="0" w:line="271" w:lineRule="auto"/>
        <w:tabs>
          <w:tab w:leader="none" w:pos="460" w:val="left"/>
        </w:tabs>
        <w:numPr>
          <w:ilvl w:val="0"/>
          <w:numId w:val="58"/>
        </w:numPr>
        <w:rPr>
          <w:rFonts w:ascii="Arial" w:cs="Arial" w:eastAsia="Arial" w:hAnsi="Arial"/>
          <w:sz w:val="14"/>
          <w:szCs w:val="14"/>
          <w:color w:val="auto"/>
        </w:rPr>
      </w:pPr>
      <w:r>
        <w:rPr>
          <w:rFonts w:ascii="Arial" w:cs="Arial" w:eastAsia="Arial" w:hAnsi="Arial"/>
          <w:sz w:val="17"/>
          <w:szCs w:val="17"/>
          <w:color w:val="auto"/>
        </w:rPr>
        <w:t>Reflects lump sum cash payment of the current-year annual incentive award based on actual performance results through the end of 2016. Annual incentive awards under the 2014 Change of Control Plan are determined based on actual pro rata performance, to the extent such performance can be reasonably established, or otherwise based on an assumed achievement of all relevant performance goals at “target.”</w:t>
      </w:r>
    </w:p>
    <w:p>
      <w:pPr>
        <w:ind w:left="460" w:right="380" w:hanging="452"/>
        <w:spacing w:after="0" w:line="250" w:lineRule="auto"/>
        <w:tabs>
          <w:tab w:leader="none" w:pos="460" w:val="left"/>
        </w:tabs>
        <w:numPr>
          <w:ilvl w:val="0"/>
          <w:numId w:val="58"/>
        </w:numPr>
        <w:rPr>
          <w:rFonts w:ascii="Arial" w:cs="Arial" w:eastAsia="Arial" w:hAnsi="Arial"/>
          <w:sz w:val="15"/>
          <w:szCs w:val="15"/>
          <w:color w:val="auto"/>
        </w:rPr>
      </w:pPr>
      <w:r>
        <w:rPr>
          <w:rFonts w:ascii="Arial" w:cs="Arial" w:eastAsia="Arial" w:hAnsi="Arial"/>
          <w:sz w:val="18"/>
          <w:szCs w:val="18"/>
          <w:color w:val="auto"/>
        </w:rPr>
        <w:t xml:space="preserve">Reflects cash-based retention incentive awards that remained outstanding and had not been earned as of December 31, 2016. For more information regarding the retention incentive, please see the </w:t>
      </w:r>
      <w:r>
        <w:rPr>
          <w:rFonts w:ascii="Arial" w:cs="Arial" w:eastAsia="Arial" w:hAnsi="Arial"/>
          <w:sz w:val="18"/>
          <w:szCs w:val="18"/>
          <w:i w:val="1"/>
          <w:iCs w:val="1"/>
          <w:color w:val="auto"/>
        </w:rPr>
        <w:t>Compensation Discussion and Analysis</w:t>
      </w:r>
      <w:r>
        <w:rPr>
          <w:rFonts w:ascii="Arial" w:cs="Arial" w:eastAsia="Arial" w:hAnsi="Arial"/>
          <w:sz w:val="18"/>
          <w:szCs w:val="18"/>
          <w:color w:val="auto"/>
        </w:rPr>
        <w:t xml:space="preserve"> section above.</w:t>
      </w:r>
    </w:p>
    <w:p>
      <w:pPr>
        <w:ind w:left="460" w:hanging="452"/>
        <w:spacing w:after="0"/>
        <w:tabs>
          <w:tab w:leader="none" w:pos="460" w:val="left"/>
        </w:tabs>
        <w:numPr>
          <w:ilvl w:val="0"/>
          <w:numId w:val="58"/>
        </w:numPr>
        <w:rPr>
          <w:rFonts w:ascii="Arial" w:cs="Arial" w:eastAsia="Arial" w:hAnsi="Arial"/>
          <w:sz w:val="15"/>
          <w:szCs w:val="15"/>
          <w:color w:val="auto"/>
        </w:rPr>
      </w:pPr>
      <w:r>
        <w:rPr>
          <w:rFonts w:ascii="Arial" w:cs="Arial" w:eastAsia="Arial" w:hAnsi="Arial"/>
          <w:sz w:val="18"/>
          <w:szCs w:val="18"/>
          <w:color w:val="auto"/>
        </w:rPr>
        <w:t>Reflects a lump sum cash payment equal to the company cost of 18 months of continued health coverage.</w:t>
      </w:r>
    </w:p>
    <w:p>
      <w:pPr>
        <w:spacing w:after="0" w:line="9" w:lineRule="exact"/>
        <w:rPr>
          <w:rFonts w:ascii="Arial" w:cs="Arial" w:eastAsia="Arial" w:hAnsi="Arial"/>
          <w:sz w:val="15"/>
          <w:szCs w:val="15"/>
          <w:color w:val="auto"/>
        </w:rPr>
      </w:pPr>
    </w:p>
    <w:p>
      <w:pPr>
        <w:ind w:left="460" w:right="140" w:hanging="452"/>
        <w:spacing w:after="0" w:line="250" w:lineRule="auto"/>
        <w:tabs>
          <w:tab w:leader="none" w:pos="460" w:val="left"/>
        </w:tabs>
        <w:numPr>
          <w:ilvl w:val="0"/>
          <w:numId w:val="58"/>
        </w:numPr>
        <w:rPr>
          <w:rFonts w:ascii="Arial" w:cs="Arial" w:eastAsia="Arial" w:hAnsi="Arial"/>
          <w:sz w:val="15"/>
          <w:szCs w:val="15"/>
          <w:color w:val="auto"/>
        </w:rPr>
      </w:pPr>
      <w:r>
        <w:rPr>
          <w:rFonts w:ascii="Arial" w:cs="Arial" w:eastAsia="Arial" w:hAnsi="Arial"/>
          <w:sz w:val="18"/>
          <w:szCs w:val="18"/>
          <w:color w:val="auto"/>
        </w:rPr>
        <w:t>Reflects the aggregate value of stock options and SARs (based on the excess, if any, of the closing price of Genworth common stock on December 31, 2016 over the exercise price) which would become immediately vested and exercisable in full. Because the closing price of Genworth common stock on December 31, 2016 ($3.81) was less than the exercise price for all stock options and SARs that would become vested, no value for these awards is reflected in the table.</w:t>
      </w:r>
    </w:p>
    <w:p>
      <w:pPr>
        <w:spacing w:after="0" w:line="1" w:lineRule="exact"/>
        <w:rPr>
          <w:rFonts w:ascii="Arial" w:cs="Arial" w:eastAsia="Arial" w:hAnsi="Arial"/>
          <w:sz w:val="15"/>
          <w:szCs w:val="15"/>
          <w:color w:val="auto"/>
        </w:rPr>
      </w:pPr>
    </w:p>
    <w:p>
      <w:pPr>
        <w:ind w:left="460" w:right="860" w:hanging="452"/>
        <w:spacing w:after="0" w:line="250" w:lineRule="auto"/>
        <w:tabs>
          <w:tab w:leader="none" w:pos="460" w:val="left"/>
        </w:tabs>
        <w:numPr>
          <w:ilvl w:val="0"/>
          <w:numId w:val="58"/>
        </w:numPr>
        <w:rPr>
          <w:rFonts w:ascii="Arial" w:cs="Arial" w:eastAsia="Arial" w:hAnsi="Arial"/>
          <w:sz w:val="15"/>
          <w:szCs w:val="15"/>
          <w:color w:val="auto"/>
        </w:rPr>
      </w:pPr>
      <w:r>
        <w:rPr>
          <w:rFonts w:ascii="Arial" w:cs="Arial" w:eastAsia="Arial" w:hAnsi="Arial"/>
          <w:sz w:val="18"/>
          <w:szCs w:val="18"/>
          <w:color w:val="auto"/>
        </w:rPr>
        <w:t>Reflects the aggregate value of RSUs (based on the closing price of Genworth common stock on December 31, 2016 of $3.81) which would immediately vest as of the executive’s termination.</w:t>
      </w:r>
    </w:p>
    <w:p>
      <w:pPr>
        <w:ind w:left="460" w:right="20" w:hanging="452"/>
        <w:spacing w:after="0" w:line="250" w:lineRule="auto"/>
        <w:tabs>
          <w:tab w:leader="none" w:pos="460" w:val="left"/>
        </w:tabs>
        <w:numPr>
          <w:ilvl w:val="0"/>
          <w:numId w:val="58"/>
        </w:numPr>
        <w:rPr>
          <w:rFonts w:ascii="Arial" w:cs="Arial" w:eastAsia="Arial" w:hAnsi="Arial"/>
          <w:sz w:val="15"/>
          <w:szCs w:val="15"/>
          <w:color w:val="auto"/>
        </w:rPr>
      </w:pPr>
      <w:r>
        <w:rPr>
          <w:rFonts w:ascii="Arial" w:cs="Arial" w:eastAsia="Arial" w:hAnsi="Arial"/>
          <w:sz w:val="18"/>
          <w:szCs w:val="18"/>
          <w:color w:val="auto"/>
        </w:rPr>
        <w:t>Pursuant to the 2014 Change of Control Plan, 2015-2017 and 2016—2018 PSUs would become vested and be deemed earned based on actual pro rata performance as of the date of a participant’s Qualified Termination, to the extent such performance can be reasonably established in the sole discretion of the Compensation Committee, or otherwise based on an assumed achievement of all relevant performance goals at “target.” Amounts in column reflect the aggregate value of these PSUs (based on the closing price of Genworth common stock on December 31, 2015 of $3.81) which would become vested based on an assumed achievement of performance goals at “target levels,” and a pro rata payout based on the portion of the performance period elapsed as of the Qualified Termination. Based on performance toward goals, the 2014-2016 PSUs did not result in any payout following the performance period.</w:t>
      </w:r>
    </w:p>
    <w:p>
      <w:pPr>
        <w:spacing w:after="0" w:line="3" w:lineRule="exact"/>
        <w:rPr>
          <w:rFonts w:ascii="Arial" w:cs="Arial" w:eastAsia="Arial" w:hAnsi="Arial"/>
          <w:sz w:val="15"/>
          <w:szCs w:val="15"/>
          <w:color w:val="auto"/>
        </w:rPr>
      </w:pPr>
    </w:p>
    <w:p>
      <w:pPr>
        <w:ind w:left="460" w:right="140" w:hanging="452"/>
        <w:spacing w:after="0" w:line="250" w:lineRule="auto"/>
        <w:tabs>
          <w:tab w:leader="none" w:pos="460" w:val="left"/>
        </w:tabs>
        <w:numPr>
          <w:ilvl w:val="0"/>
          <w:numId w:val="58"/>
        </w:numPr>
        <w:rPr>
          <w:rFonts w:ascii="Arial" w:cs="Arial" w:eastAsia="Arial" w:hAnsi="Arial"/>
          <w:sz w:val="15"/>
          <w:szCs w:val="15"/>
          <w:color w:val="auto"/>
        </w:rPr>
      </w:pPr>
      <w:r>
        <w:rPr>
          <w:rFonts w:ascii="Arial" w:cs="Arial" w:eastAsia="Arial" w:hAnsi="Arial"/>
          <w:sz w:val="18"/>
          <w:szCs w:val="18"/>
          <w:color w:val="auto"/>
        </w:rPr>
        <w:t>Reflects the present value of each participating named executive officer’s accumulated benefits under the SERP, as noted in the 2016 Pension Benefits Table, which would become fully vested.</w:t>
      </w:r>
    </w:p>
    <w:p>
      <w:pPr>
        <w:ind w:left="460" w:right="280" w:hanging="452"/>
        <w:spacing w:after="0" w:line="250" w:lineRule="auto"/>
        <w:tabs>
          <w:tab w:leader="none" w:pos="460" w:val="left"/>
        </w:tabs>
        <w:numPr>
          <w:ilvl w:val="0"/>
          <w:numId w:val="58"/>
        </w:numPr>
        <w:rPr>
          <w:rFonts w:ascii="Arial" w:cs="Arial" w:eastAsia="Arial" w:hAnsi="Arial"/>
          <w:sz w:val="15"/>
          <w:szCs w:val="15"/>
          <w:color w:val="auto"/>
        </w:rPr>
      </w:pPr>
      <w:r>
        <w:rPr>
          <w:rFonts w:ascii="Arial" w:cs="Arial" w:eastAsia="Arial" w:hAnsi="Arial"/>
          <w:sz w:val="18"/>
          <w:szCs w:val="18"/>
          <w:color w:val="auto"/>
        </w:rPr>
        <w:t>Reflects the outstanding balance of the Restoration Plan as of December 31, 2016, including contributions made to the plan in 2017 for qualified earnings in 2016, as noted in the 2016 Non-Qualified Deferred Compensation Table, which would become fully vested. For Mr. McInerney, this represents only the Supplemental Contribution account balance within the Restoration Plan due to the fact he is already vested in the 401(k) Savings and Retirement Account Feature balances.</w:t>
      </w:r>
    </w:p>
    <w:p>
      <w:pPr>
        <w:spacing w:after="0" w:line="1" w:lineRule="exact"/>
        <w:rPr>
          <w:rFonts w:ascii="Arial" w:cs="Arial" w:eastAsia="Arial" w:hAnsi="Arial"/>
          <w:sz w:val="15"/>
          <w:szCs w:val="15"/>
          <w:color w:val="auto"/>
        </w:rPr>
      </w:pPr>
    </w:p>
    <w:p>
      <w:pPr>
        <w:ind w:left="460" w:hanging="452"/>
        <w:spacing w:after="0"/>
        <w:tabs>
          <w:tab w:leader="none" w:pos="460" w:val="left"/>
        </w:tabs>
        <w:numPr>
          <w:ilvl w:val="0"/>
          <w:numId w:val="58"/>
        </w:numPr>
        <w:rPr>
          <w:rFonts w:ascii="Arial" w:cs="Arial" w:eastAsia="Arial" w:hAnsi="Arial"/>
          <w:sz w:val="14"/>
          <w:szCs w:val="14"/>
          <w:color w:val="auto"/>
        </w:rPr>
      </w:pPr>
      <w:r>
        <w:rPr>
          <w:rFonts w:ascii="Arial" w:cs="Arial" w:eastAsia="Arial" w:hAnsi="Arial"/>
          <w:sz w:val="17"/>
          <w:szCs w:val="17"/>
          <w:color w:val="auto"/>
        </w:rPr>
        <w:t>Reflects the estimated value of premium payments for 18 months of continued coverage under the Leadership Life and Executive Life Programs.</w:t>
      </w:r>
    </w:p>
    <w:p>
      <w:pPr>
        <w:spacing w:after="0" w:line="20" w:lineRule="exact"/>
        <w:rPr>
          <w:rFonts w:ascii="Arial" w:cs="Arial" w:eastAsia="Arial" w:hAnsi="Arial"/>
          <w:sz w:val="14"/>
          <w:szCs w:val="14"/>
          <w:color w:val="auto"/>
        </w:rPr>
      </w:pPr>
    </w:p>
    <w:p>
      <w:pPr>
        <w:jc w:val="both"/>
        <w:ind w:left="460" w:right="60" w:hanging="452"/>
        <w:spacing w:after="0" w:line="302" w:lineRule="auto"/>
        <w:tabs>
          <w:tab w:leader="none" w:pos="460" w:val="left"/>
        </w:tabs>
        <w:numPr>
          <w:ilvl w:val="0"/>
          <w:numId w:val="58"/>
        </w:numPr>
        <w:rPr>
          <w:rFonts w:ascii="Arial" w:cs="Arial" w:eastAsia="Arial" w:hAnsi="Arial"/>
          <w:sz w:val="14"/>
          <w:szCs w:val="14"/>
          <w:color w:val="auto"/>
        </w:rPr>
      </w:pPr>
      <w:r>
        <w:rPr>
          <w:rFonts w:ascii="Arial" w:cs="Arial" w:eastAsia="Arial" w:hAnsi="Arial"/>
          <w:sz w:val="16"/>
          <w:szCs w:val="16"/>
          <w:color w:val="auto"/>
        </w:rPr>
        <w:t>If an executive’s total parachute payments exceed the 280G threshold amount by less than 10%, then the compensation payable to the executive will be reduced such that the total parachute payments to the executive do not exceed the 280G threshold amount (the amount of any such reduction is referred to as a “280G Cut-Back”). The amounts reflect a good-faith estimate of the potential 280G Cut-Back amounts for Mr. Schneider.</w:t>
      </w:r>
    </w:p>
    <w:p>
      <w:pPr>
        <w:spacing w:after="0" w:line="263" w:lineRule="exact"/>
        <w:rPr>
          <w:rFonts w:ascii="Arial" w:cs="Arial" w:eastAsia="Arial" w:hAnsi="Arial"/>
          <w:sz w:val="14"/>
          <w:szCs w:val="14"/>
          <w:color w:val="auto"/>
        </w:rPr>
      </w:pPr>
    </w:p>
    <w:p>
      <w:pPr>
        <w:ind w:left="460"/>
        <w:spacing w:after="0"/>
        <w:rPr>
          <w:rFonts w:ascii="Arial" w:cs="Arial" w:eastAsia="Arial" w:hAnsi="Arial"/>
          <w:sz w:val="14"/>
          <w:szCs w:val="14"/>
          <w:color w:val="auto"/>
        </w:rPr>
      </w:pPr>
      <w:r>
        <w:rPr>
          <w:rFonts w:ascii="Arial" w:cs="Arial" w:eastAsia="Arial" w:hAnsi="Arial"/>
          <w:sz w:val="18"/>
          <w:szCs w:val="18"/>
          <w:b w:val="1"/>
          <w:bCs w:val="1"/>
          <w:i w:val="1"/>
          <w:iCs w:val="1"/>
          <w:color w:val="auto"/>
        </w:rPr>
        <w:t>Death or Disability</w:t>
      </w:r>
    </w:p>
    <w:p>
      <w:pPr>
        <w:spacing w:after="0" w:line="117" w:lineRule="exact"/>
        <w:rPr>
          <w:rFonts w:ascii="Arial" w:cs="Arial" w:eastAsia="Arial" w:hAnsi="Arial"/>
          <w:sz w:val="14"/>
          <w:szCs w:val="14"/>
          <w:color w:val="auto"/>
        </w:rPr>
      </w:pPr>
    </w:p>
    <w:p>
      <w:pPr>
        <w:ind w:left="460"/>
        <w:spacing w:after="0"/>
        <w:rPr>
          <w:rFonts w:ascii="Arial" w:cs="Arial" w:eastAsia="Arial" w:hAnsi="Arial"/>
          <w:sz w:val="14"/>
          <w:szCs w:val="14"/>
          <w:color w:val="auto"/>
        </w:rPr>
      </w:pPr>
      <w:r>
        <w:rPr>
          <w:rFonts w:ascii="Arial" w:cs="Arial" w:eastAsia="Arial" w:hAnsi="Arial"/>
          <w:sz w:val="17"/>
          <w:szCs w:val="17"/>
          <w:color w:val="auto"/>
        </w:rPr>
        <w:t>In the event of death or total disability, executive officers (or their designated beneficiary) would generally be eligible to receive the following:</w:t>
      </w:r>
    </w:p>
    <w:p>
      <w:pPr>
        <w:spacing w:after="0" w:line="142" w:lineRule="exact"/>
        <w:rPr>
          <w:rFonts w:ascii="Arial" w:cs="Arial" w:eastAsia="Arial" w:hAnsi="Arial"/>
          <w:sz w:val="14"/>
          <w:szCs w:val="14"/>
          <w:color w:val="auto"/>
        </w:rPr>
      </w:pPr>
    </w:p>
    <w:p>
      <w:pPr>
        <w:ind w:left="900" w:hanging="325"/>
        <w:spacing w:after="0" w:line="255" w:lineRule="auto"/>
        <w:tabs>
          <w:tab w:leader="none" w:pos="900" w:val="left"/>
        </w:tabs>
        <w:numPr>
          <w:ilvl w:val="1"/>
          <w:numId w:val="58"/>
        </w:numPr>
        <w:rPr>
          <w:rFonts w:ascii="Arial" w:cs="Arial" w:eastAsia="Arial" w:hAnsi="Arial"/>
          <w:sz w:val="18"/>
          <w:szCs w:val="18"/>
          <w:color w:val="auto"/>
        </w:rPr>
      </w:pPr>
      <w:r>
        <w:rPr>
          <w:rFonts w:ascii="Arial" w:cs="Arial" w:eastAsia="Arial" w:hAnsi="Arial"/>
          <w:sz w:val="18"/>
          <w:szCs w:val="18"/>
          <w:i w:val="1"/>
          <w:iCs w:val="1"/>
          <w:color w:val="auto"/>
        </w:rPr>
        <w:t xml:space="preserve">Equity Awards. </w:t>
      </w:r>
      <w:r>
        <w:rPr>
          <w:rFonts w:ascii="Arial" w:cs="Arial" w:eastAsia="Arial" w:hAnsi="Arial"/>
          <w:sz w:val="18"/>
          <w:szCs w:val="18"/>
          <w:color w:val="auto"/>
        </w:rPr>
        <w:t>In the event of death, all unvested stock options and SARs would become vested and exercisable, all unvested RSUs would</w:t>
      </w:r>
      <w:r>
        <w:rPr>
          <w:rFonts w:ascii="Arial" w:cs="Arial" w:eastAsia="Arial" w:hAnsi="Arial"/>
          <w:sz w:val="18"/>
          <w:szCs w:val="18"/>
          <w:i w:val="1"/>
          <w:iCs w:val="1"/>
          <w:color w:val="auto"/>
        </w:rPr>
        <w:t xml:space="preserve"> </w:t>
      </w:r>
      <w:r>
        <w:rPr>
          <w:rFonts w:ascii="Arial" w:cs="Arial" w:eastAsia="Arial" w:hAnsi="Arial"/>
          <w:sz w:val="18"/>
          <w:szCs w:val="18"/>
          <w:color w:val="auto"/>
        </w:rPr>
        <w:t>become vested, and unvested PSUs held for at least one year would become vested on a pro rata basis as of the date of termination based on the number of full months elapsed from the grant date until the date of termination, and would pay out at the end of the regular performance period based on actual performance. In the event of termination due to total disability, the treatment of outstanding stock options, SARs, RSUs and PSUs is the same as in the event of death, except that with respect to outstanding stock options, SARs and RSUs, any such equity awards not held for more than a year from the grant date would be forfeited.</w:t>
      </w:r>
    </w:p>
    <w:p>
      <w:pPr>
        <w:spacing w:after="0" w:line="1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459" w:right="23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140" w:hanging="325"/>
        <w:spacing w:after="0" w:line="277" w:lineRule="auto"/>
        <w:tabs>
          <w:tab w:leader="none" w:pos="900" w:val="left"/>
        </w:tabs>
        <w:numPr>
          <w:ilvl w:val="0"/>
          <w:numId w:val="59"/>
        </w:numPr>
        <w:rPr>
          <w:rFonts w:ascii="Arial" w:cs="Arial" w:eastAsia="Arial" w:hAnsi="Arial"/>
          <w:sz w:val="18"/>
          <w:szCs w:val="18"/>
          <w:color w:val="auto"/>
        </w:rPr>
      </w:pPr>
      <w:r>
        <w:rPr>
          <w:rFonts w:ascii="Arial" w:cs="Arial" w:eastAsia="Arial" w:hAnsi="Arial"/>
          <w:sz w:val="18"/>
          <w:szCs w:val="18"/>
          <w:i w:val="1"/>
          <w:iCs w:val="1"/>
          <w:color w:val="auto"/>
        </w:rPr>
        <w:t xml:space="preserve">Annual Incentive. </w:t>
      </w:r>
      <w:r>
        <w:rPr>
          <w:rFonts w:ascii="Arial" w:cs="Arial" w:eastAsia="Arial" w:hAnsi="Arial"/>
          <w:sz w:val="18"/>
          <w:szCs w:val="18"/>
          <w:color w:val="auto"/>
        </w:rPr>
        <w:t>Executive officers (or their designated beneficiary) would receive a pro-rated portion of any annual incentive award, based on</w:t>
      </w:r>
      <w:r>
        <w:rPr>
          <w:rFonts w:ascii="Arial" w:cs="Arial" w:eastAsia="Arial" w:hAnsi="Arial"/>
          <w:sz w:val="18"/>
          <w:szCs w:val="18"/>
          <w:i w:val="1"/>
          <w:iCs w:val="1"/>
          <w:color w:val="auto"/>
        </w:rPr>
        <w:t xml:space="preserve"> </w:t>
      </w:r>
      <w:r>
        <w:rPr>
          <w:rFonts w:ascii="Arial" w:cs="Arial" w:eastAsia="Arial" w:hAnsi="Arial"/>
          <w:sz w:val="18"/>
          <w:szCs w:val="18"/>
          <w:color w:val="auto"/>
        </w:rPr>
        <w:t>actual performance results.</w:t>
      </w:r>
    </w:p>
    <w:p>
      <w:pPr>
        <w:spacing w:after="0" w:line="75" w:lineRule="exact"/>
        <w:rPr>
          <w:rFonts w:ascii="Arial" w:cs="Arial" w:eastAsia="Arial" w:hAnsi="Arial"/>
          <w:sz w:val="18"/>
          <w:szCs w:val="18"/>
          <w:color w:val="auto"/>
        </w:rPr>
      </w:pPr>
    </w:p>
    <w:p>
      <w:pPr>
        <w:ind w:left="900" w:right="80" w:hanging="325"/>
        <w:spacing w:after="0" w:line="264" w:lineRule="auto"/>
        <w:tabs>
          <w:tab w:leader="none" w:pos="900" w:val="left"/>
        </w:tabs>
        <w:numPr>
          <w:ilvl w:val="0"/>
          <w:numId w:val="59"/>
        </w:numPr>
        <w:rPr>
          <w:rFonts w:ascii="Arial" w:cs="Arial" w:eastAsia="Arial" w:hAnsi="Arial"/>
          <w:sz w:val="18"/>
          <w:szCs w:val="18"/>
          <w:color w:val="auto"/>
        </w:rPr>
      </w:pPr>
      <w:r>
        <w:rPr>
          <w:rFonts w:ascii="Arial" w:cs="Arial" w:eastAsia="Arial" w:hAnsi="Arial"/>
          <w:sz w:val="18"/>
          <w:szCs w:val="18"/>
          <w:i w:val="1"/>
          <w:iCs w:val="1"/>
          <w:color w:val="auto"/>
        </w:rPr>
        <w:t>Retirement Programs</w:t>
      </w:r>
      <w:r>
        <w:rPr>
          <w:rFonts w:ascii="Arial" w:cs="Arial" w:eastAsia="Arial" w:hAnsi="Arial"/>
          <w:sz w:val="18"/>
          <w:szCs w:val="18"/>
          <w:color w:val="auto"/>
        </w:rPr>
        <w:t>. Executive officers (or their designated beneficiary) would become vested in the SERP benefits shown in the 2016 Pension</w:t>
      </w:r>
      <w:r>
        <w:rPr>
          <w:rFonts w:ascii="Arial" w:cs="Arial" w:eastAsia="Arial" w:hAnsi="Arial"/>
          <w:sz w:val="18"/>
          <w:szCs w:val="18"/>
          <w:i w:val="1"/>
          <w:iCs w:val="1"/>
          <w:color w:val="auto"/>
        </w:rPr>
        <w:t xml:space="preserve"> </w:t>
      </w:r>
      <w:r>
        <w:rPr>
          <w:rFonts w:ascii="Arial" w:cs="Arial" w:eastAsia="Arial" w:hAnsi="Arial"/>
          <w:sz w:val="18"/>
          <w:szCs w:val="18"/>
          <w:color w:val="auto"/>
        </w:rPr>
        <w:t>Benefits Table and the balance of the Restoration Plan reported in the 2016 Non-Qualified Deferred Compensation Table (which includes the 2017 contribution to the Restoration Plan, based on 2016 compensation).</w:t>
      </w:r>
    </w:p>
    <w:p>
      <w:pPr>
        <w:spacing w:after="0" w:line="86" w:lineRule="exact"/>
        <w:rPr>
          <w:rFonts w:ascii="Arial" w:cs="Arial" w:eastAsia="Arial" w:hAnsi="Arial"/>
          <w:sz w:val="18"/>
          <w:szCs w:val="18"/>
          <w:color w:val="auto"/>
        </w:rPr>
      </w:pPr>
    </w:p>
    <w:p>
      <w:pPr>
        <w:jc w:val="both"/>
        <w:ind w:left="900" w:right="340" w:hanging="325"/>
        <w:spacing w:after="0" w:line="264" w:lineRule="auto"/>
        <w:tabs>
          <w:tab w:leader="none" w:pos="900" w:val="left"/>
        </w:tabs>
        <w:numPr>
          <w:ilvl w:val="0"/>
          <w:numId w:val="59"/>
        </w:numPr>
        <w:rPr>
          <w:rFonts w:ascii="Arial" w:cs="Arial" w:eastAsia="Arial" w:hAnsi="Arial"/>
          <w:sz w:val="18"/>
          <w:szCs w:val="18"/>
          <w:color w:val="auto"/>
        </w:rPr>
      </w:pPr>
      <w:r>
        <w:rPr>
          <w:rFonts w:ascii="Arial" w:cs="Arial" w:eastAsia="Arial" w:hAnsi="Arial"/>
          <w:sz w:val="18"/>
          <w:szCs w:val="18"/>
          <w:i w:val="1"/>
          <w:iCs w:val="1"/>
          <w:color w:val="auto"/>
        </w:rPr>
        <w:t>Life Insurance Programs</w:t>
      </w:r>
      <w:r>
        <w:rPr>
          <w:rFonts w:ascii="Arial" w:cs="Arial" w:eastAsia="Arial" w:hAnsi="Arial"/>
          <w:sz w:val="18"/>
          <w:szCs w:val="18"/>
          <w:color w:val="auto"/>
        </w:rPr>
        <w:t>. In the event of death, their beneficiary would receive payments pursuant to the Leadership Life and Executive Life</w:t>
      </w:r>
      <w:r>
        <w:rPr>
          <w:rFonts w:ascii="Arial" w:cs="Arial" w:eastAsia="Arial" w:hAnsi="Arial"/>
          <w:sz w:val="18"/>
          <w:szCs w:val="18"/>
          <w:i w:val="1"/>
          <w:iCs w:val="1"/>
          <w:color w:val="auto"/>
        </w:rPr>
        <w:t xml:space="preserve"> </w:t>
      </w:r>
      <w:r>
        <w:rPr>
          <w:rFonts w:ascii="Arial" w:cs="Arial" w:eastAsia="Arial" w:hAnsi="Arial"/>
          <w:sz w:val="18"/>
          <w:szCs w:val="18"/>
          <w:color w:val="auto"/>
        </w:rPr>
        <w:t>Programs in the form of death benefits. In the event of disability, the executive would receive one year of continued Leadership Life Program premiums.</w:t>
      </w:r>
    </w:p>
    <w:p>
      <w:pPr>
        <w:spacing w:after="0" w:line="181" w:lineRule="exact"/>
        <w:rPr>
          <w:sz w:val="20"/>
          <w:szCs w:val="20"/>
          <w:color w:val="auto"/>
        </w:rPr>
      </w:pPr>
    </w:p>
    <w:p>
      <w:pPr>
        <w:ind w:right="360" w:firstLine="456"/>
        <w:spacing w:after="0" w:line="277" w:lineRule="auto"/>
        <w:rPr>
          <w:sz w:val="20"/>
          <w:szCs w:val="20"/>
          <w:color w:val="auto"/>
        </w:rPr>
      </w:pPr>
      <w:r>
        <w:rPr>
          <w:rFonts w:ascii="Arial" w:cs="Arial" w:eastAsia="Arial" w:hAnsi="Arial"/>
          <w:sz w:val="18"/>
          <w:szCs w:val="18"/>
          <w:color w:val="auto"/>
        </w:rPr>
        <w:t>The following table summarizes the payments and benefits payable to the named executive officers (or their designated beneficiary) in the event of death or total disability as of December 31, 2016:</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0" w:type="dxa"/>
            <w:vAlign w:val="bottom"/>
            <w:gridSpan w:val="6"/>
          </w:tcPr>
          <w:p>
            <w:pPr>
              <w:ind w:left="160"/>
              <w:spacing w:after="0"/>
              <w:rPr>
                <w:sz w:val="20"/>
                <w:szCs w:val="20"/>
                <w:color w:val="auto"/>
              </w:rPr>
            </w:pPr>
            <w:r>
              <w:rPr>
                <w:rFonts w:ascii="Arial" w:cs="Arial" w:eastAsia="Arial" w:hAnsi="Arial"/>
                <w:sz w:val="14"/>
                <w:szCs w:val="14"/>
                <w:b w:val="1"/>
                <w:bCs w:val="1"/>
                <w:color w:val="auto"/>
              </w:rPr>
              <w:t>Mr. McInerney</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20" w:type="dxa"/>
            <w:vAlign w:val="bottom"/>
            <w:gridSpan w:val="5"/>
          </w:tcPr>
          <w:p>
            <w:pPr>
              <w:jc w:val="right"/>
              <w:ind w:right="500"/>
              <w:spacing w:after="0"/>
              <w:rPr>
                <w:sz w:val="20"/>
                <w:szCs w:val="20"/>
                <w:color w:val="auto"/>
              </w:rPr>
            </w:pPr>
            <w:r>
              <w:rPr>
                <w:rFonts w:ascii="Arial" w:cs="Arial" w:eastAsia="Arial" w:hAnsi="Arial"/>
                <w:sz w:val="14"/>
                <w:szCs w:val="14"/>
                <w:b w:val="1"/>
                <w:bCs w:val="1"/>
                <w:color w:val="auto"/>
              </w:rPr>
              <w:t>Ms. Groh</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60" w:type="dxa"/>
            <w:vAlign w:val="bottom"/>
            <w:gridSpan w:val="6"/>
          </w:tcPr>
          <w:p>
            <w:pPr>
              <w:jc w:val="right"/>
              <w:ind w:right="460"/>
              <w:spacing w:after="0"/>
              <w:rPr>
                <w:sz w:val="20"/>
                <w:szCs w:val="20"/>
                <w:color w:val="auto"/>
              </w:rPr>
            </w:pPr>
            <w:r>
              <w:rPr>
                <w:rFonts w:ascii="Arial" w:cs="Arial" w:eastAsia="Arial" w:hAnsi="Arial"/>
                <w:sz w:val="14"/>
                <w:szCs w:val="14"/>
                <w:b w:val="1"/>
                <w:bCs w:val="1"/>
                <w:color w:val="auto"/>
              </w:rPr>
              <w:t>Mr. Schneider</w:t>
            </w:r>
          </w:p>
        </w:tc>
        <w:tc>
          <w:tcPr>
            <w:tcW w:w="100" w:type="dxa"/>
            <w:vAlign w:val="bottom"/>
          </w:tcPr>
          <w:p>
            <w:pPr>
              <w:spacing w:after="0"/>
              <w:rPr>
                <w:sz w:val="14"/>
                <w:szCs w:val="14"/>
                <w:color w:val="auto"/>
              </w:rPr>
            </w:pPr>
          </w:p>
        </w:tc>
        <w:tc>
          <w:tcPr>
            <w:tcW w:w="1440" w:type="dxa"/>
            <w:vAlign w:val="bottom"/>
            <w:gridSpan w:val="5"/>
          </w:tcPr>
          <w:p>
            <w:pPr>
              <w:ind w:left="300"/>
              <w:spacing w:after="0"/>
              <w:rPr>
                <w:sz w:val="20"/>
                <w:szCs w:val="20"/>
                <w:color w:val="auto"/>
              </w:rPr>
            </w:pPr>
            <w:r>
              <w:rPr>
                <w:rFonts w:ascii="Arial" w:cs="Arial" w:eastAsia="Arial" w:hAnsi="Arial"/>
                <w:sz w:val="14"/>
                <w:szCs w:val="14"/>
                <w:b w:val="1"/>
                <w:bCs w:val="1"/>
                <w:color w:val="auto"/>
              </w:rPr>
              <w:t>Mr. Bobitz</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40" w:type="dxa"/>
            <w:vAlign w:val="bottom"/>
            <w:gridSpan w:val="5"/>
          </w:tcPr>
          <w:p>
            <w:pPr>
              <w:jc w:val="right"/>
              <w:ind w:right="460"/>
              <w:spacing w:after="0"/>
              <w:rPr>
                <w:sz w:val="20"/>
                <w:szCs w:val="20"/>
                <w:color w:val="auto"/>
              </w:rPr>
            </w:pPr>
            <w:r>
              <w:rPr>
                <w:rFonts w:ascii="Arial" w:cs="Arial" w:eastAsia="Arial" w:hAnsi="Arial"/>
                <w:sz w:val="14"/>
                <w:szCs w:val="14"/>
                <w:b w:val="1"/>
                <w:bCs w:val="1"/>
                <w:color w:val="auto"/>
              </w:rPr>
              <w:t>Mr. Sheehan</w:t>
            </w:r>
          </w:p>
        </w:tc>
      </w:tr>
      <w:tr>
        <w:trPr>
          <w:trHeight w:val="142"/>
        </w:trPr>
        <w:tc>
          <w:tcPr>
            <w:tcW w:w="20" w:type="dxa"/>
            <w:vAlign w:val="bottom"/>
          </w:tcPr>
          <w:p>
            <w:pPr>
              <w:spacing w:after="0"/>
              <w:rPr>
                <w:sz w:val="12"/>
                <w:szCs w:val="12"/>
                <w:color w:val="auto"/>
              </w:rPr>
            </w:pPr>
          </w:p>
        </w:tc>
        <w:tc>
          <w:tcPr>
            <w:tcW w:w="328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20" w:type="dxa"/>
            <w:vAlign w:val="bottom"/>
            <w:tcBorders>
              <w:top w:val="single" w:sz="8" w:color="auto"/>
            </w:tcBorders>
            <w:gridSpan w:val="2"/>
          </w:tcPr>
          <w:p>
            <w:pPr>
              <w:ind w:left="40"/>
              <w:spacing w:after="0" w:line="142" w:lineRule="exact"/>
              <w:rPr>
                <w:sz w:val="20"/>
                <w:szCs w:val="20"/>
                <w:color w:val="auto"/>
              </w:rPr>
            </w:pPr>
            <w:r>
              <w:rPr>
                <w:rFonts w:ascii="Arial" w:cs="Arial" w:eastAsia="Arial" w:hAnsi="Arial"/>
                <w:sz w:val="14"/>
                <w:szCs w:val="14"/>
                <w:b w:val="1"/>
                <w:bCs w:val="1"/>
                <w:color w:val="auto"/>
              </w:rPr>
              <w:t>Death</w:t>
            </w:r>
          </w:p>
        </w:tc>
        <w:tc>
          <w:tcPr>
            <w:tcW w:w="6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6"/>
              </w:rPr>
              <w:t>Disability</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gridSpan w:val="2"/>
          </w:tcPr>
          <w:p>
            <w:pPr>
              <w:ind w:left="40"/>
              <w:spacing w:after="0" w:line="142" w:lineRule="exact"/>
              <w:rPr>
                <w:sz w:val="20"/>
                <w:szCs w:val="20"/>
                <w:color w:val="auto"/>
              </w:rPr>
            </w:pPr>
            <w:r>
              <w:rPr>
                <w:rFonts w:ascii="Arial" w:cs="Arial" w:eastAsia="Arial" w:hAnsi="Arial"/>
                <w:sz w:val="14"/>
                <w:szCs w:val="14"/>
                <w:b w:val="1"/>
                <w:bCs w:val="1"/>
                <w:color w:val="auto"/>
              </w:rPr>
              <w:t>Death</w:t>
            </w:r>
          </w:p>
        </w:tc>
        <w:tc>
          <w:tcPr>
            <w:tcW w:w="66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9"/>
              </w:rPr>
              <w:t>Disability</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gridSpan w:val="2"/>
          </w:tcPr>
          <w:p>
            <w:pPr>
              <w:ind w:left="60"/>
              <w:spacing w:after="0" w:line="142" w:lineRule="exact"/>
              <w:rPr>
                <w:sz w:val="20"/>
                <w:szCs w:val="20"/>
                <w:color w:val="auto"/>
              </w:rPr>
            </w:pPr>
            <w:r>
              <w:rPr>
                <w:rFonts w:ascii="Arial" w:cs="Arial" w:eastAsia="Arial" w:hAnsi="Arial"/>
                <w:sz w:val="14"/>
                <w:szCs w:val="14"/>
                <w:b w:val="1"/>
                <w:bCs w:val="1"/>
                <w:color w:val="auto"/>
              </w:rPr>
              <w:t>Death</w:t>
            </w:r>
          </w:p>
        </w:tc>
        <w:tc>
          <w:tcPr>
            <w:tcW w:w="6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9"/>
              </w:rPr>
              <w:t>Disability</w:t>
            </w: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gridSpan w:val="2"/>
          </w:tcPr>
          <w:p>
            <w:pPr>
              <w:jc w:val="right"/>
              <w:ind w:right="300"/>
              <w:spacing w:after="0" w:line="142" w:lineRule="exact"/>
              <w:rPr>
                <w:sz w:val="20"/>
                <w:szCs w:val="20"/>
                <w:color w:val="auto"/>
              </w:rPr>
            </w:pPr>
            <w:r>
              <w:rPr>
                <w:rFonts w:ascii="Arial" w:cs="Arial" w:eastAsia="Arial" w:hAnsi="Arial"/>
                <w:sz w:val="14"/>
                <w:szCs w:val="14"/>
                <w:b w:val="1"/>
                <w:bCs w:val="1"/>
                <w:color w:val="auto"/>
                <w:w w:val="97"/>
              </w:rPr>
              <w:t>Death</w:t>
            </w:r>
          </w:p>
        </w:tc>
        <w:tc>
          <w:tcPr>
            <w:tcW w:w="68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6"/>
              </w:rPr>
              <w:t>Disability</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gridSpan w:val="2"/>
          </w:tcPr>
          <w:p>
            <w:pPr>
              <w:jc w:val="right"/>
              <w:ind w:right="340"/>
              <w:spacing w:after="0" w:line="142" w:lineRule="exact"/>
              <w:rPr>
                <w:sz w:val="20"/>
                <w:szCs w:val="20"/>
                <w:color w:val="auto"/>
              </w:rPr>
            </w:pPr>
            <w:r>
              <w:rPr>
                <w:rFonts w:ascii="Arial" w:cs="Arial" w:eastAsia="Arial" w:hAnsi="Arial"/>
                <w:sz w:val="14"/>
                <w:szCs w:val="14"/>
                <w:b w:val="1"/>
                <w:bCs w:val="1"/>
                <w:color w:val="auto"/>
              </w:rPr>
              <w:t>Death</w:t>
            </w:r>
          </w:p>
        </w:tc>
        <w:tc>
          <w:tcPr>
            <w:tcW w:w="6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9"/>
              </w:rPr>
              <w:t>Disability</w:t>
            </w:r>
          </w:p>
        </w:tc>
        <w:tc>
          <w:tcPr>
            <w:tcW w:w="60" w:type="dxa"/>
            <w:vAlign w:val="bottom"/>
          </w:tcPr>
          <w:p>
            <w:pPr>
              <w:spacing w:after="0"/>
              <w:rPr>
                <w:sz w:val="12"/>
                <w:szCs w:val="12"/>
                <w:color w:val="auto"/>
              </w:rPr>
            </w:pPr>
          </w:p>
        </w:tc>
      </w:tr>
      <w:tr>
        <w:trPr>
          <w:trHeight w:val="129"/>
        </w:trPr>
        <w:tc>
          <w:tcPr>
            <w:tcW w:w="20" w:type="dxa"/>
            <w:vAlign w:val="bottom"/>
          </w:tcPr>
          <w:p>
            <w:pPr>
              <w:spacing w:after="0"/>
              <w:rPr>
                <w:sz w:val="11"/>
                <w:szCs w:val="11"/>
                <w:color w:val="auto"/>
              </w:rPr>
            </w:pPr>
          </w:p>
        </w:tc>
        <w:tc>
          <w:tcPr>
            <w:tcW w:w="3280" w:type="dxa"/>
            <w:vAlign w:val="bottom"/>
            <w:tcBorders>
              <w:top w:val="single" w:sz="8" w:color="CCEEFF"/>
            </w:tcBorders>
            <w:shd w:val="clear" w:color="auto" w:fill="CCEEFF"/>
          </w:tcPr>
          <w:p>
            <w:pPr>
              <w:spacing w:after="0" w:line="129" w:lineRule="exact"/>
              <w:rPr>
                <w:sz w:val="20"/>
                <w:szCs w:val="20"/>
                <w:color w:val="auto"/>
              </w:rPr>
            </w:pPr>
            <w:r>
              <w:rPr>
                <w:rFonts w:ascii="Arial" w:cs="Arial" w:eastAsia="Arial" w:hAnsi="Arial"/>
                <w:sz w:val="13"/>
                <w:szCs w:val="13"/>
                <w:color w:val="auto"/>
              </w:rPr>
              <w:t xml:space="preserve">Stock Option and SAR Vesting </w:t>
            </w:r>
            <w:r>
              <w:rPr>
                <w:rFonts w:ascii="Arial" w:cs="Arial" w:eastAsia="Arial" w:hAnsi="Arial"/>
                <w:sz w:val="10"/>
                <w:szCs w:val="10"/>
                <w:color w:val="auto"/>
              </w:rPr>
              <w:t>(1)</w:t>
            </w: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54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w:t>
            </w:r>
          </w:p>
        </w:tc>
        <w:tc>
          <w:tcPr>
            <w:tcW w:w="80" w:type="dxa"/>
            <w:vAlign w:val="bottom"/>
            <w:tcBorders>
              <w:top w:val="single" w:sz="8" w:color="CCEEFF"/>
            </w:tcBorders>
            <w:shd w:val="clear" w:color="auto" w:fill="CCEEFF"/>
          </w:tcPr>
          <w:p>
            <w:pPr>
              <w:spacing w:after="0"/>
              <w:rPr>
                <w:sz w:val="11"/>
                <w:szCs w:val="11"/>
                <w:color w:val="auto"/>
              </w:rPr>
            </w:pPr>
          </w:p>
        </w:tc>
        <w:tc>
          <w:tcPr>
            <w:tcW w:w="6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54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w:t>
            </w:r>
          </w:p>
        </w:tc>
        <w:tc>
          <w:tcPr>
            <w:tcW w:w="6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54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w:t>
            </w:r>
          </w:p>
        </w:tc>
        <w:tc>
          <w:tcPr>
            <w:tcW w:w="14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9"/>
                <w:szCs w:val="9"/>
                <w:color w:val="auto"/>
                <w:w w:val="78"/>
              </w:rPr>
              <w:t>$</w:t>
            </w:r>
          </w:p>
        </w:tc>
        <w:tc>
          <w:tcPr>
            <w:tcW w:w="540" w:type="dxa"/>
            <w:vAlign w:val="bottom"/>
            <w:tcBorders>
              <w:top w:val="single" w:sz="8" w:color="auto"/>
            </w:tcBorders>
            <w:shd w:val="clear" w:color="auto" w:fill="CCEEFF"/>
          </w:tcPr>
          <w:p>
            <w:pPr>
              <w:ind w:left="360"/>
              <w:spacing w:after="0" w:line="129" w:lineRule="exact"/>
              <w:rPr>
                <w:sz w:val="20"/>
                <w:szCs w:val="20"/>
                <w:color w:val="auto"/>
              </w:rPr>
            </w:pPr>
            <w:r>
              <w:rPr>
                <w:rFonts w:ascii="Arial" w:cs="Arial" w:eastAsia="Arial" w:hAnsi="Arial"/>
                <w:sz w:val="13"/>
                <w:szCs w:val="13"/>
                <w:color w:val="auto"/>
              </w:rPr>
              <w:t>—</w:t>
            </w:r>
          </w:p>
        </w:tc>
        <w:tc>
          <w:tcPr>
            <w:tcW w:w="8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60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w:t>
            </w:r>
          </w:p>
        </w:tc>
        <w:tc>
          <w:tcPr>
            <w:tcW w:w="80" w:type="dxa"/>
            <w:vAlign w:val="bottom"/>
            <w:tcBorders>
              <w:top w:val="single" w:sz="8" w:color="CCEEFF"/>
            </w:tcBorders>
            <w:shd w:val="clear" w:color="auto" w:fill="CCEEFF"/>
          </w:tcPr>
          <w:p>
            <w:pPr>
              <w:spacing w:after="0"/>
              <w:rPr>
                <w:sz w:val="11"/>
                <w:szCs w:val="11"/>
                <w:color w:val="auto"/>
              </w:rPr>
            </w:pPr>
          </w:p>
        </w:tc>
        <w:tc>
          <w:tcPr>
            <w:tcW w:w="6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w w:val="82"/>
              </w:rPr>
              <w:t>$</w:t>
            </w:r>
          </w:p>
        </w:tc>
        <w:tc>
          <w:tcPr>
            <w:tcW w:w="54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w:t>
            </w:r>
          </w:p>
        </w:tc>
        <w:tc>
          <w:tcPr>
            <w:tcW w:w="16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54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w:t>
            </w:r>
          </w:p>
        </w:tc>
        <w:tc>
          <w:tcPr>
            <w:tcW w:w="16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9"/>
                <w:szCs w:val="9"/>
                <w:color w:val="auto"/>
                <w:w w:val="78"/>
              </w:rPr>
              <w:t>$</w:t>
            </w:r>
          </w:p>
        </w:tc>
        <w:tc>
          <w:tcPr>
            <w:tcW w:w="560" w:type="dxa"/>
            <w:vAlign w:val="bottom"/>
            <w:tcBorders>
              <w:top w:val="single" w:sz="8" w:color="auto"/>
            </w:tcBorders>
            <w:shd w:val="clear" w:color="auto" w:fill="CCEEFF"/>
          </w:tcPr>
          <w:p>
            <w:pPr>
              <w:jc w:val="right"/>
              <w:ind w:right="17"/>
              <w:spacing w:after="0" w:line="129" w:lineRule="exact"/>
              <w:rPr>
                <w:sz w:val="20"/>
                <w:szCs w:val="20"/>
                <w:color w:val="auto"/>
              </w:rPr>
            </w:pPr>
            <w:r>
              <w:rPr>
                <w:rFonts w:ascii="Arial" w:cs="Arial" w:eastAsia="Arial" w:hAnsi="Arial"/>
                <w:sz w:val="13"/>
                <w:szCs w:val="13"/>
                <w:color w:val="auto"/>
              </w:rPr>
              <w:t>—</w:t>
            </w:r>
          </w:p>
        </w:tc>
        <w:tc>
          <w:tcPr>
            <w:tcW w:w="6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jc w:val="right"/>
              <w:ind w:right="13"/>
              <w:spacing w:after="0"/>
              <w:rPr>
                <w:sz w:val="20"/>
                <w:szCs w:val="20"/>
                <w:color w:val="auto"/>
              </w:rPr>
            </w:pPr>
            <w:r>
              <w:rPr>
                <w:rFonts w:ascii="Arial" w:cs="Arial" w:eastAsia="Arial" w:hAnsi="Arial"/>
                <w:sz w:val="9"/>
                <w:szCs w:val="9"/>
                <w:color w:val="auto"/>
                <w:w w:val="78"/>
              </w:rPr>
              <w:t>$</w:t>
            </w:r>
          </w:p>
        </w:tc>
        <w:tc>
          <w:tcPr>
            <w:tcW w:w="62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w:t>
            </w:r>
          </w:p>
        </w:tc>
        <w:tc>
          <w:tcPr>
            <w:tcW w:w="160" w:type="dxa"/>
            <w:vAlign w:val="bottom"/>
            <w:tcBorders>
              <w:top w:val="single" w:sz="8" w:color="CCEEFF"/>
            </w:tcBorders>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64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w:t>
            </w:r>
          </w:p>
        </w:tc>
        <w:tc>
          <w:tcPr>
            <w:tcW w:w="60" w:type="dxa"/>
            <w:vAlign w:val="bottom"/>
            <w:tcBorders>
              <w:top w:val="single" w:sz="8" w:color="CCEEFF"/>
            </w:tcBorders>
            <w:shd w:val="clear" w:color="auto" w:fill="CCEEFF"/>
          </w:tcPr>
          <w:p>
            <w:pPr>
              <w:spacing w:after="0"/>
              <w:rPr>
                <w:sz w:val="11"/>
                <w:szCs w:val="11"/>
                <w:color w:val="auto"/>
              </w:rPr>
            </w:pPr>
          </w:p>
        </w:tc>
      </w:tr>
      <w:tr>
        <w:trPr>
          <w:trHeight w:val="135"/>
        </w:trPr>
        <w:tc>
          <w:tcPr>
            <w:tcW w:w="20" w:type="dxa"/>
            <w:vAlign w:val="bottom"/>
          </w:tcPr>
          <w:p>
            <w:pPr>
              <w:spacing w:after="0"/>
              <w:rPr>
                <w:sz w:val="11"/>
                <w:szCs w:val="11"/>
                <w:color w:val="auto"/>
              </w:rPr>
            </w:pPr>
          </w:p>
        </w:tc>
        <w:tc>
          <w:tcPr>
            <w:tcW w:w="3280" w:type="dxa"/>
            <w:vAlign w:val="bottom"/>
          </w:tcPr>
          <w:p>
            <w:pPr>
              <w:spacing w:after="0" w:line="135" w:lineRule="exact"/>
              <w:rPr>
                <w:sz w:val="20"/>
                <w:szCs w:val="20"/>
                <w:color w:val="auto"/>
              </w:rPr>
            </w:pPr>
            <w:r>
              <w:rPr>
                <w:rFonts w:ascii="Arial" w:cs="Arial" w:eastAsia="Arial" w:hAnsi="Arial"/>
                <w:sz w:val="13"/>
                <w:szCs w:val="13"/>
                <w:color w:val="auto"/>
              </w:rPr>
              <w:t xml:space="preserve">RSU Vesting </w:t>
            </w:r>
            <w:r>
              <w:rPr>
                <w:rFonts w:ascii="Arial" w:cs="Arial" w:eastAsia="Arial" w:hAnsi="Arial"/>
                <w:sz w:val="10"/>
                <w:szCs w:val="10"/>
                <w:color w:val="auto"/>
              </w:rPr>
              <w:t>(2)</w:t>
            </w:r>
          </w:p>
        </w:tc>
        <w:tc>
          <w:tcPr>
            <w:tcW w:w="100" w:type="dxa"/>
            <w:vAlign w:val="bottom"/>
          </w:tcPr>
          <w:p>
            <w:pPr>
              <w:spacing w:after="0"/>
              <w:rPr>
                <w:sz w:val="11"/>
                <w:szCs w:val="11"/>
                <w:color w:val="auto"/>
              </w:rPr>
            </w:pPr>
          </w:p>
        </w:tc>
        <w:tc>
          <w:tcPr>
            <w:tcW w:w="62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783,187</w:t>
            </w:r>
          </w:p>
        </w:tc>
        <w:tc>
          <w:tcPr>
            <w:tcW w:w="120" w:type="dxa"/>
            <w:vAlign w:val="bottom"/>
          </w:tcPr>
          <w:p>
            <w:pPr>
              <w:spacing w:after="0"/>
              <w:rPr>
                <w:sz w:val="11"/>
                <w:szCs w:val="11"/>
                <w:color w:val="auto"/>
              </w:rPr>
            </w:pPr>
          </w:p>
        </w:tc>
        <w:tc>
          <w:tcPr>
            <w:tcW w:w="62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97,387</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1,593,849</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jc w:val="right"/>
              <w:spacing w:after="0" w:line="135" w:lineRule="exact"/>
              <w:rPr>
                <w:sz w:val="20"/>
                <w:szCs w:val="20"/>
                <w:color w:val="auto"/>
              </w:rPr>
            </w:pPr>
            <w:r>
              <w:rPr>
                <w:rFonts w:ascii="Arial" w:cs="Arial" w:eastAsia="Arial" w:hAnsi="Arial"/>
                <w:sz w:val="13"/>
                <w:szCs w:val="13"/>
                <w:color w:val="auto"/>
              </w:rPr>
              <w:t>203,199</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gridSpan w:val="2"/>
          </w:tcPr>
          <w:p>
            <w:pPr>
              <w:jc w:val="right"/>
              <w:ind w:right="160"/>
              <w:spacing w:after="0" w:line="135" w:lineRule="exact"/>
              <w:rPr>
                <w:sz w:val="20"/>
                <w:szCs w:val="20"/>
                <w:color w:val="auto"/>
              </w:rPr>
            </w:pPr>
            <w:r>
              <w:rPr>
                <w:rFonts w:ascii="Arial" w:cs="Arial" w:eastAsia="Arial" w:hAnsi="Arial"/>
                <w:sz w:val="13"/>
                <w:szCs w:val="13"/>
                <w:color w:val="auto"/>
              </w:rPr>
              <w:t>423,874</w:t>
            </w:r>
          </w:p>
        </w:tc>
        <w:tc>
          <w:tcPr>
            <w:tcW w:w="120" w:type="dxa"/>
            <w:vAlign w:val="bottom"/>
          </w:tcPr>
          <w:p>
            <w:pPr>
              <w:spacing w:after="0"/>
              <w:rPr>
                <w:sz w:val="11"/>
                <w:szCs w:val="11"/>
                <w:color w:val="auto"/>
              </w:rPr>
            </w:pPr>
          </w:p>
        </w:tc>
        <w:tc>
          <w:tcPr>
            <w:tcW w:w="620" w:type="dxa"/>
            <w:vAlign w:val="bottom"/>
            <w:gridSpan w:val="2"/>
          </w:tcPr>
          <w:p>
            <w:pPr>
              <w:jc w:val="right"/>
              <w:ind w:right="60"/>
              <w:spacing w:after="0" w:line="135" w:lineRule="exact"/>
              <w:rPr>
                <w:sz w:val="20"/>
                <w:szCs w:val="20"/>
                <w:color w:val="auto"/>
              </w:rPr>
            </w:pPr>
            <w:r>
              <w:rPr>
                <w:rFonts w:ascii="Arial" w:cs="Arial" w:eastAsia="Arial" w:hAnsi="Arial"/>
                <w:sz w:val="13"/>
                <w:szCs w:val="13"/>
                <w:color w:val="auto"/>
              </w:rPr>
              <w:t>80,974</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jc w:val="right"/>
              <w:spacing w:after="0" w:line="135" w:lineRule="exact"/>
              <w:rPr>
                <w:sz w:val="20"/>
                <w:szCs w:val="20"/>
                <w:color w:val="auto"/>
              </w:rPr>
            </w:pPr>
            <w:r>
              <w:rPr>
                <w:rFonts w:ascii="Arial" w:cs="Arial" w:eastAsia="Arial" w:hAnsi="Arial"/>
                <w:sz w:val="13"/>
                <w:szCs w:val="13"/>
                <w:color w:val="auto"/>
              </w:rPr>
              <w:t>1,441,449</w:t>
            </w: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jc w:val="right"/>
              <w:ind w:right="60"/>
              <w:spacing w:after="0" w:line="135" w:lineRule="exact"/>
              <w:rPr>
                <w:sz w:val="20"/>
                <w:szCs w:val="20"/>
                <w:color w:val="auto"/>
              </w:rPr>
            </w:pPr>
            <w:r>
              <w:rPr>
                <w:rFonts w:ascii="Arial" w:cs="Arial" w:eastAsia="Arial" w:hAnsi="Arial"/>
                <w:sz w:val="13"/>
                <w:szCs w:val="13"/>
                <w:color w:val="auto"/>
              </w:rPr>
              <w:t>393,698</w:t>
            </w:r>
          </w:p>
        </w:tc>
      </w:tr>
      <w:tr>
        <w:trPr>
          <w:trHeight w:val="135"/>
        </w:trPr>
        <w:tc>
          <w:tcPr>
            <w:tcW w:w="20" w:type="dxa"/>
            <w:vAlign w:val="bottom"/>
          </w:tcPr>
          <w:p>
            <w:pPr>
              <w:spacing w:after="0"/>
              <w:rPr>
                <w:sz w:val="11"/>
                <w:szCs w:val="11"/>
                <w:color w:val="auto"/>
              </w:rPr>
            </w:pPr>
          </w:p>
        </w:tc>
        <w:tc>
          <w:tcPr>
            <w:tcW w:w="3280" w:type="dxa"/>
            <w:vAlign w:val="bottom"/>
            <w:shd w:val="clear" w:color="auto" w:fill="CCEEFF"/>
          </w:tcPr>
          <w:p>
            <w:pPr>
              <w:spacing w:after="0" w:line="135" w:lineRule="exact"/>
              <w:rPr>
                <w:sz w:val="20"/>
                <w:szCs w:val="20"/>
                <w:color w:val="auto"/>
              </w:rPr>
            </w:pPr>
            <w:r>
              <w:rPr>
                <w:rFonts w:ascii="Arial" w:cs="Arial" w:eastAsia="Arial" w:hAnsi="Arial"/>
                <w:sz w:val="13"/>
                <w:szCs w:val="13"/>
                <w:color w:val="auto"/>
              </w:rPr>
              <w:t xml:space="preserve">PSU Vesting </w:t>
            </w:r>
            <w:r>
              <w:rPr>
                <w:rFonts w:ascii="Arial" w:cs="Arial" w:eastAsia="Arial" w:hAnsi="Arial"/>
                <w:sz w:val="10"/>
                <w:szCs w:val="10"/>
                <w:color w:val="auto"/>
              </w:rPr>
              <w:t>(3)</w:t>
            </w:r>
          </w:p>
        </w:tc>
        <w:tc>
          <w:tcPr>
            <w:tcW w:w="10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127,000</w:t>
            </w: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127,000</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80" w:type="dxa"/>
            <w:vAlign w:val="bottom"/>
            <w:gridSpan w:val="2"/>
            <w:shd w:val="clear" w:color="auto" w:fill="CCEEFF"/>
          </w:tcPr>
          <w:p>
            <w:pPr>
              <w:jc w:val="right"/>
              <w:ind w:right="200"/>
              <w:spacing w:after="0" w:line="135"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1"/>
                <w:szCs w:val="11"/>
                <w:color w:val="auto"/>
              </w:rPr>
            </w:pPr>
          </w:p>
        </w:tc>
        <w:tc>
          <w:tcPr>
            <w:tcW w:w="620" w:type="dxa"/>
            <w:vAlign w:val="bottom"/>
            <w:gridSpan w:val="2"/>
            <w:shd w:val="clear" w:color="auto" w:fill="CCEEFF"/>
          </w:tcPr>
          <w:p>
            <w:pPr>
              <w:ind w:left="36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8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133,350</w:t>
            </w: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133,350</w:t>
            </w: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color w:val="auto"/>
              </w:rPr>
              <w:t>44,450</w:t>
            </w:r>
          </w:p>
        </w:tc>
        <w:tc>
          <w:tcPr>
            <w:tcW w:w="12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44,450</w:t>
            </w:r>
          </w:p>
        </w:tc>
        <w:tc>
          <w:tcPr>
            <w:tcW w:w="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80" w:type="dxa"/>
            <w:vAlign w:val="bottom"/>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color w:val="auto"/>
              </w:rPr>
              <w:t>88,900</w:t>
            </w:r>
          </w:p>
        </w:tc>
        <w:tc>
          <w:tcPr>
            <w:tcW w:w="6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88,900</w:t>
            </w:r>
          </w:p>
        </w:tc>
      </w:tr>
      <w:tr>
        <w:trPr>
          <w:trHeight w:val="135"/>
        </w:trPr>
        <w:tc>
          <w:tcPr>
            <w:tcW w:w="20" w:type="dxa"/>
            <w:vAlign w:val="bottom"/>
          </w:tcPr>
          <w:p>
            <w:pPr>
              <w:spacing w:after="0"/>
              <w:rPr>
                <w:sz w:val="11"/>
                <w:szCs w:val="11"/>
                <w:color w:val="auto"/>
              </w:rPr>
            </w:pPr>
          </w:p>
        </w:tc>
        <w:tc>
          <w:tcPr>
            <w:tcW w:w="3280" w:type="dxa"/>
            <w:vAlign w:val="bottom"/>
          </w:tcPr>
          <w:p>
            <w:pPr>
              <w:spacing w:after="0" w:line="135" w:lineRule="exact"/>
              <w:rPr>
                <w:sz w:val="20"/>
                <w:szCs w:val="20"/>
                <w:color w:val="auto"/>
              </w:rPr>
            </w:pPr>
            <w:r>
              <w:rPr>
                <w:rFonts w:ascii="Arial" w:cs="Arial" w:eastAsia="Arial" w:hAnsi="Arial"/>
                <w:sz w:val="13"/>
                <w:szCs w:val="13"/>
                <w:color w:val="auto"/>
              </w:rPr>
              <w:t xml:space="preserve">Cash-in-Lieu of Equity </w:t>
            </w:r>
            <w:r>
              <w:rPr>
                <w:rFonts w:ascii="Arial" w:cs="Arial" w:eastAsia="Arial" w:hAnsi="Arial"/>
                <w:sz w:val="10"/>
                <w:szCs w:val="10"/>
                <w:color w:val="auto"/>
              </w:rPr>
              <w:t>(4)</w:t>
            </w:r>
          </w:p>
        </w:tc>
        <w:tc>
          <w:tcPr>
            <w:tcW w:w="100" w:type="dxa"/>
            <w:vAlign w:val="bottom"/>
          </w:tcPr>
          <w:p>
            <w:pPr>
              <w:spacing w:after="0"/>
              <w:rPr>
                <w:sz w:val="11"/>
                <w:szCs w:val="11"/>
                <w:color w:val="auto"/>
              </w:rPr>
            </w:pPr>
          </w:p>
        </w:tc>
        <w:tc>
          <w:tcPr>
            <w:tcW w:w="62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58,250</w:t>
            </w:r>
          </w:p>
        </w:tc>
        <w:tc>
          <w:tcPr>
            <w:tcW w:w="120" w:type="dxa"/>
            <w:vAlign w:val="bottom"/>
          </w:tcPr>
          <w:p>
            <w:pPr>
              <w:spacing w:after="0"/>
              <w:rPr>
                <w:sz w:val="11"/>
                <w:szCs w:val="11"/>
                <w:color w:val="auto"/>
              </w:rPr>
            </w:pPr>
          </w:p>
        </w:tc>
        <w:tc>
          <w:tcPr>
            <w:tcW w:w="62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58,250</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70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62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60" w:type="dxa"/>
            <w:vAlign w:val="bottom"/>
          </w:tcPr>
          <w:p>
            <w:pPr>
              <w:spacing w:after="0"/>
              <w:rPr>
                <w:sz w:val="11"/>
                <w:szCs w:val="11"/>
                <w:color w:val="auto"/>
              </w:rPr>
            </w:pPr>
          </w:p>
        </w:tc>
        <w:tc>
          <w:tcPr>
            <w:tcW w:w="70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r>
      <w:tr>
        <w:trPr>
          <w:trHeight w:val="135"/>
        </w:trPr>
        <w:tc>
          <w:tcPr>
            <w:tcW w:w="20" w:type="dxa"/>
            <w:vAlign w:val="bottom"/>
          </w:tcPr>
          <w:p>
            <w:pPr>
              <w:spacing w:after="0"/>
              <w:rPr>
                <w:sz w:val="11"/>
                <w:szCs w:val="11"/>
                <w:color w:val="auto"/>
              </w:rPr>
            </w:pPr>
          </w:p>
        </w:tc>
        <w:tc>
          <w:tcPr>
            <w:tcW w:w="3280" w:type="dxa"/>
            <w:vAlign w:val="bottom"/>
            <w:shd w:val="clear" w:color="auto" w:fill="CCEEFF"/>
          </w:tcPr>
          <w:p>
            <w:pPr>
              <w:spacing w:after="0" w:line="135" w:lineRule="exact"/>
              <w:rPr>
                <w:sz w:val="20"/>
                <w:szCs w:val="20"/>
                <w:color w:val="auto"/>
              </w:rPr>
            </w:pPr>
            <w:r>
              <w:rPr>
                <w:rFonts w:ascii="Arial" w:cs="Arial" w:eastAsia="Arial" w:hAnsi="Arial"/>
                <w:sz w:val="13"/>
                <w:szCs w:val="13"/>
                <w:color w:val="auto"/>
              </w:rPr>
              <w:t xml:space="preserve">Retention Incentive </w:t>
            </w:r>
            <w:r>
              <w:rPr>
                <w:rFonts w:ascii="Arial" w:cs="Arial" w:eastAsia="Arial" w:hAnsi="Arial"/>
                <w:sz w:val="10"/>
                <w:szCs w:val="10"/>
                <w:color w:val="auto"/>
              </w:rPr>
              <w:t>(5)</w:t>
            </w:r>
          </w:p>
        </w:tc>
        <w:tc>
          <w:tcPr>
            <w:tcW w:w="10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8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600,000</w:t>
            </w:r>
          </w:p>
        </w:tc>
        <w:tc>
          <w:tcPr>
            <w:tcW w:w="120" w:type="dxa"/>
            <w:vAlign w:val="bottom"/>
            <w:shd w:val="clear" w:color="auto" w:fill="CCEEFF"/>
          </w:tcPr>
          <w:p>
            <w:pPr>
              <w:spacing w:after="0"/>
              <w:rPr>
                <w:sz w:val="11"/>
                <w:szCs w:val="11"/>
                <w:color w:val="auto"/>
              </w:rPr>
            </w:pPr>
          </w:p>
        </w:tc>
        <w:tc>
          <w:tcPr>
            <w:tcW w:w="620" w:type="dxa"/>
            <w:vAlign w:val="bottom"/>
            <w:gridSpan w:val="2"/>
            <w:shd w:val="clear" w:color="auto" w:fill="CCEEFF"/>
          </w:tcPr>
          <w:p>
            <w:pPr>
              <w:ind w:left="36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8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1,000,000</w:t>
            </w: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w w:val="89"/>
              </w:rPr>
              <w:t>1,000,000</w:t>
            </w: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color w:val="auto"/>
              </w:rPr>
              <w:t>425,000</w:t>
            </w:r>
          </w:p>
        </w:tc>
        <w:tc>
          <w:tcPr>
            <w:tcW w:w="12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425,000</w:t>
            </w:r>
          </w:p>
        </w:tc>
        <w:tc>
          <w:tcPr>
            <w:tcW w:w="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1,000,000</w:t>
            </w: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1,000,000</w:t>
            </w:r>
          </w:p>
        </w:tc>
      </w:tr>
      <w:tr>
        <w:trPr>
          <w:trHeight w:val="135"/>
        </w:trPr>
        <w:tc>
          <w:tcPr>
            <w:tcW w:w="20" w:type="dxa"/>
            <w:vAlign w:val="bottom"/>
          </w:tcPr>
          <w:p>
            <w:pPr>
              <w:spacing w:after="0"/>
              <w:rPr>
                <w:sz w:val="11"/>
                <w:szCs w:val="11"/>
                <w:color w:val="auto"/>
              </w:rPr>
            </w:pPr>
          </w:p>
        </w:tc>
        <w:tc>
          <w:tcPr>
            <w:tcW w:w="3280" w:type="dxa"/>
            <w:vAlign w:val="bottom"/>
          </w:tcPr>
          <w:p>
            <w:pPr>
              <w:spacing w:after="0" w:line="135" w:lineRule="exact"/>
              <w:rPr>
                <w:sz w:val="20"/>
                <w:szCs w:val="20"/>
                <w:color w:val="auto"/>
              </w:rPr>
            </w:pPr>
            <w:r>
              <w:rPr>
                <w:rFonts w:ascii="Arial" w:cs="Arial" w:eastAsia="Arial" w:hAnsi="Arial"/>
                <w:sz w:val="13"/>
                <w:szCs w:val="13"/>
                <w:color w:val="auto"/>
              </w:rPr>
              <w:t xml:space="preserve">Pro-Rated Annual Incentive Award </w:t>
            </w:r>
            <w:r>
              <w:rPr>
                <w:rFonts w:ascii="Arial" w:cs="Arial" w:eastAsia="Arial" w:hAnsi="Arial"/>
                <w:sz w:val="10"/>
                <w:szCs w:val="10"/>
                <w:color w:val="auto"/>
              </w:rPr>
              <w:t>(6)</w:t>
            </w:r>
          </w:p>
        </w:tc>
        <w:tc>
          <w:tcPr>
            <w:tcW w:w="100" w:type="dxa"/>
            <w:vAlign w:val="bottom"/>
          </w:tcPr>
          <w:p>
            <w:pPr>
              <w:spacing w:after="0"/>
              <w:rPr>
                <w:sz w:val="11"/>
                <w:szCs w:val="11"/>
                <w:color w:val="auto"/>
              </w:rPr>
            </w:pPr>
          </w:p>
        </w:tc>
        <w:tc>
          <w:tcPr>
            <w:tcW w:w="540" w:type="dxa"/>
            <w:vAlign w:val="bottom"/>
          </w:tcPr>
          <w:p>
            <w:pPr>
              <w:jc w:val="right"/>
              <w:spacing w:after="0" w:line="135" w:lineRule="exact"/>
              <w:rPr>
                <w:sz w:val="20"/>
                <w:szCs w:val="20"/>
                <w:color w:val="auto"/>
              </w:rPr>
            </w:pPr>
            <w:r>
              <w:rPr>
                <w:rFonts w:ascii="Arial" w:cs="Arial" w:eastAsia="Arial" w:hAnsi="Arial"/>
                <w:sz w:val="13"/>
                <w:szCs w:val="13"/>
                <w:color w:val="auto"/>
                <w:w w:val="89"/>
              </w:rPr>
              <w:t>3,000,000</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jc w:val="right"/>
              <w:spacing w:after="0" w:line="135" w:lineRule="exact"/>
              <w:rPr>
                <w:sz w:val="20"/>
                <w:szCs w:val="20"/>
                <w:color w:val="auto"/>
              </w:rPr>
            </w:pPr>
            <w:r>
              <w:rPr>
                <w:rFonts w:ascii="Arial" w:cs="Arial" w:eastAsia="Arial" w:hAnsi="Arial"/>
                <w:sz w:val="13"/>
                <w:szCs w:val="13"/>
                <w:color w:val="auto"/>
                <w:w w:val="89"/>
              </w:rPr>
              <w:t>3,000,000</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850,000</w:t>
            </w:r>
          </w:p>
        </w:tc>
        <w:tc>
          <w:tcPr>
            <w:tcW w:w="120" w:type="dxa"/>
            <w:vAlign w:val="bottom"/>
          </w:tcPr>
          <w:p>
            <w:pPr>
              <w:spacing w:after="0"/>
              <w:rPr>
                <w:sz w:val="11"/>
                <w:szCs w:val="11"/>
                <w:color w:val="auto"/>
              </w:rPr>
            </w:pPr>
          </w:p>
        </w:tc>
        <w:tc>
          <w:tcPr>
            <w:tcW w:w="62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850,000</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1,500,000</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jc w:val="right"/>
              <w:spacing w:after="0" w:line="135" w:lineRule="exact"/>
              <w:rPr>
                <w:sz w:val="20"/>
                <w:szCs w:val="20"/>
                <w:color w:val="auto"/>
              </w:rPr>
            </w:pPr>
            <w:r>
              <w:rPr>
                <w:rFonts w:ascii="Arial" w:cs="Arial" w:eastAsia="Arial" w:hAnsi="Arial"/>
                <w:sz w:val="13"/>
                <w:szCs w:val="13"/>
                <w:color w:val="auto"/>
                <w:w w:val="89"/>
              </w:rPr>
              <w:t>1,500,000</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gridSpan w:val="2"/>
          </w:tcPr>
          <w:p>
            <w:pPr>
              <w:jc w:val="right"/>
              <w:ind w:right="160"/>
              <w:spacing w:after="0" w:line="135" w:lineRule="exact"/>
              <w:rPr>
                <w:sz w:val="20"/>
                <w:szCs w:val="20"/>
                <w:color w:val="auto"/>
              </w:rPr>
            </w:pPr>
            <w:r>
              <w:rPr>
                <w:rFonts w:ascii="Arial" w:cs="Arial" w:eastAsia="Arial" w:hAnsi="Arial"/>
                <w:sz w:val="13"/>
                <w:szCs w:val="13"/>
                <w:color w:val="auto"/>
              </w:rPr>
              <w:t>750,000</w:t>
            </w:r>
          </w:p>
        </w:tc>
        <w:tc>
          <w:tcPr>
            <w:tcW w:w="120" w:type="dxa"/>
            <w:vAlign w:val="bottom"/>
          </w:tcPr>
          <w:p>
            <w:pPr>
              <w:spacing w:after="0"/>
              <w:rPr>
                <w:sz w:val="11"/>
                <w:szCs w:val="11"/>
                <w:color w:val="auto"/>
              </w:rPr>
            </w:pPr>
          </w:p>
        </w:tc>
        <w:tc>
          <w:tcPr>
            <w:tcW w:w="620" w:type="dxa"/>
            <w:vAlign w:val="bottom"/>
            <w:gridSpan w:val="2"/>
          </w:tcPr>
          <w:p>
            <w:pPr>
              <w:jc w:val="right"/>
              <w:ind w:right="60"/>
              <w:spacing w:after="0" w:line="135" w:lineRule="exact"/>
              <w:rPr>
                <w:sz w:val="20"/>
                <w:szCs w:val="20"/>
                <w:color w:val="auto"/>
              </w:rPr>
            </w:pPr>
            <w:r>
              <w:rPr>
                <w:rFonts w:ascii="Arial" w:cs="Arial" w:eastAsia="Arial" w:hAnsi="Arial"/>
                <w:sz w:val="13"/>
                <w:szCs w:val="13"/>
                <w:color w:val="auto"/>
              </w:rPr>
              <w:t>750,000</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jc w:val="right"/>
              <w:spacing w:after="0" w:line="135" w:lineRule="exact"/>
              <w:rPr>
                <w:sz w:val="20"/>
                <w:szCs w:val="20"/>
                <w:color w:val="auto"/>
              </w:rPr>
            </w:pPr>
            <w:r>
              <w:rPr>
                <w:rFonts w:ascii="Arial" w:cs="Arial" w:eastAsia="Arial" w:hAnsi="Arial"/>
                <w:sz w:val="13"/>
                <w:szCs w:val="13"/>
                <w:color w:val="auto"/>
              </w:rPr>
              <w:t>1,900,000</w:t>
            </w: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jc w:val="right"/>
              <w:ind w:right="60"/>
              <w:spacing w:after="0" w:line="135" w:lineRule="exact"/>
              <w:rPr>
                <w:sz w:val="20"/>
                <w:szCs w:val="20"/>
                <w:color w:val="auto"/>
              </w:rPr>
            </w:pPr>
            <w:r>
              <w:rPr>
                <w:rFonts w:ascii="Arial" w:cs="Arial" w:eastAsia="Arial" w:hAnsi="Arial"/>
                <w:sz w:val="13"/>
                <w:szCs w:val="13"/>
                <w:color w:val="auto"/>
              </w:rPr>
              <w:t>1,900,000</w:t>
            </w:r>
          </w:p>
        </w:tc>
      </w:tr>
      <w:tr>
        <w:trPr>
          <w:trHeight w:val="135"/>
        </w:trPr>
        <w:tc>
          <w:tcPr>
            <w:tcW w:w="20" w:type="dxa"/>
            <w:vAlign w:val="bottom"/>
          </w:tcPr>
          <w:p>
            <w:pPr>
              <w:spacing w:after="0"/>
              <w:rPr>
                <w:sz w:val="11"/>
                <w:szCs w:val="11"/>
                <w:color w:val="auto"/>
              </w:rPr>
            </w:pPr>
          </w:p>
        </w:tc>
        <w:tc>
          <w:tcPr>
            <w:tcW w:w="3280" w:type="dxa"/>
            <w:vAlign w:val="bottom"/>
            <w:shd w:val="clear" w:color="auto" w:fill="CCEEFF"/>
          </w:tcPr>
          <w:p>
            <w:pPr>
              <w:spacing w:after="0" w:line="135" w:lineRule="exact"/>
              <w:rPr>
                <w:sz w:val="20"/>
                <w:szCs w:val="20"/>
                <w:color w:val="auto"/>
              </w:rPr>
            </w:pPr>
            <w:r>
              <w:rPr>
                <w:rFonts w:ascii="Arial" w:cs="Arial" w:eastAsia="Arial" w:hAnsi="Arial"/>
                <w:sz w:val="13"/>
                <w:szCs w:val="13"/>
                <w:color w:val="auto"/>
              </w:rPr>
              <w:t xml:space="preserve">SERP Vesting </w:t>
            </w:r>
            <w:r>
              <w:rPr>
                <w:rFonts w:ascii="Arial" w:cs="Arial" w:eastAsia="Arial" w:hAnsi="Arial"/>
                <w:sz w:val="10"/>
                <w:szCs w:val="10"/>
                <w:color w:val="auto"/>
              </w:rPr>
              <w:t>(7)</w:t>
            </w:r>
          </w:p>
        </w:tc>
        <w:tc>
          <w:tcPr>
            <w:tcW w:w="10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8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659,201</w:t>
            </w:r>
          </w:p>
        </w:tc>
        <w:tc>
          <w:tcPr>
            <w:tcW w:w="12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659,201</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8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2,988,165</w:t>
            </w: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w w:val="89"/>
              </w:rPr>
              <w:t>2,988,165</w:t>
            </w: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color w:val="auto"/>
              </w:rPr>
              <w:t>988,168</w:t>
            </w:r>
          </w:p>
        </w:tc>
        <w:tc>
          <w:tcPr>
            <w:tcW w:w="12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988,168</w:t>
            </w:r>
          </w:p>
        </w:tc>
        <w:tc>
          <w:tcPr>
            <w:tcW w:w="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2,557,025</w:t>
            </w: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2,557,025</w:t>
            </w:r>
          </w:p>
        </w:tc>
      </w:tr>
      <w:tr>
        <w:trPr>
          <w:trHeight w:val="135"/>
        </w:trPr>
        <w:tc>
          <w:tcPr>
            <w:tcW w:w="20" w:type="dxa"/>
            <w:vAlign w:val="bottom"/>
          </w:tcPr>
          <w:p>
            <w:pPr>
              <w:spacing w:after="0"/>
              <w:rPr>
                <w:sz w:val="11"/>
                <w:szCs w:val="11"/>
                <w:color w:val="auto"/>
              </w:rPr>
            </w:pPr>
          </w:p>
        </w:tc>
        <w:tc>
          <w:tcPr>
            <w:tcW w:w="3280" w:type="dxa"/>
            <w:vAlign w:val="bottom"/>
          </w:tcPr>
          <w:p>
            <w:pPr>
              <w:spacing w:after="0" w:line="135" w:lineRule="exact"/>
              <w:rPr>
                <w:sz w:val="20"/>
                <w:szCs w:val="20"/>
                <w:color w:val="auto"/>
              </w:rPr>
            </w:pPr>
            <w:r>
              <w:rPr>
                <w:rFonts w:ascii="Arial" w:cs="Arial" w:eastAsia="Arial" w:hAnsi="Arial"/>
                <w:sz w:val="13"/>
                <w:szCs w:val="13"/>
                <w:color w:val="auto"/>
              </w:rPr>
              <w:t xml:space="preserve">Restoration Plan Vesting </w:t>
            </w:r>
            <w:r>
              <w:rPr>
                <w:rFonts w:ascii="Arial" w:cs="Arial" w:eastAsia="Arial" w:hAnsi="Arial"/>
                <w:sz w:val="10"/>
                <w:szCs w:val="10"/>
                <w:color w:val="auto"/>
              </w:rPr>
              <w:t>(8)</w:t>
            </w:r>
          </w:p>
        </w:tc>
        <w:tc>
          <w:tcPr>
            <w:tcW w:w="100" w:type="dxa"/>
            <w:vAlign w:val="bottom"/>
          </w:tcPr>
          <w:p>
            <w:pPr>
              <w:spacing w:after="0"/>
              <w:rPr>
                <w:sz w:val="11"/>
                <w:szCs w:val="11"/>
                <w:color w:val="auto"/>
              </w:rPr>
            </w:pPr>
          </w:p>
        </w:tc>
        <w:tc>
          <w:tcPr>
            <w:tcW w:w="62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266,884</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gridSpan w:val="2"/>
          </w:tcPr>
          <w:p>
            <w:pPr>
              <w:jc w:val="right"/>
              <w:ind w:right="60"/>
              <w:spacing w:after="0" w:line="135" w:lineRule="exact"/>
              <w:rPr>
                <w:sz w:val="20"/>
                <w:szCs w:val="20"/>
                <w:color w:val="auto"/>
              </w:rPr>
            </w:pPr>
            <w:r>
              <w:rPr>
                <w:rFonts w:ascii="Arial" w:cs="Arial" w:eastAsia="Arial" w:hAnsi="Arial"/>
                <w:sz w:val="13"/>
                <w:szCs w:val="13"/>
                <w:color w:val="auto"/>
              </w:rPr>
              <w:t>266,884</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239,334</w:t>
            </w:r>
          </w:p>
        </w:tc>
        <w:tc>
          <w:tcPr>
            <w:tcW w:w="120" w:type="dxa"/>
            <w:vAlign w:val="bottom"/>
          </w:tcPr>
          <w:p>
            <w:pPr>
              <w:spacing w:after="0"/>
              <w:rPr>
                <w:sz w:val="11"/>
                <w:szCs w:val="11"/>
                <w:color w:val="auto"/>
              </w:rPr>
            </w:pPr>
          </w:p>
        </w:tc>
        <w:tc>
          <w:tcPr>
            <w:tcW w:w="62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239,334</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625,897</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jc w:val="right"/>
              <w:spacing w:after="0" w:line="135" w:lineRule="exact"/>
              <w:rPr>
                <w:sz w:val="20"/>
                <w:szCs w:val="20"/>
                <w:color w:val="auto"/>
              </w:rPr>
            </w:pPr>
            <w:r>
              <w:rPr>
                <w:rFonts w:ascii="Arial" w:cs="Arial" w:eastAsia="Arial" w:hAnsi="Arial"/>
                <w:sz w:val="13"/>
                <w:szCs w:val="13"/>
                <w:color w:val="auto"/>
              </w:rPr>
              <w:t>625,897</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gridSpan w:val="2"/>
          </w:tcPr>
          <w:p>
            <w:pPr>
              <w:jc w:val="right"/>
              <w:ind w:right="160"/>
              <w:spacing w:after="0" w:line="135" w:lineRule="exact"/>
              <w:rPr>
                <w:sz w:val="20"/>
                <w:szCs w:val="20"/>
                <w:color w:val="auto"/>
              </w:rPr>
            </w:pPr>
            <w:r>
              <w:rPr>
                <w:rFonts w:ascii="Arial" w:cs="Arial" w:eastAsia="Arial" w:hAnsi="Arial"/>
                <w:sz w:val="13"/>
                <w:szCs w:val="13"/>
                <w:color w:val="auto"/>
              </w:rPr>
              <w:t>159,229</w:t>
            </w:r>
          </w:p>
        </w:tc>
        <w:tc>
          <w:tcPr>
            <w:tcW w:w="120" w:type="dxa"/>
            <w:vAlign w:val="bottom"/>
          </w:tcPr>
          <w:p>
            <w:pPr>
              <w:spacing w:after="0"/>
              <w:rPr>
                <w:sz w:val="11"/>
                <w:szCs w:val="11"/>
                <w:color w:val="auto"/>
              </w:rPr>
            </w:pPr>
          </w:p>
        </w:tc>
        <w:tc>
          <w:tcPr>
            <w:tcW w:w="620" w:type="dxa"/>
            <w:vAlign w:val="bottom"/>
            <w:gridSpan w:val="2"/>
          </w:tcPr>
          <w:p>
            <w:pPr>
              <w:jc w:val="right"/>
              <w:ind w:right="60"/>
              <w:spacing w:after="0" w:line="135" w:lineRule="exact"/>
              <w:rPr>
                <w:sz w:val="20"/>
                <w:szCs w:val="20"/>
                <w:color w:val="auto"/>
              </w:rPr>
            </w:pPr>
            <w:r>
              <w:rPr>
                <w:rFonts w:ascii="Arial" w:cs="Arial" w:eastAsia="Arial" w:hAnsi="Arial"/>
                <w:sz w:val="13"/>
                <w:szCs w:val="13"/>
                <w:color w:val="auto"/>
              </w:rPr>
              <w:t>159,229</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jc w:val="right"/>
              <w:spacing w:after="0" w:line="135" w:lineRule="exact"/>
              <w:rPr>
                <w:sz w:val="20"/>
                <w:szCs w:val="20"/>
                <w:color w:val="auto"/>
              </w:rPr>
            </w:pPr>
            <w:r>
              <w:rPr>
                <w:rFonts w:ascii="Arial" w:cs="Arial" w:eastAsia="Arial" w:hAnsi="Arial"/>
                <w:sz w:val="13"/>
                <w:szCs w:val="13"/>
                <w:color w:val="auto"/>
              </w:rPr>
              <w:t>548,414</w:t>
            </w: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jc w:val="right"/>
              <w:ind w:right="60"/>
              <w:spacing w:after="0" w:line="135" w:lineRule="exact"/>
              <w:rPr>
                <w:sz w:val="20"/>
                <w:szCs w:val="20"/>
                <w:color w:val="auto"/>
              </w:rPr>
            </w:pPr>
            <w:r>
              <w:rPr>
                <w:rFonts w:ascii="Arial" w:cs="Arial" w:eastAsia="Arial" w:hAnsi="Arial"/>
                <w:sz w:val="13"/>
                <w:szCs w:val="13"/>
                <w:color w:val="auto"/>
              </w:rPr>
              <w:t>548,414</w:t>
            </w:r>
          </w:p>
        </w:tc>
      </w:tr>
      <w:tr>
        <w:trPr>
          <w:trHeight w:val="135"/>
        </w:trPr>
        <w:tc>
          <w:tcPr>
            <w:tcW w:w="20" w:type="dxa"/>
            <w:vAlign w:val="bottom"/>
          </w:tcPr>
          <w:p>
            <w:pPr>
              <w:spacing w:after="0"/>
              <w:rPr>
                <w:sz w:val="11"/>
                <w:szCs w:val="11"/>
                <w:color w:val="auto"/>
              </w:rPr>
            </w:pPr>
          </w:p>
        </w:tc>
        <w:tc>
          <w:tcPr>
            <w:tcW w:w="3280" w:type="dxa"/>
            <w:vAlign w:val="bottom"/>
            <w:shd w:val="clear" w:color="auto" w:fill="CCEEFF"/>
          </w:tcPr>
          <w:p>
            <w:pPr>
              <w:spacing w:after="0" w:line="135" w:lineRule="exact"/>
              <w:rPr>
                <w:sz w:val="20"/>
                <w:szCs w:val="20"/>
                <w:color w:val="auto"/>
              </w:rPr>
            </w:pPr>
            <w:r>
              <w:rPr>
                <w:rFonts w:ascii="Arial" w:cs="Arial" w:eastAsia="Arial" w:hAnsi="Arial"/>
                <w:sz w:val="13"/>
                <w:szCs w:val="13"/>
                <w:color w:val="auto"/>
              </w:rPr>
              <w:t xml:space="preserve">Leadership Life Program </w:t>
            </w:r>
            <w:r>
              <w:rPr>
                <w:rFonts w:ascii="Arial" w:cs="Arial" w:eastAsia="Arial" w:hAnsi="Arial"/>
                <w:sz w:val="10"/>
                <w:szCs w:val="10"/>
                <w:color w:val="auto"/>
              </w:rPr>
              <w:t>(9)</w:t>
            </w: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w w:val="89"/>
              </w:rPr>
              <w:t>2,000,000</w:t>
            </w: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16,418</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8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w w:val="89"/>
              </w:rPr>
              <w:t>1,200,000</w:t>
            </w:r>
          </w:p>
        </w:tc>
        <w:tc>
          <w:tcPr>
            <w:tcW w:w="12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4,705</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8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2,000,000</w:t>
            </w: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color w:val="auto"/>
              </w:rPr>
              <w:t>12,625</w:t>
            </w: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w w:val="89"/>
              </w:rPr>
              <w:t>1,444,000</w:t>
            </w: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8,582</w:t>
            </w:r>
          </w:p>
        </w:tc>
        <w:tc>
          <w:tcPr>
            <w:tcW w:w="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2,000,000</w:t>
            </w: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5,263</w:t>
            </w:r>
          </w:p>
        </w:tc>
      </w:tr>
      <w:tr>
        <w:trPr>
          <w:trHeight w:val="142"/>
        </w:trPr>
        <w:tc>
          <w:tcPr>
            <w:tcW w:w="20" w:type="dxa"/>
            <w:vAlign w:val="bottom"/>
          </w:tcPr>
          <w:p>
            <w:pPr>
              <w:spacing w:after="0"/>
              <w:rPr>
                <w:sz w:val="12"/>
                <w:szCs w:val="12"/>
                <w:color w:val="auto"/>
              </w:rPr>
            </w:pPr>
          </w:p>
        </w:tc>
        <w:tc>
          <w:tcPr>
            <w:tcW w:w="3280" w:type="dxa"/>
            <w:vAlign w:val="bottom"/>
          </w:tcPr>
          <w:p>
            <w:pPr>
              <w:spacing w:after="0" w:line="135" w:lineRule="exact"/>
              <w:rPr>
                <w:sz w:val="20"/>
                <w:szCs w:val="20"/>
                <w:color w:val="auto"/>
              </w:rPr>
            </w:pPr>
            <w:r>
              <w:rPr>
                <w:rFonts w:ascii="Arial" w:cs="Arial" w:eastAsia="Arial" w:hAnsi="Arial"/>
                <w:sz w:val="13"/>
                <w:szCs w:val="13"/>
                <w:color w:val="auto"/>
              </w:rPr>
              <w:t xml:space="preserve">Executive Life Program </w:t>
            </w:r>
            <w:r>
              <w:rPr>
                <w:rFonts w:ascii="Arial" w:cs="Arial" w:eastAsia="Arial" w:hAnsi="Arial"/>
                <w:sz w:val="10"/>
                <w:szCs w:val="10"/>
                <w:color w:val="auto"/>
              </w:rPr>
              <w:t>(10)</w:t>
            </w:r>
          </w:p>
        </w:tc>
        <w:tc>
          <w:tcPr>
            <w:tcW w:w="10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3"/>
                <w:szCs w:val="13"/>
                <w:color w:val="auto"/>
                <w:w w:val="89"/>
              </w:rPr>
              <w:t>1,453,500</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3"/>
                <w:szCs w:val="13"/>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3"/>
                <w:szCs w:val="13"/>
                <w:color w:val="auto"/>
                <w:w w:val="89"/>
              </w:rPr>
              <w:t>1,453,500</w:t>
            </w:r>
          </w:p>
        </w:tc>
        <w:tc>
          <w:tcPr>
            <w:tcW w:w="1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ind w:left="36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3"/>
                <w:szCs w:val="13"/>
                <w:color w:val="auto"/>
              </w:rPr>
              <w:t>1,456,000</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3"/>
                <w:szCs w:val="13"/>
                <w:color w:val="auto"/>
                <w:w w:val="89"/>
              </w:rPr>
              <w:t>1,453,500</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17"/>
              <w:spacing w:after="0" w:line="135" w:lineRule="exact"/>
              <w:rPr>
                <w:sz w:val="20"/>
                <w:szCs w:val="20"/>
                <w:color w:val="auto"/>
              </w:rPr>
            </w:pPr>
            <w:r>
              <w:rPr>
                <w:rFonts w:ascii="Arial" w:cs="Arial" w:eastAsia="Arial" w:hAnsi="Arial"/>
                <w:sz w:val="13"/>
                <w:szCs w:val="13"/>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3"/>
                <w:szCs w:val="13"/>
                <w:color w:val="auto"/>
              </w:rPr>
              <w:t>1,463,000</w:t>
            </w:r>
          </w:p>
        </w:tc>
        <w:tc>
          <w:tcPr>
            <w:tcW w:w="16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3"/>
                <w:szCs w:val="13"/>
                <w:color w:val="auto"/>
              </w:rPr>
              <w:t>—</w:t>
            </w:r>
          </w:p>
        </w:tc>
        <w:tc>
          <w:tcPr>
            <w:tcW w:w="60" w:type="dxa"/>
            <w:vAlign w:val="bottom"/>
          </w:tcPr>
          <w:p>
            <w:pPr>
              <w:spacing w:after="0"/>
              <w:rPr>
                <w:sz w:val="12"/>
                <w:szCs w:val="12"/>
                <w:color w:val="auto"/>
              </w:rPr>
            </w:pPr>
          </w:p>
        </w:tc>
      </w:tr>
      <w:tr>
        <w:trPr>
          <w:trHeight w:val="135"/>
        </w:trPr>
        <w:tc>
          <w:tcPr>
            <w:tcW w:w="20" w:type="dxa"/>
            <w:vAlign w:val="bottom"/>
          </w:tcPr>
          <w:p>
            <w:pPr>
              <w:spacing w:after="0"/>
              <w:rPr>
                <w:sz w:val="11"/>
                <w:szCs w:val="11"/>
                <w:color w:val="auto"/>
              </w:rPr>
            </w:pPr>
          </w:p>
        </w:tc>
        <w:tc>
          <w:tcPr>
            <w:tcW w:w="3280" w:type="dxa"/>
            <w:vAlign w:val="bottom"/>
            <w:shd w:val="clear" w:color="auto" w:fill="CCEEFF"/>
          </w:tcPr>
          <w:p>
            <w:pPr>
              <w:spacing w:after="0" w:line="135" w:lineRule="exact"/>
              <w:rPr>
                <w:sz w:val="20"/>
                <w:szCs w:val="20"/>
                <w:color w:val="auto"/>
              </w:rPr>
            </w:pPr>
            <w:r>
              <w:rPr>
                <w:rFonts w:ascii="Arial" w:cs="Arial" w:eastAsia="Arial" w:hAnsi="Arial"/>
                <w:sz w:val="13"/>
                <w:szCs w:val="13"/>
                <w:color w:val="auto"/>
              </w:rPr>
              <w:t>Total</w:t>
            </w:r>
          </w:p>
        </w:tc>
        <w:tc>
          <w:tcPr>
            <w:tcW w:w="10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5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w w:val="89"/>
              </w:rPr>
              <w:t>6,847,384</w:t>
            </w:r>
          </w:p>
        </w:tc>
        <w:tc>
          <w:tcPr>
            <w:tcW w:w="80" w:type="dxa"/>
            <w:vAlign w:val="bottom"/>
            <w:shd w:val="clear" w:color="auto" w:fill="CCEEFF"/>
          </w:tcPr>
          <w:p>
            <w:pPr>
              <w:spacing w:after="0"/>
              <w:rPr>
                <w:sz w:val="11"/>
                <w:szCs w:val="11"/>
                <w:color w:val="auto"/>
              </w:rPr>
            </w:pPr>
          </w:p>
        </w:tc>
        <w:tc>
          <w:tcPr>
            <w:tcW w:w="18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c>
          <w:tcPr>
            <w:tcW w:w="5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w w:val="89"/>
              </w:rPr>
              <w:t>3,410,302</w:t>
            </w:r>
          </w:p>
        </w:tc>
        <w:tc>
          <w:tcPr>
            <w:tcW w:w="60" w:type="dxa"/>
            <w:vAlign w:val="bottom"/>
            <w:shd w:val="clear" w:color="auto" w:fill="CCEEFF"/>
          </w:tcPr>
          <w:p>
            <w:pPr>
              <w:spacing w:after="0"/>
              <w:rPr>
                <w:sz w:val="11"/>
                <w:szCs w:val="11"/>
                <w:color w:val="auto"/>
              </w:rPr>
            </w:pPr>
          </w:p>
        </w:tc>
        <w:tc>
          <w:tcPr>
            <w:tcW w:w="18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c>
          <w:tcPr>
            <w:tcW w:w="68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w w:val="89"/>
              </w:rPr>
              <w:t>5,843,472</w:t>
            </w:r>
          </w:p>
        </w:tc>
        <w:tc>
          <w:tcPr>
            <w:tcW w:w="120" w:type="dxa"/>
            <w:vAlign w:val="bottom"/>
            <w:shd w:val="clear" w:color="auto" w:fill="CCEEFF"/>
          </w:tcPr>
          <w:p>
            <w:pPr>
              <w:jc w:val="right"/>
              <w:ind w:right="5"/>
              <w:spacing w:after="0"/>
              <w:rPr>
                <w:sz w:val="20"/>
                <w:szCs w:val="20"/>
                <w:color w:val="auto"/>
              </w:rPr>
            </w:pPr>
            <w:r>
              <w:rPr>
                <w:rFonts w:ascii="Arial" w:cs="Arial" w:eastAsia="Arial" w:hAnsi="Arial"/>
                <w:sz w:val="9"/>
                <w:szCs w:val="9"/>
                <w:color w:val="auto"/>
                <w:w w:val="78"/>
              </w:rPr>
              <w:t>$</w:t>
            </w:r>
          </w:p>
        </w:tc>
        <w:tc>
          <w:tcPr>
            <w:tcW w:w="62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w w:val="89"/>
              </w:rPr>
              <w:t>1,908,877</w:t>
            </w:r>
          </w:p>
        </w:tc>
        <w:tc>
          <w:tcPr>
            <w:tcW w:w="18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c>
          <w:tcPr>
            <w:tcW w:w="68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w w:val="89"/>
              </w:rPr>
              <w:t>11,297,261</w:t>
            </w:r>
          </w:p>
        </w:tc>
        <w:tc>
          <w:tcPr>
            <w:tcW w:w="18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c>
          <w:tcPr>
            <w:tcW w:w="5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w w:val="89"/>
              </w:rPr>
              <w:t>6,463,236</w:t>
            </w: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5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w w:val="89"/>
              </w:rPr>
              <w:t>5,688,221</w:t>
            </w: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jc w:val="right"/>
              <w:ind w:right="5"/>
              <w:spacing w:after="0"/>
              <w:rPr>
                <w:sz w:val="20"/>
                <w:szCs w:val="20"/>
                <w:color w:val="auto"/>
              </w:rPr>
            </w:pPr>
            <w:r>
              <w:rPr>
                <w:rFonts w:ascii="Arial" w:cs="Arial" w:eastAsia="Arial" w:hAnsi="Arial"/>
                <w:sz w:val="9"/>
                <w:szCs w:val="9"/>
                <w:color w:val="auto"/>
                <w:w w:val="78"/>
              </w:rPr>
              <w:t>$</w:t>
            </w:r>
          </w:p>
        </w:tc>
        <w:tc>
          <w:tcPr>
            <w:tcW w:w="56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w w:val="93"/>
              </w:rPr>
              <w:t>2,456,403</w:t>
            </w:r>
          </w:p>
        </w:tc>
        <w:tc>
          <w:tcPr>
            <w:tcW w:w="60" w:type="dxa"/>
            <w:vAlign w:val="bottom"/>
            <w:shd w:val="clear" w:color="auto" w:fill="CCEEFF"/>
          </w:tcPr>
          <w:p>
            <w:pPr>
              <w:spacing w:after="0"/>
              <w:rPr>
                <w:sz w:val="11"/>
                <w:szCs w:val="11"/>
                <w:color w:val="auto"/>
              </w:rPr>
            </w:pPr>
          </w:p>
        </w:tc>
        <w:tc>
          <w:tcPr>
            <w:tcW w:w="200" w:type="dxa"/>
            <w:vAlign w:val="bottom"/>
            <w:gridSpan w:val="2"/>
            <w:shd w:val="clear" w:color="auto" w:fill="CCEEFF"/>
          </w:tcPr>
          <w:p>
            <w:pPr>
              <w:jc w:val="right"/>
              <w:ind w:right="13"/>
              <w:spacing w:after="0" w:line="135" w:lineRule="exact"/>
              <w:rPr>
                <w:sz w:val="20"/>
                <w:szCs w:val="20"/>
                <w:color w:val="auto"/>
              </w:rPr>
            </w:pPr>
            <w:r>
              <w:rPr>
                <w:rFonts w:ascii="Arial" w:cs="Arial" w:eastAsia="Arial" w:hAnsi="Arial"/>
                <w:sz w:val="13"/>
                <w:szCs w:val="13"/>
                <w:color w:val="auto"/>
              </w:rPr>
              <w:t>$</w:t>
            </w:r>
          </w:p>
        </w:tc>
        <w:tc>
          <w:tcPr>
            <w:tcW w:w="780" w:type="dxa"/>
            <w:vAlign w:val="bottom"/>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color w:val="auto"/>
                <w:w w:val="92"/>
              </w:rPr>
              <w:t>10,998,788</w:t>
            </w: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70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6,493,300</w:t>
            </w:r>
          </w:p>
        </w:tc>
      </w:tr>
      <w:tr>
        <w:trPr>
          <w:trHeight w:val="20"/>
        </w:trPr>
        <w:tc>
          <w:tcPr>
            <w:tcW w:w="20" w:type="dxa"/>
            <w:vAlign w:val="bottom"/>
          </w:tcPr>
          <w:p>
            <w:pPr>
              <w:spacing w:after="0" w:line="20" w:lineRule="exact"/>
              <w:rPr>
                <w:sz w:val="1"/>
                <w:szCs w:val="1"/>
                <w:color w:val="auto"/>
              </w:rPr>
            </w:pPr>
          </w:p>
        </w:tc>
        <w:tc>
          <w:tcPr>
            <w:tcW w:w="3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94615</wp:posOffset>
            </wp:positionV>
            <wp:extent cx="72898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68" w:lineRule="exact"/>
        <w:rPr>
          <w:sz w:val="20"/>
          <w:szCs w:val="20"/>
          <w:color w:val="auto"/>
        </w:rPr>
      </w:pPr>
    </w:p>
    <w:p>
      <w:pPr>
        <w:ind w:left="460" w:right="140" w:hanging="452"/>
        <w:spacing w:after="0" w:line="254" w:lineRule="auto"/>
        <w:tabs>
          <w:tab w:leader="none" w:pos="460" w:val="left"/>
        </w:tabs>
        <w:numPr>
          <w:ilvl w:val="0"/>
          <w:numId w:val="60"/>
        </w:numPr>
        <w:rPr>
          <w:rFonts w:ascii="Arial" w:cs="Arial" w:eastAsia="Arial" w:hAnsi="Arial"/>
          <w:sz w:val="15"/>
          <w:szCs w:val="15"/>
          <w:color w:val="auto"/>
        </w:rPr>
      </w:pPr>
      <w:r>
        <w:rPr>
          <w:rFonts w:ascii="Arial" w:cs="Arial" w:eastAsia="Arial" w:hAnsi="Arial"/>
          <w:sz w:val="18"/>
          <w:szCs w:val="18"/>
          <w:color w:val="auto"/>
        </w:rPr>
        <w:t>Reflects the aggregate value of stock options and SARs (based on the excess, if any, of the closing price of Genworth common stock on December 31, 2016 over the exercise price) which would become immediately vested and exercisable in full. Because the closing price of Genworth common stock on December 31, 2016 ($3.81) was less than the exercise price for all stock options and SARs that would become vested, no value for these awards is reflected in the table.</w:t>
      </w:r>
    </w:p>
    <w:p>
      <w:pPr>
        <w:spacing w:after="0" w:line="2" w:lineRule="exact"/>
        <w:rPr>
          <w:rFonts w:ascii="Arial" w:cs="Arial" w:eastAsia="Arial" w:hAnsi="Arial"/>
          <w:sz w:val="15"/>
          <w:szCs w:val="15"/>
          <w:color w:val="auto"/>
        </w:rPr>
      </w:pPr>
    </w:p>
    <w:p>
      <w:pPr>
        <w:ind w:left="460" w:right="860" w:hanging="452"/>
        <w:spacing w:after="0" w:line="250" w:lineRule="auto"/>
        <w:tabs>
          <w:tab w:leader="none" w:pos="460" w:val="left"/>
        </w:tabs>
        <w:numPr>
          <w:ilvl w:val="0"/>
          <w:numId w:val="60"/>
        </w:numPr>
        <w:rPr>
          <w:rFonts w:ascii="Arial" w:cs="Arial" w:eastAsia="Arial" w:hAnsi="Arial"/>
          <w:sz w:val="15"/>
          <w:szCs w:val="15"/>
          <w:color w:val="auto"/>
        </w:rPr>
      </w:pPr>
      <w:r>
        <w:rPr>
          <w:rFonts w:ascii="Arial" w:cs="Arial" w:eastAsia="Arial" w:hAnsi="Arial"/>
          <w:sz w:val="18"/>
          <w:szCs w:val="18"/>
          <w:color w:val="auto"/>
        </w:rPr>
        <w:t>Reflects the aggregate value of RSUs (based on the closing price of Genworth common stock on December 31, 2016 of $3.81) which would immediately vest as of the executive’s death or total disability.</w:t>
      </w:r>
    </w:p>
    <w:p>
      <w:pPr>
        <w:ind w:left="460" w:right="20" w:hanging="452"/>
        <w:spacing w:after="0" w:line="250" w:lineRule="auto"/>
        <w:tabs>
          <w:tab w:leader="none" w:pos="460" w:val="left"/>
        </w:tabs>
        <w:numPr>
          <w:ilvl w:val="0"/>
          <w:numId w:val="60"/>
        </w:numPr>
        <w:rPr>
          <w:rFonts w:ascii="Arial" w:cs="Arial" w:eastAsia="Arial" w:hAnsi="Arial"/>
          <w:sz w:val="15"/>
          <w:szCs w:val="15"/>
          <w:color w:val="auto"/>
        </w:rPr>
      </w:pPr>
      <w:r>
        <w:rPr>
          <w:rFonts w:ascii="Arial" w:cs="Arial" w:eastAsia="Arial" w:hAnsi="Arial"/>
          <w:sz w:val="18"/>
          <w:szCs w:val="18"/>
          <w:color w:val="auto"/>
        </w:rPr>
        <w:t>Based on performance toward goals, the 2014-2016 PSUs were not earned and did not become vested following the performance period. Based on current progress toward goals, a pro rata payout of 2015-2017 PSUs based on a threshold level of performance is reflected in the table. Performance-based equity awards that have been held for less than one year at the time of termination are forfeited, and therefore the named executive officers would have forfeited the 2016-2018 PSUs granted on March 16, 2016.</w:t>
      </w:r>
    </w:p>
    <w:p>
      <w:pPr>
        <w:spacing w:after="0" w:line="1" w:lineRule="exact"/>
        <w:rPr>
          <w:rFonts w:ascii="Arial" w:cs="Arial" w:eastAsia="Arial" w:hAnsi="Arial"/>
          <w:sz w:val="15"/>
          <w:szCs w:val="15"/>
          <w:color w:val="auto"/>
        </w:rPr>
      </w:pPr>
    </w:p>
    <w:p>
      <w:pPr>
        <w:ind w:left="460" w:right="540" w:hanging="452"/>
        <w:spacing w:after="0" w:line="265" w:lineRule="auto"/>
        <w:tabs>
          <w:tab w:leader="none" w:pos="460" w:val="left"/>
        </w:tabs>
        <w:numPr>
          <w:ilvl w:val="0"/>
          <w:numId w:val="60"/>
        </w:numPr>
        <w:rPr>
          <w:rFonts w:ascii="Arial" w:cs="Arial" w:eastAsia="Arial" w:hAnsi="Arial"/>
          <w:sz w:val="14"/>
          <w:szCs w:val="14"/>
          <w:color w:val="auto"/>
        </w:rPr>
      </w:pPr>
      <w:r>
        <w:rPr>
          <w:rFonts w:ascii="Arial" w:cs="Arial" w:eastAsia="Arial" w:hAnsi="Arial"/>
          <w:sz w:val="17"/>
          <w:szCs w:val="17"/>
          <w:color w:val="auto"/>
        </w:rPr>
        <w:t xml:space="preserve">Reflects the portion of the Cash-in-Lieu of Equity award made to Ms. Groh which would accelerate immediately upon her termination. For more information regarding Cash-in-Lieu of Equity, please see the </w:t>
      </w:r>
      <w:r>
        <w:rPr>
          <w:rFonts w:ascii="Arial" w:cs="Arial" w:eastAsia="Arial" w:hAnsi="Arial"/>
          <w:sz w:val="17"/>
          <w:szCs w:val="17"/>
          <w:i w:val="1"/>
          <w:iCs w:val="1"/>
          <w:color w:val="auto"/>
        </w:rPr>
        <w:t>Compensation Discussion and Analysis</w:t>
      </w:r>
      <w:r>
        <w:rPr>
          <w:rFonts w:ascii="Arial" w:cs="Arial" w:eastAsia="Arial" w:hAnsi="Arial"/>
          <w:sz w:val="17"/>
          <w:szCs w:val="17"/>
          <w:color w:val="auto"/>
        </w:rPr>
        <w:t xml:space="preserve"> section above.</w:t>
      </w:r>
    </w:p>
    <w:p>
      <w:pPr>
        <w:ind w:left="460" w:right="380" w:hanging="452"/>
        <w:spacing w:after="0" w:line="250" w:lineRule="auto"/>
        <w:tabs>
          <w:tab w:leader="none" w:pos="460" w:val="left"/>
        </w:tabs>
        <w:numPr>
          <w:ilvl w:val="0"/>
          <w:numId w:val="60"/>
        </w:numPr>
        <w:rPr>
          <w:rFonts w:ascii="Arial" w:cs="Arial" w:eastAsia="Arial" w:hAnsi="Arial"/>
          <w:sz w:val="15"/>
          <w:szCs w:val="15"/>
          <w:color w:val="auto"/>
        </w:rPr>
      </w:pPr>
      <w:r>
        <w:rPr>
          <w:rFonts w:ascii="Arial" w:cs="Arial" w:eastAsia="Arial" w:hAnsi="Arial"/>
          <w:sz w:val="18"/>
          <w:szCs w:val="18"/>
          <w:color w:val="auto"/>
        </w:rPr>
        <w:t xml:space="preserve">Reflects cash-based retention incentive awards that remained outstanding and had not been earned as of December 31, 2016. For more information regarding the retention incentive, please see the </w:t>
      </w:r>
      <w:r>
        <w:rPr>
          <w:rFonts w:ascii="Arial" w:cs="Arial" w:eastAsia="Arial" w:hAnsi="Arial"/>
          <w:sz w:val="18"/>
          <w:szCs w:val="18"/>
          <w:i w:val="1"/>
          <w:iCs w:val="1"/>
          <w:color w:val="auto"/>
        </w:rPr>
        <w:t>Compensation Discussion and Analysis</w:t>
      </w:r>
      <w:r>
        <w:rPr>
          <w:rFonts w:ascii="Arial" w:cs="Arial" w:eastAsia="Arial" w:hAnsi="Arial"/>
          <w:sz w:val="18"/>
          <w:szCs w:val="18"/>
          <w:color w:val="auto"/>
        </w:rPr>
        <w:t xml:space="preserve"> section above.</w:t>
      </w:r>
    </w:p>
    <w:p>
      <w:pPr>
        <w:ind w:left="460" w:hanging="452"/>
        <w:spacing w:after="0"/>
        <w:tabs>
          <w:tab w:leader="none" w:pos="460" w:val="left"/>
        </w:tabs>
        <w:numPr>
          <w:ilvl w:val="0"/>
          <w:numId w:val="60"/>
        </w:numPr>
        <w:rPr>
          <w:rFonts w:ascii="Arial" w:cs="Arial" w:eastAsia="Arial" w:hAnsi="Arial"/>
          <w:sz w:val="15"/>
          <w:szCs w:val="15"/>
          <w:color w:val="auto"/>
        </w:rPr>
      </w:pPr>
      <w:r>
        <w:rPr>
          <w:rFonts w:ascii="Arial" w:cs="Arial" w:eastAsia="Arial" w:hAnsi="Arial"/>
          <w:sz w:val="18"/>
          <w:szCs w:val="18"/>
          <w:color w:val="auto"/>
        </w:rPr>
        <w:t>Reflects a pro rata portion of any annual incentive award, based on actual performance results.</w:t>
      </w:r>
    </w:p>
    <w:p>
      <w:pPr>
        <w:spacing w:after="0" w:line="9" w:lineRule="exact"/>
        <w:rPr>
          <w:rFonts w:ascii="Arial" w:cs="Arial" w:eastAsia="Arial" w:hAnsi="Arial"/>
          <w:sz w:val="15"/>
          <w:szCs w:val="15"/>
          <w:color w:val="auto"/>
        </w:rPr>
      </w:pPr>
    </w:p>
    <w:p>
      <w:pPr>
        <w:ind w:left="460" w:right="140" w:hanging="452"/>
        <w:spacing w:after="0" w:line="250" w:lineRule="auto"/>
        <w:tabs>
          <w:tab w:leader="none" w:pos="460" w:val="left"/>
        </w:tabs>
        <w:numPr>
          <w:ilvl w:val="0"/>
          <w:numId w:val="60"/>
        </w:numPr>
        <w:rPr>
          <w:rFonts w:ascii="Arial" w:cs="Arial" w:eastAsia="Arial" w:hAnsi="Arial"/>
          <w:sz w:val="15"/>
          <w:szCs w:val="15"/>
          <w:color w:val="auto"/>
        </w:rPr>
      </w:pPr>
      <w:r>
        <w:rPr>
          <w:rFonts w:ascii="Arial" w:cs="Arial" w:eastAsia="Arial" w:hAnsi="Arial"/>
          <w:sz w:val="18"/>
          <w:szCs w:val="18"/>
          <w:color w:val="auto"/>
        </w:rPr>
        <w:t>Reflects the present value of each participating named executive officer’s accumulated benefits under the SERP, as noted in the 2016 Pension Benefits Table, which would become fully vested.</w:t>
      </w:r>
    </w:p>
    <w:p>
      <w:pPr>
        <w:ind w:left="460" w:right="200" w:hanging="452"/>
        <w:spacing w:after="0" w:line="255" w:lineRule="auto"/>
        <w:tabs>
          <w:tab w:leader="none" w:pos="460" w:val="left"/>
        </w:tabs>
        <w:numPr>
          <w:ilvl w:val="0"/>
          <w:numId w:val="60"/>
        </w:numPr>
        <w:rPr>
          <w:rFonts w:ascii="Arial" w:cs="Arial" w:eastAsia="Arial" w:hAnsi="Arial"/>
          <w:sz w:val="15"/>
          <w:szCs w:val="15"/>
          <w:color w:val="auto"/>
        </w:rPr>
      </w:pPr>
      <w:r>
        <w:rPr>
          <w:rFonts w:ascii="Arial" w:cs="Arial" w:eastAsia="Arial" w:hAnsi="Arial"/>
          <w:sz w:val="18"/>
          <w:szCs w:val="18"/>
          <w:color w:val="auto"/>
        </w:rPr>
        <w:t>Pursuant to the terms of the Restoration Plan, the Restoration Plan balances become vested in the event of death or disability. For Mr. McInerney, this represents only the Supplemental Contribution account balance within the Restoration Plan due to the fact he is already vested in the 401(k) Savings and Retirement</w:t>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459" w:right="23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80"/>
        <w:spacing w:after="0" w:line="258" w:lineRule="auto"/>
        <w:rPr>
          <w:sz w:val="20"/>
          <w:szCs w:val="20"/>
          <w:color w:val="auto"/>
        </w:rPr>
      </w:pPr>
      <w:r>
        <w:rPr>
          <w:rFonts w:ascii="Arial" w:cs="Arial" w:eastAsia="Arial" w:hAnsi="Arial"/>
          <w:sz w:val="18"/>
          <w:szCs w:val="18"/>
          <w:color w:val="auto"/>
        </w:rPr>
        <w:t>Account Feature balances. These amounts, which include contributions to be made on behalf of the named executive officers in 2017 for compensation earned in 2016, are reported in the 2016 Non-Qualified Deferred Compensation Table.</w:t>
      </w:r>
    </w:p>
    <w:p>
      <w:pPr>
        <w:ind w:left="460" w:right="360" w:hanging="452"/>
        <w:spacing w:after="0" w:line="250" w:lineRule="auto"/>
        <w:tabs>
          <w:tab w:leader="none" w:pos="460" w:val="left"/>
        </w:tabs>
        <w:numPr>
          <w:ilvl w:val="0"/>
          <w:numId w:val="61"/>
        </w:numPr>
        <w:rPr>
          <w:rFonts w:ascii="Arial" w:cs="Arial" w:eastAsia="Arial" w:hAnsi="Arial"/>
          <w:sz w:val="15"/>
          <w:szCs w:val="15"/>
          <w:color w:val="auto"/>
        </w:rPr>
      </w:pPr>
      <w:r>
        <w:rPr>
          <w:rFonts w:ascii="Arial" w:cs="Arial" w:eastAsia="Arial" w:hAnsi="Arial"/>
          <w:sz w:val="18"/>
          <w:szCs w:val="18"/>
          <w:color w:val="auto"/>
        </w:rPr>
        <w:t>Represents death benefits payable to the named executive officer’s beneficiary in the event of death, or the value of one year of continued premium payments in the event of total disability.</w:t>
      </w:r>
    </w:p>
    <w:p>
      <w:pPr>
        <w:ind w:left="460" w:right="60" w:hanging="452"/>
        <w:spacing w:after="0" w:line="262" w:lineRule="auto"/>
        <w:tabs>
          <w:tab w:leader="none" w:pos="460" w:val="left"/>
        </w:tabs>
        <w:numPr>
          <w:ilvl w:val="0"/>
          <w:numId w:val="61"/>
        </w:numPr>
        <w:rPr>
          <w:rFonts w:ascii="Arial" w:cs="Arial" w:eastAsia="Arial" w:hAnsi="Arial"/>
          <w:sz w:val="15"/>
          <w:szCs w:val="15"/>
          <w:color w:val="auto"/>
        </w:rPr>
      </w:pPr>
      <w:r>
        <w:rPr>
          <w:rFonts w:ascii="Arial" w:cs="Arial" w:eastAsia="Arial" w:hAnsi="Arial"/>
          <w:sz w:val="18"/>
          <w:szCs w:val="18"/>
          <w:color w:val="auto"/>
        </w:rPr>
        <w:t>Pursuant to the terms of the Executive Life Program, we will use the proceeds from a company-owned life insurance policy to pay the named executive officer’s beneficiary a $1 million payment, plus a gross-up on federal and state income taxes related to that payment.</w:t>
      </w:r>
    </w:p>
    <w:p>
      <w:pPr>
        <w:spacing w:after="0" w:line="291" w:lineRule="exact"/>
        <w:rPr>
          <w:rFonts w:ascii="Arial" w:cs="Arial" w:eastAsia="Arial" w:hAnsi="Arial"/>
          <w:sz w:val="15"/>
          <w:szCs w:val="15"/>
          <w:color w:val="auto"/>
        </w:rPr>
      </w:pPr>
    </w:p>
    <w:p>
      <w:pPr>
        <w:ind w:left="460"/>
        <w:spacing w:after="0"/>
        <w:rPr>
          <w:rFonts w:ascii="Arial" w:cs="Arial" w:eastAsia="Arial" w:hAnsi="Arial"/>
          <w:sz w:val="15"/>
          <w:szCs w:val="15"/>
          <w:color w:val="auto"/>
        </w:rPr>
      </w:pPr>
      <w:r>
        <w:rPr>
          <w:rFonts w:ascii="Arial" w:cs="Arial" w:eastAsia="Arial" w:hAnsi="Arial"/>
          <w:sz w:val="18"/>
          <w:szCs w:val="18"/>
          <w:b w:val="1"/>
          <w:bCs w:val="1"/>
          <w:i w:val="1"/>
          <w:iCs w:val="1"/>
          <w:color w:val="auto"/>
        </w:rPr>
        <w:t>Retirement</w:t>
      </w:r>
    </w:p>
    <w:p>
      <w:pPr>
        <w:spacing w:after="0" w:line="117" w:lineRule="exact"/>
        <w:rPr>
          <w:sz w:val="20"/>
          <w:szCs w:val="20"/>
          <w:color w:val="auto"/>
        </w:rPr>
      </w:pPr>
    </w:p>
    <w:p>
      <w:pPr>
        <w:ind w:right="500" w:firstLine="456"/>
        <w:spacing w:after="0" w:line="277" w:lineRule="auto"/>
        <w:rPr>
          <w:sz w:val="20"/>
          <w:szCs w:val="20"/>
          <w:color w:val="auto"/>
        </w:rPr>
      </w:pPr>
      <w:r>
        <w:rPr>
          <w:rFonts w:ascii="Arial" w:cs="Arial" w:eastAsia="Arial" w:hAnsi="Arial"/>
          <w:sz w:val="18"/>
          <w:szCs w:val="18"/>
          <w:color w:val="auto"/>
        </w:rPr>
        <w:t>Each of our executive benefit and compensation programs has varying retirement definitions. Upon a voluntary termination, a retirement-eligible executive would be eligible to receive the following:</w:t>
      </w:r>
    </w:p>
    <w:p>
      <w:pPr>
        <w:spacing w:after="0" w:line="76" w:lineRule="exact"/>
        <w:rPr>
          <w:sz w:val="20"/>
          <w:szCs w:val="20"/>
          <w:color w:val="auto"/>
        </w:rPr>
      </w:pPr>
    </w:p>
    <w:p>
      <w:pPr>
        <w:ind w:left="900" w:right="40" w:hanging="325"/>
        <w:spacing w:after="0" w:line="270" w:lineRule="auto"/>
        <w:tabs>
          <w:tab w:leader="none" w:pos="900" w:val="left"/>
        </w:tabs>
        <w:numPr>
          <w:ilvl w:val="0"/>
          <w:numId w:val="62"/>
        </w:numPr>
        <w:rPr>
          <w:rFonts w:ascii="Arial" w:cs="Arial" w:eastAsia="Arial" w:hAnsi="Arial"/>
          <w:sz w:val="17"/>
          <w:szCs w:val="17"/>
          <w:color w:val="auto"/>
        </w:rPr>
      </w:pPr>
      <w:r>
        <w:rPr>
          <w:rFonts w:ascii="Arial" w:cs="Arial" w:eastAsia="Arial" w:hAnsi="Arial"/>
          <w:sz w:val="17"/>
          <w:szCs w:val="17"/>
          <w:i w:val="1"/>
          <w:iCs w:val="1"/>
          <w:color w:val="auto"/>
        </w:rPr>
        <w:t xml:space="preserve">Retirement Programs. </w:t>
      </w:r>
      <w:r>
        <w:rPr>
          <w:rFonts w:ascii="Arial" w:cs="Arial" w:eastAsia="Arial" w:hAnsi="Arial"/>
          <w:sz w:val="17"/>
          <w:szCs w:val="17"/>
          <w:color w:val="auto"/>
        </w:rPr>
        <w:t>The current definition of retirement for purposes of the SERP is attainment of age 60 with five years of service. As</w:t>
      </w:r>
      <w:r>
        <w:rPr>
          <w:rFonts w:ascii="Arial" w:cs="Arial" w:eastAsia="Arial" w:hAnsi="Arial"/>
          <w:sz w:val="17"/>
          <w:szCs w:val="17"/>
          <w:i w:val="1"/>
          <w:iCs w:val="1"/>
          <w:color w:val="auto"/>
        </w:rPr>
        <w:t xml:space="preserve"> </w:t>
      </w:r>
      <w:r>
        <w:rPr>
          <w:rFonts w:ascii="Arial" w:cs="Arial" w:eastAsia="Arial" w:hAnsi="Arial"/>
          <w:sz w:val="17"/>
          <w:szCs w:val="17"/>
          <w:color w:val="auto"/>
        </w:rPr>
        <w:t>amended and described above, participants in the SERP may partially vest sooner after they reach age 55 and have earned five years of “future service” (i.e., service occurring after December 31, 2015) based on a scale ranging from 50% at age 55 and increasing by 10% each year until the participant reaches full vesting at age 60. The SERP was closed to new participants effective January 1, 2010; therefore, Mr. McInerney is not eligible for our SERP. The Restoration Plan currently vests upon termination if the participant is at least age 60 with respect to the Restoration 401(k) Savings and Restoration Retirement Account Feature account balances, and after age 60 with five years of service with respect to any Supplemental Contribution account balance. As of December 31, 2016 Mr. McInerney is vested in the Restoration 401(k) Savings and Restoration Retirement Account Feature balances ($774,295), but is not yet vested in his Supplemental Contribution account balance ($266,884) as he has not yet met the five-year service requirement.</w:t>
      </w:r>
    </w:p>
    <w:p>
      <w:pPr>
        <w:spacing w:after="0" w:line="74" w:lineRule="exact"/>
        <w:rPr>
          <w:sz w:val="20"/>
          <w:szCs w:val="20"/>
          <w:color w:val="auto"/>
        </w:rPr>
      </w:pPr>
    </w:p>
    <w:p>
      <w:pPr>
        <w:ind w:left="920" w:right="40"/>
        <w:spacing w:after="0" w:line="302" w:lineRule="auto"/>
        <w:rPr>
          <w:sz w:val="20"/>
          <w:szCs w:val="20"/>
          <w:color w:val="auto"/>
        </w:rPr>
      </w:pPr>
      <w:r>
        <w:rPr>
          <w:rFonts w:ascii="Arial" w:cs="Arial" w:eastAsia="Arial" w:hAnsi="Arial"/>
          <w:sz w:val="16"/>
          <w:szCs w:val="16"/>
          <w:color w:val="auto"/>
        </w:rPr>
        <w:t>As amended and described above, the Restoration Plan may also become vested after attaining three years of “future service” (i.e., service occurring after December 31, 2015) with respect to the Restoration 401(k) Savings Feature and Restoration Retirement Account Feature (there is no change to the vesting requirements for Supplemental Contributions). Benefits will be paid from the Restoration Plan in 10 annual installments if the account balance is $50,000 or more at retirement or paid in a lump sum if the account balance is less than $50,000 at retirement.</w:t>
      </w:r>
    </w:p>
    <w:p>
      <w:pPr>
        <w:spacing w:after="0" w:line="60" w:lineRule="exact"/>
        <w:rPr>
          <w:sz w:val="20"/>
          <w:szCs w:val="20"/>
          <w:color w:val="auto"/>
        </w:rPr>
      </w:pPr>
    </w:p>
    <w:p>
      <w:pPr>
        <w:ind w:left="900" w:right="180" w:hanging="325"/>
        <w:spacing w:after="0" w:line="257" w:lineRule="auto"/>
        <w:tabs>
          <w:tab w:leader="none" w:pos="900" w:val="left"/>
        </w:tabs>
        <w:numPr>
          <w:ilvl w:val="0"/>
          <w:numId w:val="63"/>
        </w:numPr>
        <w:rPr>
          <w:rFonts w:ascii="Arial" w:cs="Arial" w:eastAsia="Arial" w:hAnsi="Arial"/>
          <w:sz w:val="18"/>
          <w:szCs w:val="18"/>
          <w:color w:val="auto"/>
        </w:rPr>
      </w:pPr>
      <w:r>
        <w:rPr>
          <w:rFonts w:ascii="Arial" w:cs="Arial" w:eastAsia="Arial" w:hAnsi="Arial"/>
          <w:sz w:val="18"/>
          <w:szCs w:val="18"/>
          <w:i w:val="1"/>
          <w:iCs w:val="1"/>
          <w:color w:val="auto"/>
        </w:rPr>
        <w:t xml:space="preserve">Life Insurance Programs. </w:t>
      </w:r>
      <w:r>
        <w:rPr>
          <w:rFonts w:ascii="Arial" w:cs="Arial" w:eastAsia="Arial" w:hAnsi="Arial"/>
          <w:sz w:val="18"/>
          <w:szCs w:val="18"/>
          <w:color w:val="auto"/>
        </w:rPr>
        <w:t>The definition of retirement under the Leadership Life Program is age 60 with 10 years of service. If this eligibility is</w:t>
      </w:r>
      <w:r>
        <w:rPr>
          <w:rFonts w:ascii="Arial" w:cs="Arial" w:eastAsia="Arial" w:hAnsi="Arial"/>
          <w:sz w:val="18"/>
          <w:szCs w:val="18"/>
          <w:i w:val="1"/>
          <w:iCs w:val="1"/>
          <w:color w:val="auto"/>
        </w:rPr>
        <w:t xml:space="preserve"> </w:t>
      </w:r>
      <w:r>
        <w:rPr>
          <w:rFonts w:ascii="Arial" w:cs="Arial" w:eastAsia="Arial" w:hAnsi="Arial"/>
          <w:sz w:val="18"/>
          <w:szCs w:val="18"/>
          <w:color w:val="auto"/>
        </w:rPr>
        <w:t>met, we will continue to pay Leadership Life Program premiums until the later of age 65 or until a total of 10 annual premium payments have been made. For participants under the Executive Life Program prior to January 1, 2007, we will continue to pay the premium if the executive retires at age 60 with 10 years of service. For participants who joined the Executive Life Program after January 1, 2007, coverage will cease at termination.</w:t>
      </w:r>
    </w:p>
    <w:p>
      <w:pPr>
        <w:spacing w:after="0" w:line="93" w:lineRule="exact"/>
        <w:rPr>
          <w:rFonts w:ascii="Arial" w:cs="Arial" w:eastAsia="Arial" w:hAnsi="Arial"/>
          <w:sz w:val="18"/>
          <w:szCs w:val="18"/>
          <w:color w:val="auto"/>
        </w:rPr>
      </w:pPr>
    </w:p>
    <w:p>
      <w:pPr>
        <w:ind w:left="900" w:right="120" w:hanging="325"/>
        <w:spacing w:after="0" w:line="264" w:lineRule="auto"/>
        <w:tabs>
          <w:tab w:leader="none" w:pos="900" w:val="left"/>
        </w:tabs>
        <w:numPr>
          <w:ilvl w:val="0"/>
          <w:numId w:val="63"/>
        </w:numPr>
        <w:rPr>
          <w:rFonts w:ascii="Arial" w:cs="Arial" w:eastAsia="Arial" w:hAnsi="Arial"/>
          <w:sz w:val="18"/>
          <w:szCs w:val="18"/>
          <w:color w:val="auto"/>
        </w:rPr>
      </w:pPr>
      <w:r>
        <w:rPr>
          <w:rFonts w:ascii="Arial" w:cs="Arial" w:eastAsia="Arial" w:hAnsi="Arial"/>
          <w:sz w:val="18"/>
          <w:szCs w:val="18"/>
          <w:i w:val="1"/>
          <w:iCs w:val="1"/>
          <w:color w:val="auto"/>
        </w:rPr>
        <w:t xml:space="preserve">Equity Awards. </w:t>
      </w:r>
      <w:r>
        <w:rPr>
          <w:rFonts w:ascii="Arial" w:cs="Arial" w:eastAsia="Arial" w:hAnsi="Arial"/>
          <w:sz w:val="18"/>
          <w:szCs w:val="18"/>
          <w:color w:val="auto"/>
        </w:rPr>
        <w:t>All unvested stock option, SAR and RSU awards that have been held for one year at the time of retirement would immediately</w:t>
      </w:r>
      <w:r>
        <w:rPr>
          <w:rFonts w:ascii="Arial" w:cs="Arial" w:eastAsia="Arial" w:hAnsi="Arial"/>
          <w:sz w:val="18"/>
          <w:szCs w:val="18"/>
          <w:i w:val="1"/>
          <w:iCs w:val="1"/>
          <w:color w:val="auto"/>
        </w:rPr>
        <w:t xml:space="preserve"> </w:t>
      </w:r>
      <w:r>
        <w:rPr>
          <w:rFonts w:ascii="Arial" w:cs="Arial" w:eastAsia="Arial" w:hAnsi="Arial"/>
          <w:sz w:val="18"/>
          <w:szCs w:val="18"/>
          <w:color w:val="auto"/>
        </w:rPr>
        <w:t>vest and become exercisable if the participant is at least age 60 with five years of service at retirement. PSUs would become vested on a pro rata basis, based on actual performance for the entire performance period.</w:t>
      </w:r>
    </w:p>
    <w:p>
      <w:pPr>
        <w:spacing w:after="0" w:line="28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Business Disposition</w:t>
      </w:r>
    </w:p>
    <w:p>
      <w:pPr>
        <w:spacing w:after="0" w:line="117"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Some of our equity awards contain provisions for modified vesting if an employee terminates as a result of employment by a successor employer to which we have transferred a business operation (“Business Disposition”). In the event of a Business Disposition and related termination of employment as of December 31, 2016, all unvested SARs noted in the Outstanding Equity Awards at 2016 Fiscal Year-End Table above that have been held for at least 12 months as of the date of termination would continue to vest in accordance with their original vesting schedule, and outstanding stock options and SARs would expire on the earlier of the original</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459" w:right="23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0"/>
        <w:spacing w:after="0" w:line="259" w:lineRule="auto"/>
        <w:rPr>
          <w:sz w:val="20"/>
          <w:szCs w:val="20"/>
          <w:color w:val="auto"/>
        </w:rPr>
      </w:pPr>
      <w:r>
        <w:rPr>
          <w:rFonts w:ascii="Arial" w:cs="Arial" w:eastAsia="Arial" w:hAnsi="Arial"/>
          <w:sz w:val="18"/>
          <w:szCs w:val="18"/>
          <w:color w:val="auto"/>
        </w:rPr>
        <w:t>expiration date or five years from the Business Disposition date. All outstanding RSU and PSU awards held by an employee transferred in a Business Disposition would be forfeited immediately upon such Business Disposition. For Ms. Groh and Mr. Bobitz, the cash-based retention incentive awards held, and for Ms. Groh the first 50% of the Cash-in-Lieu of Equity, would each vest and become payable should employment terminate as a result of a Business Disposition.</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of Directors</w:t>
      </w:r>
    </w:p>
    <w:p>
      <w:pPr>
        <w:spacing w:after="0" w:line="121"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The Nominating Committee has the responsibility for annually reviewing and recommending to the Board compensation and benefits for “non-management directors.” Non-management directors are those directors who are not executive officers of Genworth or its affiliates. Accordingly, all directors, other than Mr. McInerney, are regarded as non-management directors. Mr. McInerney does not receive any compensation for serving as a director. As part of its 2016 review, the Nominating Committee engaged Steven Hall &amp; Partners, LLC to provide competitive market data and advice regarding non-management director compensation. Based on its review, the Nominating Committee determined not to recommend any changes to the company’s non-management director compensation and benefits program.</w:t>
      </w:r>
    </w:p>
    <w:p>
      <w:pPr>
        <w:spacing w:after="0" w:line="19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company’s compensation and benefits for non-management directors are as follows:</w:t>
      </w:r>
    </w:p>
    <w:p>
      <w:pPr>
        <w:spacing w:after="0" w:line="131" w:lineRule="exact"/>
        <w:rPr>
          <w:sz w:val="20"/>
          <w:szCs w:val="20"/>
          <w:color w:val="auto"/>
        </w:rPr>
      </w:pPr>
    </w:p>
    <w:p>
      <w:pPr>
        <w:ind w:left="900" w:right="60" w:hanging="325"/>
        <w:spacing w:after="0" w:line="297" w:lineRule="auto"/>
        <w:tabs>
          <w:tab w:leader="none" w:pos="900" w:val="left"/>
        </w:tabs>
        <w:numPr>
          <w:ilvl w:val="0"/>
          <w:numId w:val="64"/>
        </w:numPr>
        <w:rPr>
          <w:rFonts w:ascii="Arial" w:cs="Arial" w:eastAsia="Arial" w:hAnsi="Arial"/>
          <w:sz w:val="16"/>
          <w:szCs w:val="16"/>
          <w:color w:val="auto"/>
        </w:rPr>
      </w:pPr>
      <w:r>
        <w:rPr>
          <w:rFonts w:ascii="Arial" w:cs="Arial" w:eastAsia="Arial" w:hAnsi="Arial"/>
          <w:sz w:val="16"/>
          <w:szCs w:val="16"/>
          <w:i w:val="1"/>
          <w:iCs w:val="1"/>
          <w:color w:val="auto"/>
        </w:rPr>
        <w:t xml:space="preserve">Annual Retainer. </w:t>
      </w:r>
      <w:r>
        <w:rPr>
          <w:rFonts w:ascii="Arial" w:cs="Arial" w:eastAsia="Arial" w:hAnsi="Arial"/>
          <w:sz w:val="16"/>
          <w:szCs w:val="16"/>
          <w:color w:val="auto"/>
        </w:rPr>
        <w:t>Each non-management director is paid an annual retainer, payable in quarterly installments following the end of each quarter of</w:t>
      </w:r>
      <w:r>
        <w:rPr>
          <w:rFonts w:ascii="Arial" w:cs="Arial" w:eastAsia="Arial" w:hAnsi="Arial"/>
          <w:sz w:val="16"/>
          <w:szCs w:val="16"/>
          <w:i w:val="1"/>
          <w:iCs w:val="1"/>
          <w:color w:val="auto"/>
        </w:rPr>
        <w:t xml:space="preserve"> </w:t>
      </w:r>
      <w:r>
        <w:rPr>
          <w:rFonts w:ascii="Arial" w:cs="Arial" w:eastAsia="Arial" w:hAnsi="Arial"/>
          <w:sz w:val="16"/>
          <w:szCs w:val="16"/>
          <w:color w:val="auto"/>
        </w:rPr>
        <w:t>service. The amount of the annual retainer is $230,000. Of this amount, 60% of the annual retainer is paid in deferred stock units (“DSUs”) and 40% is paid in cash. Instead of receiving a cash payment, non-management directors may elect to have 100% of their annual retainer paid in DSUs; however, no more than 30,000 DSUs may be granted to any non-management director with respect to the annual retainer in any one calendar year. To the extent this limit would be exceeded, the remainder of a director’s annual retainer will be paid in cash.</w:t>
      </w:r>
    </w:p>
    <w:p>
      <w:pPr>
        <w:spacing w:after="0" w:line="63" w:lineRule="exact"/>
        <w:rPr>
          <w:rFonts w:ascii="Arial" w:cs="Arial" w:eastAsia="Arial" w:hAnsi="Arial"/>
          <w:sz w:val="16"/>
          <w:szCs w:val="16"/>
          <w:color w:val="auto"/>
        </w:rPr>
      </w:pPr>
    </w:p>
    <w:p>
      <w:pPr>
        <w:ind w:left="900" w:right="20" w:hanging="325"/>
        <w:spacing w:after="0" w:line="273" w:lineRule="auto"/>
        <w:tabs>
          <w:tab w:leader="none" w:pos="900" w:val="left"/>
        </w:tabs>
        <w:numPr>
          <w:ilvl w:val="0"/>
          <w:numId w:val="64"/>
        </w:numPr>
        <w:rPr>
          <w:rFonts w:ascii="Arial" w:cs="Arial" w:eastAsia="Arial" w:hAnsi="Arial"/>
          <w:sz w:val="17"/>
          <w:szCs w:val="17"/>
          <w:color w:val="auto"/>
        </w:rPr>
      </w:pPr>
      <w:r>
        <w:rPr>
          <w:rFonts w:ascii="Arial" w:cs="Arial" w:eastAsia="Arial" w:hAnsi="Arial"/>
          <w:sz w:val="17"/>
          <w:szCs w:val="17"/>
          <w:i w:val="1"/>
          <w:iCs w:val="1"/>
          <w:color w:val="auto"/>
        </w:rPr>
        <w:t xml:space="preserve">Deferred Stock Units. </w:t>
      </w:r>
      <w:r>
        <w:rPr>
          <w:rFonts w:ascii="Arial" w:cs="Arial" w:eastAsia="Arial" w:hAnsi="Arial"/>
          <w:sz w:val="17"/>
          <w:szCs w:val="17"/>
          <w:color w:val="auto"/>
        </w:rPr>
        <w:t>Each DSU awarded to non-management directors represents the right to receive one share of our common stock in the</w:t>
      </w:r>
      <w:r>
        <w:rPr>
          <w:rFonts w:ascii="Arial" w:cs="Arial" w:eastAsia="Arial" w:hAnsi="Arial"/>
          <w:sz w:val="17"/>
          <w:szCs w:val="17"/>
          <w:i w:val="1"/>
          <w:iCs w:val="1"/>
          <w:color w:val="auto"/>
        </w:rPr>
        <w:t xml:space="preserve"> </w:t>
      </w:r>
      <w:r>
        <w:rPr>
          <w:rFonts w:ascii="Arial" w:cs="Arial" w:eastAsia="Arial" w:hAnsi="Arial"/>
          <w:sz w:val="17"/>
          <w:szCs w:val="17"/>
          <w:color w:val="auto"/>
        </w:rPr>
        <w:t>future. DSUs are granted at the end of each quarter of service and are credited to a notional account maintained by us in the recipient’s name. The number of DSUs granted is determined by dividing the DSU value to be delivered by the fair market value of our common stock on the date of grant. If the company pays dividends on its common stock, dividend equivalents accrue with respect to the DSUs, which are reinvested in additional DSUs. The DSUs will be paid out beginning one year after the director leaves the Board in a single payment or in payments over 10 years, at the election of the director, or, if earlier, upon the death of the director.</w:t>
      </w:r>
    </w:p>
    <w:p>
      <w:pPr>
        <w:spacing w:after="0" w:line="83" w:lineRule="exact"/>
        <w:rPr>
          <w:rFonts w:ascii="Arial" w:cs="Arial" w:eastAsia="Arial" w:hAnsi="Arial"/>
          <w:sz w:val="17"/>
          <w:szCs w:val="17"/>
          <w:color w:val="auto"/>
        </w:rPr>
      </w:pPr>
    </w:p>
    <w:p>
      <w:pPr>
        <w:ind w:left="900" w:hanging="325"/>
        <w:spacing w:after="0" w:line="255" w:lineRule="auto"/>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i w:val="1"/>
          <w:iCs w:val="1"/>
          <w:color w:val="auto"/>
        </w:rPr>
        <w:t xml:space="preserve">Retainer for Non-Executive Chairman of the Board. </w:t>
      </w:r>
      <w:r>
        <w:rPr>
          <w:rFonts w:ascii="Arial" w:cs="Arial" w:eastAsia="Arial" w:hAnsi="Arial"/>
          <w:sz w:val="18"/>
          <w:szCs w:val="18"/>
          <w:color w:val="auto"/>
        </w:rPr>
        <w:t>The Non-Executive Chairman of the Board receives a $200,000 annual retainer in addition to</w:t>
      </w:r>
      <w:r>
        <w:rPr>
          <w:rFonts w:ascii="Arial" w:cs="Arial" w:eastAsia="Arial" w:hAnsi="Arial"/>
          <w:sz w:val="18"/>
          <w:szCs w:val="18"/>
          <w:i w:val="1"/>
          <w:iCs w:val="1"/>
          <w:color w:val="auto"/>
        </w:rPr>
        <w:t xml:space="preserve"> </w:t>
      </w:r>
      <w:r>
        <w:rPr>
          <w:rFonts w:ascii="Arial" w:cs="Arial" w:eastAsia="Arial" w:hAnsi="Arial"/>
          <w:sz w:val="18"/>
          <w:szCs w:val="18"/>
          <w:color w:val="auto"/>
        </w:rPr>
        <w:t>the regular annual retainer. Such amount is paid in quarterly installments, following the end of each quarter of service. Of this amount, 60% is paid in DSUs and 40% is paid in cash. Instead of receiving a cash payment, the Non-Executive Chairman of the Board may elect to have 100% of the additional annual retainer paid in DSUs; however, no more than 25,000 DSUs may be granted to the Non-Executive Chairman of the Board with respect to the additional annual retainer in any one calendar year. To the extent this limit would be exceeded, the remainder of the additional annual retainer will be paid in cash.</w:t>
      </w:r>
    </w:p>
    <w:p>
      <w:pPr>
        <w:spacing w:after="0" w:line="98" w:lineRule="exact"/>
        <w:rPr>
          <w:rFonts w:ascii="Arial" w:cs="Arial" w:eastAsia="Arial" w:hAnsi="Arial"/>
          <w:sz w:val="18"/>
          <w:szCs w:val="18"/>
          <w:color w:val="auto"/>
        </w:rPr>
      </w:pPr>
    </w:p>
    <w:p>
      <w:pPr>
        <w:ind w:left="900" w:right="320" w:hanging="325"/>
        <w:spacing w:after="0" w:line="342" w:lineRule="auto"/>
        <w:tabs>
          <w:tab w:leader="none" w:pos="900" w:val="left"/>
        </w:tabs>
        <w:numPr>
          <w:ilvl w:val="0"/>
          <w:numId w:val="64"/>
        </w:numPr>
        <w:rPr>
          <w:rFonts w:ascii="Arial" w:cs="Arial" w:eastAsia="Arial" w:hAnsi="Arial"/>
          <w:sz w:val="16"/>
          <w:szCs w:val="16"/>
          <w:color w:val="auto"/>
        </w:rPr>
      </w:pPr>
      <w:r>
        <w:rPr>
          <w:rFonts w:ascii="Arial" w:cs="Arial" w:eastAsia="Arial" w:hAnsi="Arial"/>
          <w:sz w:val="16"/>
          <w:szCs w:val="16"/>
          <w:i w:val="1"/>
          <w:iCs w:val="1"/>
          <w:color w:val="auto"/>
        </w:rPr>
        <w:t xml:space="preserve">Fees for Lead Director. </w:t>
      </w:r>
      <w:r>
        <w:rPr>
          <w:rFonts w:ascii="Arial" w:cs="Arial" w:eastAsia="Arial" w:hAnsi="Arial"/>
          <w:sz w:val="16"/>
          <w:szCs w:val="16"/>
          <w:color w:val="auto"/>
        </w:rPr>
        <w:t>If a Lead Director is appointed in the absence of an independent Non-Executive Chairman of the Board, the Lead</w:t>
      </w:r>
      <w:r>
        <w:rPr>
          <w:rFonts w:ascii="Arial" w:cs="Arial" w:eastAsia="Arial" w:hAnsi="Arial"/>
          <w:sz w:val="16"/>
          <w:szCs w:val="16"/>
          <w:i w:val="1"/>
          <w:iCs w:val="1"/>
          <w:color w:val="auto"/>
        </w:rPr>
        <w:t xml:space="preserve"> </w:t>
      </w:r>
      <w:r>
        <w:rPr>
          <w:rFonts w:ascii="Arial" w:cs="Arial" w:eastAsia="Arial" w:hAnsi="Arial"/>
          <w:sz w:val="16"/>
          <w:szCs w:val="16"/>
          <w:color w:val="auto"/>
        </w:rPr>
        <w:t>Director would receive an annual cash retainer of $20,000 in quarterly installments, as additional compensation for services as Lead Director.</w:t>
      </w:r>
    </w:p>
    <w:p>
      <w:pPr>
        <w:spacing w:after="0" w:line="29" w:lineRule="exact"/>
        <w:rPr>
          <w:rFonts w:ascii="Arial" w:cs="Arial" w:eastAsia="Arial" w:hAnsi="Arial"/>
          <w:sz w:val="16"/>
          <w:szCs w:val="16"/>
          <w:color w:val="auto"/>
        </w:rPr>
      </w:pPr>
    </w:p>
    <w:p>
      <w:pPr>
        <w:ind w:left="900" w:right="260" w:hanging="325"/>
        <w:spacing w:after="0" w:line="259" w:lineRule="auto"/>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i w:val="1"/>
          <w:iCs w:val="1"/>
          <w:color w:val="auto"/>
        </w:rPr>
        <w:t xml:space="preserve">Fees for Committee Chairs. </w:t>
      </w:r>
      <w:r>
        <w:rPr>
          <w:rFonts w:ascii="Arial" w:cs="Arial" w:eastAsia="Arial" w:hAnsi="Arial"/>
          <w:sz w:val="18"/>
          <w:szCs w:val="18"/>
          <w:color w:val="auto"/>
        </w:rPr>
        <w:t>The chairpersons of each of our standing committees receive additional cash retainers, which are paid in quarterly</w:t>
      </w:r>
      <w:r>
        <w:rPr>
          <w:rFonts w:ascii="Arial" w:cs="Arial" w:eastAsia="Arial" w:hAnsi="Arial"/>
          <w:sz w:val="18"/>
          <w:szCs w:val="18"/>
          <w:i w:val="1"/>
          <w:iCs w:val="1"/>
          <w:color w:val="auto"/>
        </w:rPr>
        <w:t xml:space="preserve"> </w:t>
      </w:r>
      <w:r>
        <w:rPr>
          <w:rFonts w:ascii="Arial" w:cs="Arial" w:eastAsia="Arial" w:hAnsi="Arial"/>
          <w:sz w:val="18"/>
          <w:szCs w:val="18"/>
          <w:color w:val="auto"/>
        </w:rPr>
        <w:t>installments. The chairperson of the Audit Committee receives an annual cash retainer of $20,000, the chairperson of the Compensation Committee receives an annual cash retainer of $15,000, and the chairpersons of each of our other standing committees receive an annual cash retainer of $10,000.</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00"/>
          </w:cols>
          <w:pgMar w:left="240" w:top="459" w:right="25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60" w:hanging="325"/>
        <w:spacing w:after="0" w:line="286" w:lineRule="auto"/>
        <w:tabs>
          <w:tab w:leader="none" w:pos="900" w:val="left"/>
        </w:tabs>
        <w:numPr>
          <w:ilvl w:val="0"/>
          <w:numId w:val="65"/>
        </w:numPr>
        <w:rPr>
          <w:rFonts w:ascii="Arial" w:cs="Arial" w:eastAsia="Arial" w:hAnsi="Arial"/>
          <w:sz w:val="17"/>
          <w:szCs w:val="17"/>
          <w:color w:val="auto"/>
        </w:rPr>
      </w:pPr>
      <w:r>
        <w:rPr>
          <w:rFonts w:ascii="Arial" w:cs="Arial" w:eastAsia="Arial" w:hAnsi="Arial"/>
          <w:sz w:val="17"/>
          <w:szCs w:val="17"/>
          <w:i w:val="1"/>
          <w:iCs w:val="1"/>
          <w:color w:val="auto"/>
        </w:rPr>
        <w:t xml:space="preserve">Matching Gift Program. </w:t>
      </w:r>
      <w:r>
        <w:rPr>
          <w:rFonts w:ascii="Arial" w:cs="Arial" w:eastAsia="Arial" w:hAnsi="Arial"/>
          <w:sz w:val="17"/>
          <w:szCs w:val="17"/>
          <w:color w:val="auto"/>
        </w:rPr>
        <w:t>The company offers a matching gift program that provides for the matching of employee and director charitable</w:t>
      </w:r>
      <w:r>
        <w:rPr>
          <w:rFonts w:ascii="Arial" w:cs="Arial" w:eastAsia="Arial" w:hAnsi="Arial"/>
          <w:sz w:val="17"/>
          <w:szCs w:val="17"/>
          <w:i w:val="1"/>
          <w:iCs w:val="1"/>
          <w:color w:val="auto"/>
        </w:rPr>
        <w:t xml:space="preserve"> </w:t>
      </w:r>
      <w:r>
        <w:rPr>
          <w:rFonts w:ascii="Arial" w:cs="Arial" w:eastAsia="Arial" w:hAnsi="Arial"/>
          <w:sz w:val="17"/>
          <w:szCs w:val="17"/>
          <w:color w:val="auto"/>
        </w:rPr>
        <w:t>contributions pursuant to the contribution guidelines established by the Genworth Foundation. Each non-management director is eligible for such charitable contributions to be matched on a 50% basis, up to a maximum matching contribution of $10,000 during any calendar year.</w:t>
      </w:r>
    </w:p>
    <w:p>
      <w:pPr>
        <w:spacing w:after="0" w:line="70" w:lineRule="exact"/>
        <w:rPr>
          <w:rFonts w:ascii="Arial" w:cs="Arial" w:eastAsia="Arial" w:hAnsi="Arial"/>
          <w:sz w:val="17"/>
          <w:szCs w:val="17"/>
          <w:color w:val="auto"/>
        </w:rPr>
      </w:pPr>
    </w:p>
    <w:p>
      <w:pPr>
        <w:ind w:left="900" w:right="220" w:hanging="325"/>
        <w:spacing w:after="0" w:line="264" w:lineRule="auto"/>
        <w:tabs>
          <w:tab w:leader="none" w:pos="900" w:val="left"/>
        </w:tabs>
        <w:numPr>
          <w:ilvl w:val="0"/>
          <w:numId w:val="65"/>
        </w:numPr>
        <w:rPr>
          <w:rFonts w:ascii="Arial" w:cs="Arial" w:eastAsia="Arial" w:hAnsi="Arial"/>
          <w:sz w:val="18"/>
          <w:szCs w:val="18"/>
          <w:color w:val="auto"/>
        </w:rPr>
      </w:pPr>
      <w:r>
        <w:rPr>
          <w:rFonts w:ascii="Arial" w:cs="Arial" w:eastAsia="Arial" w:hAnsi="Arial"/>
          <w:sz w:val="18"/>
          <w:szCs w:val="18"/>
          <w:i w:val="1"/>
          <w:iCs w:val="1"/>
          <w:color w:val="auto"/>
        </w:rPr>
        <w:t xml:space="preserve">Reimbursement of Certain Expenses. </w:t>
      </w:r>
      <w:r>
        <w:rPr>
          <w:rFonts w:ascii="Arial" w:cs="Arial" w:eastAsia="Arial" w:hAnsi="Arial"/>
          <w:sz w:val="18"/>
          <w:szCs w:val="18"/>
          <w:color w:val="auto"/>
        </w:rPr>
        <w:t>Non-management directors are reimbursed for reasonable travel and other Board-related expenses,</w:t>
      </w:r>
      <w:r>
        <w:rPr>
          <w:rFonts w:ascii="Arial" w:cs="Arial" w:eastAsia="Arial" w:hAnsi="Arial"/>
          <w:sz w:val="18"/>
          <w:szCs w:val="18"/>
          <w:i w:val="1"/>
          <w:iCs w:val="1"/>
          <w:color w:val="auto"/>
        </w:rPr>
        <w:t xml:space="preserve"> </w:t>
      </w:r>
      <w:r>
        <w:rPr>
          <w:rFonts w:ascii="Arial" w:cs="Arial" w:eastAsia="Arial" w:hAnsi="Arial"/>
          <w:sz w:val="18"/>
          <w:szCs w:val="18"/>
          <w:color w:val="auto"/>
        </w:rPr>
        <w:t>including expenses to attend Board and committee meetings, other business-related events and director education seminars, in accordance with policies approved from time to time.</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information concerning compensation paid or accrued by us in 2016 to our non-management directors: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2016 Director Compensation Table</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0" w:type="dxa"/>
            <w:vAlign w:val="bottom"/>
          </w:tcPr>
          <w:p>
            <w:pPr>
              <w:spacing w:after="0"/>
              <w:rPr>
                <w:sz w:val="14"/>
                <w:szCs w:val="14"/>
                <w:color w:val="auto"/>
              </w:rPr>
            </w:pPr>
          </w:p>
        </w:tc>
        <w:tc>
          <w:tcPr>
            <w:tcW w:w="7260" w:type="dxa"/>
            <w:vAlign w:val="bottom"/>
          </w:tcPr>
          <w:p>
            <w:pPr>
              <w:spacing w:after="0"/>
              <w:rPr>
                <w:sz w:val="14"/>
                <w:szCs w:val="14"/>
                <w:color w:val="auto"/>
              </w:rPr>
            </w:pPr>
          </w:p>
        </w:tc>
        <w:tc>
          <w:tcPr>
            <w:tcW w:w="9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1"/>
              </w:rPr>
              <w:t>Fees</w:t>
            </w:r>
          </w:p>
        </w:tc>
        <w:tc>
          <w:tcPr>
            <w:tcW w:w="6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7260" w:type="dxa"/>
            <w:vAlign w:val="bottom"/>
          </w:tcPr>
          <w:p>
            <w:pPr>
              <w:spacing w:after="0"/>
              <w:rPr>
                <w:sz w:val="12"/>
                <w:szCs w:val="12"/>
                <w:color w:val="auto"/>
              </w:rPr>
            </w:pPr>
          </w:p>
        </w:tc>
        <w:tc>
          <w:tcPr>
            <w:tcW w:w="9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4"/>
              </w:rPr>
              <w:t>Earned or</w:t>
            </w:r>
          </w:p>
        </w:tc>
        <w:tc>
          <w:tcPr>
            <w:tcW w:w="9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89"/>
              </w:rPr>
              <w:t>Stock</w:t>
            </w: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8"/>
              </w:rPr>
              <w:t>All Other</w:t>
            </w:r>
          </w:p>
        </w:tc>
        <w:tc>
          <w:tcPr>
            <w:tcW w:w="6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7260" w:type="dxa"/>
            <w:vAlign w:val="bottom"/>
          </w:tcPr>
          <w:p>
            <w:pPr>
              <w:spacing w:after="0"/>
              <w:rPr>
                <w:sz w:val="12"/>
                <w:szCs w:val="12"/>
                <w:color w:val="auto"/>
              </w:rPr>
            </w:pPr>
          </w:p>
        </w:tc>
        <w:tc>
          <w:tcPr>
            <w:tcW w:w="9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Paid in</w:t>
            </w:r>
          </w:p>
        </w:tc>
        <w:tc>
          <w:tcPr>
            <w:tcW w:w="900" w:type="dxa"/>
            <w:vAlign w:val="bottom"/>
            <w:gridSpan w:val="2"/>
            <w:vMerge w:val="continue"/>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74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49"/>
        </w:trPr>
        <w:tc>
          <w:tcPr>
            <w:tcW w:w="380" w:type="dxa"/>
            <w:vAlign w:val="bottom"/>
            <w:vMerge w:val="restart"/>
          </w:tcPr>
          <w:p>
            <w:pPr>
              <w:spacing w:after="0"/>
              <w:rPr>
                <w:sz w:val="20"/>
                <w:szCs w:val="20"/>
                <w:color w:val="auto"/>
              </w:rPr>
            </w:pPr>
            <w:r>
              <w:rPr>
                <w:rFonts w:ascii="Arial" w:cs="Arial" w:eastAsia="Arial" w:hAnsi="Arial"/>
                <w:sz w:val="14"/>
                <w:szCs w:val="14"/>
                <w:b w:val="1"/>
                <w:bCs w:val="1"/>
                <w:color w:val="auto"/>
                <w:w w:val="94"/>
              </w:rPr>
              <w:t>Name</w:t>
            </w:r>
          </w:p>
        </w:tc>
        <w:tc>
          <w:tcPr>
            <w:tcW w:w="7260" w:type="dxa"/>
            <w:vAlign w:val="bottom"/>
            <w:vMerge w:val="restart"/>
          </w:tcPr>
          <w:p>
            <w:pPr>
              <w:spacing w:after="0"/>
              <w:rPr>
                <w:sz w:val="12"/>
                <w:szCs w:val="12"/>
                <w:color w:val="auto"/>
              </w:rPr>
            </w:pPr>
          </w:p>
        </w:tc>
        <w:tc>
          <w:tcPr>
            <w:tcW w:w="9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7"/>
              </w:rPr>
              <w:t>Cash</w:t>
            </w:r>
          </w:p>
        </w:tc>
        <w:tc>
          <w:tcPr>
            <w:tcW w:w="9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0"/>
              </w:rPr>
              <w:t>Awards</w:t>
            </w:r>
          </w:p>
        </w:tc>
        <w:tc>
          <w:tcPr>
            <w:tcW w:w="12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Compensation</w:t>
            </w:r>
          </w:p>
        </w:tc>
        <w:tc>
          <w:tcPr>
            <w:tcW w:w="74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380" w:type="dxa"/>
            <w:vAlign w:val="bottom"/>
            <w:tcBorders>
              <w:bottom w:val="single" w:sz="8" w:color="auto"/>
            </w:tcBorders>
            <w:vMerge w:val="continue"/>
          </w:tcPr>
          <w:p>
            <w:pPr>
              <w:spacing w:after="0"/>
              <w:rPr>
                <w:sz w:val="14"/>
                <w:szCs w:val="14"/>
                <w:color w:val="auto"/>
              </w:rPr>
            </w:pPr>
          </w:p>
        </w:tc>
        <w:tc>
          <w:tcPr>
            <w:tcW w:w="7260" w:type="dxa"/>
            <w:vAlign w:val="bottom"/>
            <w:tcBorders>
              <w:bottom w:val="single" w:sz="8" w:color="CCEEFF"/>
            </w:tcBorders>
            <w:vMerge w:val="continue"/>
          </w:tcPr>
          <w:p>
            <w:pPr>
              <w:spacing w:after="0"/>
              <w:rPr>
                <w:sz w:val="14"/>
                <w:szCs w:val="14"/>
                <w:color w:val="auto"/>
              </w:rPr>
            </w:pPr>
          </w:p>
        </w:tc>
        <w:tc>
          <w:tcPr>
            <w:tcW w:w="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 xml:space="preserve">($) </w:t>
            </w:r>
            <w:r>
              <w:rPr>
                <w:rFonts w:ascii="Arial" w:cs="Arial" w:eastAsia="Arial" w:hAnsi="Arial"/>
                <w:sz w:val="12"/>
                <w:szCs w:val="12"/>
                <w:b w:val="1"/>
                <w:bCs w:val="1"/>
                <w:color w:val="auto"/>
                <w:w w:val="95"/>
              </w:rPr>
              <w:t>(3)</w:t>
            </w:r>
          </w:p>
        </w:tc>
        <w:tc>
          <w:tcPr>
            <w:tcW w:w="280" w:type="dxa"/>
            <w:vAlign w:val="bottom"/>
            <w:tcBorders>
              <w:bottom w:val="single" w:sz="8" w:color="CCEEFF"/>
            </w:tcBorders>
          </w:tcPr>
          <w:p>
            <w:pPr>
              <w:spacing w:after="0"/>
              <w:rPr>
                <w:sz w:val="14"/>
                <w:szCs w:val="14"/>
                <w:color w:val="auto"/>
              </w:rPr>
            </w:pPr>
          </w:p>
        </w:tc>
        <w:tc>
          <w:tcPr>
            <w:tcW w:w="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 xml:space="preserve">($) </w:t>
            </w:r>
            <w:r>
              <w:rPr>
                <w:rFonts w:ascii="Arial" w:cs="Arial" w:eastAsia="Arial" w:hAnsi="Arial"/>
                <w:sz w:val="12"/>
                <w:szCs w:val="12"/>
                <w:b w:val="1"/>
                <w:bCs w:val="1"/>
                <w:color w:val="auto"/>
                <w:w w:val="95"/>
              </w:rPr>
              <w:t>(4)(5)</w:t>
            </w:r>
          </w:p>
        </w:tc>
        <w:tc>
          <w:tcPr>
            <w:tcW w:w="260" w:type="dxa"/>
            <w:vAlign w:val="bottom"/>
            <w:tcBorders>
              <w:bottom w:val="single" w:sz="8" w:color="CCEEFF"/>
            </w:tcBorders>
          </w:tcPr>
          <w:p>
            <w:pPr>
              <w:spacing w:after="0"/>
              <w:rPr>
                <w:sz w:val="14"/>
                <w:szCs w:val="14"/>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 xml:space="preserve">($) </w:t>
            </w:r>
            <w:r>
              <w:rPr>
                <w:rFonts w:ascii="Arial" w:cs="Arial" w:eastAsia="Arial" w:hAnsi="Arial"/>
                <w:sz w:val="12"/>
                <w:szCs w:val="12"/>
                <w:b w:val="1"/>
                <w:bCs w:val="1"/>
                <w:color w:val="auto"/>
                <w:w w:val="95"/>
              </w:rPr>
              <w:t>(6)</w:t>
            </w:r>
          </w:p>
        </w:tc>
        <w:tc>
          <w:tcPr>
            <w:tcW w:w="280" w:type="dxa"/>
            <w:vAlign w:val="bottom"/>
            <w:tcBorders>
              <w:bottom w:val="single" w:sz="8" w:color="CCEEFF"/>
            </w:tcBorders>
          </w:tcPr>
          <w:p>
            <w:pPr>
              <w:spacing w:after="0"/>
              <w:rPr>
                <w:sz w:val="14"/>
                <w:szCs w:val="14"/>
                <w:color w:val="auto"/>
              </w:rPr>
            </w:pPr>
          </w:p>
        </w:tc>
        <w:tc>
          <w:tcPr>
            <w:tcW w:w="680" w:type="dxa"/>
            <w:vAlign w:val="bottom"/>
            <w:tcBorders>
              <w:bottom w:val="single" w:sz="8" w:color="auto"/>
            </w:tcBorders>
          </w:tcPr>
          <w:p>
            <w:pPr>
              <w:jc w:val="right"/>
              <w:ind w:right="173"/>
              <w:spacing w:after="0"/>
              <w:rPr>
                <w:sz w:val="20"/>
                <w:szCs w:val="20"/>
                <w:color w:val="auto"/>
              </w:rPr>
            </w:pPr>
            <w:r>
              <w:rPr>
                <w:rFonts w:ascii="Arial" w:cs="Arial" w:eastAsia="Arial" w:hAnsi="Arial"/>
                <w:sz w:val="14"/>
                <w:szCs w:val="14"/>
                <w:b w:val="1"/>
                <w:bCs w:val="1"/>
                <w:color w:val="auto"/>
              </w:rPr>
              <w:t>($)</w:t>
            </w:r>
          </w:p>
        </w:tc>
        <w:tc>
          <w:tcPr>
            <w:tcW w:w="6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William H. Bolinder</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136,902</w:t>
            </w:r>
          </w:p>
        </w:tc>
        <w:tc>
          <w:tcPr>
            <w:tcW w:w="28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65,335</w:t>
            </w: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10,000</w:t>
            </w: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212,237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gridSpan w:val="2"/>
          </w:tcPr>
          <w:p>
            <w:pPr>
              <w:spacing w:after="0"/>
              <w:rPr>
                <w:sz w:val="20"/>
                <w:szCs w:val="20"/>
                <w:color w:val="auto"/>
              </w:rPr>
            </w:pPr>
            <w:r>
              <w:rPr>
                <w:rFonts w:ascii="Arial" w:cs="Arial" w:eastAsia="Arial" w:hAnsi="Arial"/>
                <w:sz w:val="18"/>
                <w:szCs w:val="18"/>
                <w:color w:val="auto"/>
              </w:rPr>
              <w:t>G. Kent Conrad</w:t>
            </w:r>
          </w:p>
        </w:tc>
        <w:tc>
          <w:tcPr>
            <w:tcW w:w="940" w:type="dxa"/>
            <w:vAlign w:val="bottom"/>
            <w:gridSpan w:val="2"/>
          </w:tcPr>
          <w:p>
            <w:pPr>
              <w:jc w:val="right"/>
              <w:ind w:right="280"/>
              <w:spacing w:after="0"/>
              <w:rPr>
                <w:sz w:val="20"/>
                <w:szCs w:val="20"/>
                <w:color w:val="auto"/>
              </w:rPr>
            </w:pPr>
            <w:r>
              <w:rPr>
                <w:rFonts w:ascii="Arial" w:cs="Arial" w:eastAsia="Arial" w:hAnsi="Arial"/>
                <w:sz w:val="18"/>
                <w:szCs w:val="18"/>
                <w:color w:val="auto"/>
                <w:w w:val="98"/>
              </w:rPr>
              <w:t>126,902</w:t>
            </w: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65,335</w:t>
            </w:r>
          </w:p>
        </w:tc>
        <w:tc>
          <w:tcPr>
            <w:tcW w:w="1200" w:type="dxa"/>
            <w:vAlign w:val="bottom"/>
            <w:gridSpan w:val="2"/>
          </w:tcPr>
          <w:p>
            <w:pPr>
              <w:jc w:val="right"/>
              <w:ind w:right="280"/>
              <w:spacing w:after="0"/>
              <w:rPr>
                <w:sz w:val="20"/>
                <w:szCs w:val="20"/>
                <w:color w:val="auto"/>
              </w:rPr>
            </w:pPr>
            <w:r>
              <w:rPr>
                <w:rFonts w:ascii="Arial" w:cs="Arial" w:eastAsia="Arial" w:hAnsi="Arial"/>
                <w:sz w:val="18"/>
                <w:szCs w:val="18"/>
                <w:color w:val="auto"/>
              </w:rPr>
              <w:t>3,250</w:t>
            </w:r>
          </w:p>
        </w:tc>
        <w:tc>
          <w:tcPr>
            <w:tcW w:w="680" w:type="dxa"/>
            <w:vAlign w:val="bottom"/>
          </w:tcPr>
          <w:p>
            <w:pPr>
              <w:jc w:val="right"/>
              <w:spacing w:after="0"/>
              <w:rPr>
                <w:sz w:val="20"/>
                <w:szCs w:val="20"/>
                <w:color w:val="auto"/>
              </w:rPr>
            </w:pPr>
            <w:r>
              <w:rPr>
                <w:rFonts w:ascii="Arial" w:cs="Arial" w:eastAsia="Arial" w:hAnsi="Arial"/>
                <w:sz w:val="18"/>
                <w:szCs w:val="18"/>
                <w:color w:val="auto"/>
              </w:rPr>
              <w:t>195,487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Melina E. Higgins</w:t>
            </w:r>
          </w:p>
        </w:tc>
        <w:tc>
          <w:tcPr>
            <w:tcW w:w="9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98"/>
              </w:rPr>
              <w:t>126,902</w:t>
            </w: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65,335</w:t>
            </w: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9,999</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202,236</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gridSpan w:val="2"/>
          </w:tcPr>
          <w:p>
            <w:pPr>
              <w:spacing w:after="0"/>
              <w:rPr>
                <w:sz w:val="20"/>
                <w:szCs w:val="20"/>
                <w:color w:val="auto"/>
              </w:rPr>
            </w:pPr>
            <w:r>
              <w:rPr>
                <w:rFonts w:ascii="Arial" w:cs="Arial" w:eastAsia="Arial" w:hAnsi="Arial"/>
                <w:sz w:val="18"/>
                <w:szCs w:val="18"/>
                <w:color w:val="auto"/>
              </w:rPr>
              <w:t>David M. Moffett</w:t>
            </w:r>
          </w:p>
        </w:tc>
        <w:tc>
          <w:tcPr>
            <w:tcW w:w="940" w:type="dxa"/>
            <w:vAlign w:val="bottom"/>
            <w:gridSpan w:val="2"/>
          </w:tcPr>
          <w:p>
            <w:pPr>
              <w:jc w:val="right"/>
              <w:ind w:right="280"/>
              <w:spacing w:after="0"/>
              <w:rPr>
                <w:sz w:val="20"/>
                <w:szCs w:val="20"/>
                <w:color w:val="auto"/>
              </w:rPr>
            </w:pPr>
            <w:r>
              <w:rPr>
                <w:rFonts w:ascii="Arial" w:cs="Arial" w:eastAsia="Arial" w:hAnsi="Arial"/>
                <w:sz w:val="18"/>
                <w:szCs w:val="18"/>
                <w:color w:val="auto"/>
                <w:w w:val="98"/>
              </w:rPr>
              <w:t>128,777</w:t>
            </w: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65,335</w:t>
            </w:r>
          </w:p>
        </w:tc>
        <w:tc>
          <w:tcPr>
            <w:tcW w:w="120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60"/>
              <w:spacing w:after="0"/>
              <w:rPr>
                <w:sz w:val="20"/>
                <w:szCs w:val="20"/>
                <w:color w:val="auto"/>
              </w:rPr>
            </w:pPr>
            <w:r>
              <w:rPr>
                <w:rFonts w:ascii="Arial" w:cs="Arial" w:eastAsia="Arial" w:hAnsi="Arial"/>
                <w:sz w:val="18"/>
                <w:szCs w:val="18"/>
                <w:color w:val="auto"/>
              </w:rPr>
              <w:t>194,112</w:t>
            </w:r>
          </w:p>
        </w:tc>
        <w:tc>
          <w:tcPr>
            <w:tcW w:w="0" w:type="dxa"/>
            <w:vAlign w:val="bottom"/>
          </w:tcPr>
          <w:p>
            <w:pPr>
              <w:spacing w:after="0"/>
              <w:rPr>
                <w:sz w:val="1"/>
                <w:szCs w:val="1"/>
                <w:color w:val="auto"/>
              </w:rPr>
            </w:pPr>
          </w:p>
        </w:tc>
      </w:tr>
      <w:tr>
        <w:trPr>
          <w:trHeight w:val="216"/>
        </w:trPr>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Thomas E. Moloney</w:t>
            </w:r>
          </w:p>
        </w:tc>
        <w:tc>
          <w:tcPr>
            <w:tcW w:w="9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98"/>
              </w:rPr>
              <w:t>136,902</w:t>
            </w: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65,335</w:t>
            </w: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7,500</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209,737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gridSpan w:val="2"/>
          </w:tcPr>
          <w:p>
            <w:pPr>
              <w:spacing w:after="0"/>
              <w:rPr>
                <w:sz w:val="20"/>
                <w:szCs w:val="20"/>
                <w:color w:val="auto"/>
              </w:rPr>
            </w:pPr>
            <w:r>
              <w:rPr>
                <w:rFonts w:ascii="Arial" w:cs="Arial" w:eastAsia="Arial" w:hAnsi="Arial"/>
                <w:sz w:val="18"/>
                <w:szCs w:val="18"/>
                <w:color w:val="auto"/>
              </w:rPr>
              <w:t>James A. Parke</w:t>
            </w:r>
          </w:p>
        </w:tc>
        <w:tc>
          <w:tcPr>
            <w:tcW w:w="940" w:type="dxa"/>
            <w:vAlign w:val="bottom"/>
            <w:gridSpan w:val="2"/>
          </w:tcPr>
          <w:p>
            <w:pPr>
              <w:jc w:val="right"/>
              <w:ind w:right="280"/>
              <w:spacing w:after="0"/>
              <w:rPr>
                <w:sz w:val="20"/>
                <w:szCs w:val="20"/>
                <w:color w:val="auto"/>
              </w:rPr>
            </w:pPr>
            <w:r>
              <w:rPr>
                <w:rFonts w:ascii="Arial" w:cs="Arial" w:eastAsia="Arial" w:hAnsi="Arial"/>
                <w:sz w:val="18"/>
                <w:szCs w:val="18"/>
                <w:color w:val="auto"/>
                <w:w w:val="98"/>
              </w:rPr>
              <w:t>161,555</w:t>
            </w: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61,878</w:t>
            </w:r>
          </w:p>
        </w:tc>
        <w:tc>
          <w:tcPr>
            <w:tcW w:w="1200" w:type="dxa"/>
            <w:vAlign w:val="bottom"/>
            <w:gridSpan w:val="2"/>
          </w:tcPr>
          <w:p>
            <w:pPr>
              <w:jc w:val="right"/>
              <w:ind w:right="280"/>
              <w:spacing w:after="0"/>
              <w:rPr>
                <w:sz w:val="20"/>
                <w:szCs w:val="20"/>
                <w:color w:val="auto"/>
              </w:rPr>
            </w:pPr>
            <w:r>
              <w:rPr>
                <w:rFonts w:ascii="Arial" w:cs="Arial" w:eastAsia="Arial" w:hAnsi="Arial"/>
                <w:sz w:val="18"/>
                <w:szCs w:val="18"/>
                <w:color w:val="auto"/>
              </w:rPr>
              <w:t>10,000</w:t>
            </w:r>
          </w:p>
        </w:tc>
        <w:tc>
          <w:tcPr>
            <w:tcW w:w="680" w:type="dxa"/>
            <w:vAlign w:val="bottom"/>
          </w:tcPr>
          <w:p>
            <w:pPr>
              <w:jc w:val="right"/>
              <w:spacing w:after="0"/>
              <w:rPr>
                <w:sz w:val="20"/>
                <w:szCs w:val="20"/>
                <w:color w:val="auto"/>
              </w:rPr>
            </w:pPr>
            <w:r>
              <w:rPr>
                <w:rFonts w:ascii="Arial" w:cs="Arial" w:eastAsia="Arial" w:hAnsi="Arial"/>
                <w:sz w:val="18"/>
                <w:szCs w:val="18"/>
                <w:color w:val="auto"/>
              </w:rPr>
              <w:t>233,433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xml:space="preserve">Debra J. Perry </w:t>
            </w:r>
            <w:r>
              <w:rPr>
                <w:rFonts w:ascii="Arial" w:cs="Arial" w:eastAsia="Arial" w:hAnsi="Arial"/>
                <w:sz w:val="15"/>
                <w:szCs w:val="15"/>
                <w:color w:val="auto"/>
              </w:rPr>
              <w:t>(1)</w:t>
            </w:r>
          </w:p>
        </w:tc>
        <w:tc>
          <w:tcPr>
            <w:tcW w:w="9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3,833</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3,650</w:t>
            </w:r>
          </w:p>
        </w:tc>
        <w:tc>
          <w:tcPr>
            <w:tcW w:w="26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7,483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gridSpan w:val="2"/>
          </w:tcPr>
          <w:p>
            <w:pPr>
              <w:spacing w:after="0"/>
              <w:rPr>
                <w:sz w:val="20"/>
                <w:szCs w:val="20"/>
                <w:color w:val="auto"/>
              </w:rPr>
            </w:pPr>
            <w:r>
              <w:rPr>
                <w:rFonts w:ascii="Arial" w:cs="Arial" w:eastAsia="Arial" w:hAnsi="Arial"/>
                <w:sz w:val="18"/>
                <w:szCs w:val="18"/>
                <w:color w:val="auto"/>
              </w:rPr>
              <w:t xml:space="preserve">Robert P. Restrepo Jr. </w:t>
            </w:r>
            <w:r>
              <w:rPr>
                <w:rFonts w:ascii="Arial" w:cs="Arial" w:eastAsia="Arial" w:hAnsi="Arial"/>
                <w:sz w:val="15"/>
                <w:szCs w:val="15"/>
                <w:color w:val="auto"/>
              </w:rPr>
              <w:t>(1)</w:t>
            </w:r>
          </w:p>
        </w:tc>
        <w:tc>
          <w:tcPr>
            <w:tcW w:w="940" w:type="dxa"/>
            <w:vAlign w:val="bottom"/>
            <w:gridSpan w:val="2"/>
          </w:tcPr>
          <w:p>
            <w:pPr>
              <w:jc w:val="right"/>
              <w:ind w:right="280"/>
              <w:spacing w:after="0"/>
              <w:rPr>
                <w:sz w:val="20"/>
                <w:szCs w:val="20"/>
                <w:color w:val="auto"/>
              </w:rPr>
            </w:pPr>
            <w:r>
              <w:rPr>
                <w:rFonts w:ascii="Arial" w:cs="Arial" w:eastAsia="Arial" w:hAnsi="Arial"/>
                <w:sz w:val="18"/>
                <w:szCs w:val="18"/>
                <w:color w:val="auto"/>
              </w:rPr>
              <w:t>3,833</w:t>
            </w:r>
          </w:p>
        </w:tc>
        <w:tc>
          <w:tcPr>
            <w:tcW w:w="640" w:type="dxa"/>
            <w:vAlign w:val="bottom"/>
          </w:tcPr>
          <w:p>
            <w:pPr>
              <w:jc w:val="right"/>
              <w:spacing w:after="0"/>
              <w:rPr>
                <w:sz w:val="20"/>
                <w:szCs w:val="20"/>
                <w:color w:val="auto"/>
              </w:rPr>
            </w:pPr>
            <w:r>
              <w:rPr>
                <w:rFonts w:ascii="Arial" w:cs="Arial" w:eastAsia="Arial" w:hAnsi="Arial"/>
                <w:sz w:val="18"/>
                <w:szCs w:val="18"/>
                <w:color w:val="auto"/>
              </w:rPr>
              <w:t>3,650</w:t>
            </w:r>
          </w:p>
        </w:tc>
        <w:tc>
          <w:tcPr>
            <w:tcW w:w="260" w:type="dxa"/>
            <w:vAlign w:val="bottom"/>
          </w:tcPr>
          <w:p>
            <w:pPr>
              <w:spacing w:after="0"/>
              <w:rPr>
                <w:sz w:val="18"/>
                <w:szCs w:val="18"/>
                <w:color w:val="auto"/>
              </w:rPr>
            </w:pPr>
          </w:p>
        </w:tc>
        <w:tc>
          <w:tcPr>
            <w:tcW w:w="120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7,483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James S. Riepe</w:t>
            </w:r>
          </w:p>
        </w:tc>
        <w:tc>
          <w:tcPr>
            <w:tcW w:w="9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98"/>
              </w:rPr>
              <w:t>242,557</w:t>
            </w: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5"/>
              </w:rPr>
              <w:t>118,474</w:t>
            </w: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10,000</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371,031</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gridSpan w:val="2"/>
          </w:tcPr>
          <w:p>
            <w:pPr>
              <w:spacing w:after="0"/>
              <w:rPr>
                <w:sz w:val="20"/>
                <w:szCs w:val="20"/>
                <w:color w:val="auto"/>
              </w:rPr>
            </w:pPr>
            <w:r>
              <w:rPr>
                <w:rFonts w:ascii="Arial" w:cs="Arial" w:eastAsia="Arial" w:hAnsi="Arial"/>
                <w:sz w:val="18"/>
                <w:szCs w:val="18"/>
                <w:color w:val="auto"/>
              </w:rPr>
              <w:t xml:space="preserve">Christine B. Mead </w:t>
            </w:r>
            <w:r>
              <w:rPr>
                <w:rFonts w:ascii="Arial" w:cs="Arial" w:eastAsia="Arial" w:hAnsi="Arial"/>
                <w:sz w:val="15"/>
                <w:szCs w:val="15"/>
                <w:color w:val="auto"/>
              </w:rPr>
              <w:t>(2)</w:t>
            </w:r>
          </w:p>
        </w:tc>
        <w:tc>
          <w:tcPr>
            <w:tcW w:w="940" w:type="dxa"/>
            <w:vAlign w:val="bottom"/>
            <w:gridSpan w:val="2"/>
          </w:tcPr>
          <w:p>
            <w:pPr>
              <w:jc w:val="right"/>
              <w:ind w:right="280"/>
              <w:spacing w:after="0"/>
              <w:rPr>
                <w:sz w:val="20"/>
                <w:szCs w:val="20"/>
                <w:color w:val="auto"/>
              </w:rPr>
            </w:pPr>
            <w:r>
              <w:rPr>
                <w:rFonts w:ascii="Arial" w:cs="Arial" w:eastAsia="Arial" w:hAnsi="Arial"/>
                <w:sz w:val="18"/>
                <w:szCs w:val="18"/>
                <w:color w:val="auto"/>
              </w:rPr>
              <w:t>34,500</w:t>
            </w: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32,167</w:t>
            </w:r>
          </w:p>
        </w:tc>
        <w:tc>
          <w:tcPr>
            <w:tcW w:w="1200" w:type="dxa"/>
            <w:vAlign w:val="bottom"/>
            <w:gridSpan w:val="2"/>
          </w:tcPr>
          <w:p>
            <w:pPr>
              <w:jc w:val="right"/>
              <w:ind w:right="280"/>
              <w:spacing w:after="0"/>
              <w:rPr>
                <w:sz w:val="20"/>
                <w:szCs w:val="20"/>
                <w:color w:val="auto"/>
              </w:rPr>
            </w:pPr>
            <w:r>
              <w:rPr>
                <w:rFonts w:ascii="Arial" w:cs="Arial" w:eastAsia="Arial" w:hAnsi="Arial"/>
                <w:sz w:val="18"/>
                <w:szCs w:val="18"/>
                <w:color w:val="auto"/>
              </w:rPr>
              <w:t>10,000</w:t>
            </w:r>
          </w:p>
        </w:tc>
        <w:tc>
          <w:tcPr>
            <w:tcW w:w="740" w:type="dxa"/>
            <w:vAlign w:val="bottom"/>
            <w:gridSpan w:val="2"/>
          </w:tcPr>
          <w:p>
            <w:pPr>
              <w:jc w:val="right"/>
              <w:ind w:right="60"/>
              <w:spacing w:after="0"/>
              <w:rPr>
                <w:sz w:val="20"/>
                <w:szCs w:val="20"/>
                <w:color w:val="auto"/>
              </w:rPr>
            </w:pPr>
            <w:r>
              <w:rPr>
                <w:rFonts w:ascii="Arial" w:cs="Arial" w:eastAsia="Arial" w:hAnsi="Arial"/>
                <w:sz w:val="18"/>
                <w:szCs w:val="18"/>
                <w:color w:val="auto"/>
              </w:rPr>
              <w:t>76,667</w:t>
            </w:r>
          </w:p>
        </w:tc>
        <w:tc>
          <w:tcPr>
            <w:tcW w:w="0" w:type="dxa"/>
            <w:vAlign w:val="bottom"/>
          </w:tcPr>
          <w:p>
            <w:pPr>
              <w:spacing w:after="0"/>
              <w:rPr>
                <w:sz w:val="1"/>
                <w:szCs w:val="1"/>
                <w:color w:val="auto"/>
              </w:rPr>
            </w:pPr>
          </w:p>
        </w:tc>
      </w:tr>
      <w:tr>
        <w:trPr>
          <w:trHeight w:val="216"/>
        </w:trPr>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xml:space="preserve">Nancy J. Karch </w:t>
            </w:r>
            <w:r>
              <w:rPr>
                <w:rFonts w:ascii="Arial" w:cs="Arial" w:eastAsia="Arial" w:hAnsi="Arial"/>
                <w:sz w:val="15"/>
                <w:szCs w:val="15"/>
                <w:color w:val="auto"/>
              </w:rPr>
              <w:t>(2)</w:t>
            </w:r>
          </w:p>
        </w:tc>
        <w:tc>
          <w:tcPr>
            <w:tcW w:w="9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40,125</w:t>
            </w: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32,167</w:t>
            </w:r>
          </w:p>
        </w:tc>
        <w:tc>
          <w:tcPr>
            <w:tcW w:w="12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72,292</w:t>
            </w:r>
          </w:p>
        </w:tc>
        <w:tc>
          <w:tcPr>
            <w:tcW w:w="0" w:type="dxa"/>
            <w:vAlign w:val="bottom"/>
          </w:tcPr>
          <w:p>
            <w:pPr>
              <w:spacing w:after="0"/>
              <w:rPr>
                <w:sz w:val="1"/>
                <w:szCs w:val="1"/>
                <w:color w:val="auto"/>
              </w:rPr>
            </w:pPr>
          </w:p>
        </w:tc>
      </w:tr>
      <w:tr>
        <w:trPr>
          <w:trHeight w:val="230"/>
        </w:trPr>
        <w:tc>
          <w:tcPr>
            <w:tcW w:w="7640" w:type="dxa"/>
            <w:vAlign w:val="bottom"/>
            <w:gridSpan w:val="2"/>
          </w:tcPr>
          <w:p>
            <w:pPr>
              <w:spacing w:after="0"/>
              <w:rPr>
                <w:sz w:val="20"/>
                <w:szCs w:val="20"/>
                <w:color w:val="auto"/>
              </w:rPr>
            </w:pPr>
            <w:r>
              <w:rPr>
                <w:rFonts w:ascii="Arial" w:cs="Arial" w:eastAsia="Arial" w:hAnsi="Arial"/>
                <w:sz w:val="18"/>
                <w:szCs w:val="18"/>
                <w:color w:val="auto"/>
              </w:rPr>
              <w:t xml:space="preserve">John R. Nichols </w:t>
            </w:r>
            <w:r>
              <w:rPr>
                <w:rFonts w:ascii="Arial" w:cs="Arial" w:eastAsia="Arial" w:hAnsi="Arial"/>
                <w:sz w:val="15"/>
                <w:szCs w:val="15"/>
                <w:color w:val="auto"/>
              </w:rPr>
              <w:t>(2)</w:t>
            </w:r>
          </w:p>
        </w:tc>
        <w:tc>
          <w:tcPr>
            <w:tcW w:w="940" w:type="dxa"/>
            <w:vAlign w:val="bottom"/>
            <w:gridSpan w:val="2"/>
          </w:tcPr>
          <w:p>
            <w:pPr>
              <w:jc w:val="right"/>
              <w:ind w:right="280"/>
              <w:spacing w:after="0"/>
              <w:rPr>
                <w:sz w:val="20"/>
                <w:szCs w:val="20"/>
                <w:color w:val="auto"/>
              </w:rPr>
            </w:pPr>
            <w:r>
              <w:rPr>
                <w:rFonts w:ascii="Arial" w:cs="Arial" w:eastAsia="Arial" w:hAnsi="Arial"/>
                <w:sz w:val="18"/>
                <w:szCs w:val="18"/>
                <w:color w:val="auto"/>
              </w:rPr>
              <w:t>42,167</w:t>
            </w: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29,465</w:t>
            </w:r>
          </w:p>
        </w:tc>
        <w:tc>
          <w:tcPr>
            <w:tcW w:w="1200" w:type="dxa"/>
            <w:vAlign w:val="bottom"/>
            <w:gridSpan w:val="2"/>
          </w:tcPr>
          <w:p>
            <w:pPr>
              <w:jc w:val="right"/>
              <w:ind w:right="280"/>
              <w:spacing w:after="0"/>
              <w:rPr>
                <w:sz w:val="20"/>
                <w:szCs w:val="20"/>
                <w:color w:val="auto"/>
              </w:rPr>
            </w:pPr>
            <w:r>
              <w:rPr>
                <w:rFonts w:ascii="Arial" w:cs="Arial" w:eastAsia="Arial" w:hAnsi="Arial"/>
                <w:sz w:val="18"/>
                <w:szCs w:val="18"/>
                <w:color w:val="auto"/>
              </w:rPr>
              <w:t>10,000</w:t>
            </w:r>
          </w:p>
        </w:tc>
        <w:tc>
          <w:tcPr>
            <w:tcW w:w="740" w:type="dxa"/>
            <w:vAlign w:val="bottom"/>
            <w:gridSpan w:val="2"/>
          </w:tcPr>
          <w:p>
            <w:pPr>
              <w:jc w:val="right"/>
              <w:ind w:right="60"/>
              <w:spacing w:after="0"/>
              <w:rPr>
                <w:sz w:val="20"/>
                <w:szCs w:val="20"/>
                <w:color w:val="auto"/>
              </w:rPr>
            </w:pPr>
            <w:r>
              <w:rPr>
                <w:rFonts w:ascii="Arial" w:cs="Arial" w:eastAsia="Arial" w:hAnsi="Arial"/>
                <w:sz w:val="18"/>
                <w:szCs w:val="18"/>
                <w:color w:val="auto"/>
              </w:rPr>
              <w:t>81,632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76835</wp:posOffset>
            </wp:positionV>
            <wp:extent cx="728980"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40" w:lineRule="exact"/>
        <w:rPr>
          <w:sz w:val="20"/>
          <w:szCs w:val="20"/>
          <w:color w:val="auto"/>
        </w:rPr>
      </w:pPr>
    </w:p>
    <w:p>
      <w:pPr>
        <w:ind w:left="460" w:right="240" w:hanging="452"/>
        <w:spacing w:after="0" w:line="258" w:lineRule="auto"/>
        <w:tabs>
          <w:tab w:leader="none" w:pos="460" w:val="left"/>
        </w:tabs>
        <w:numPr>
          <w:ilvl w:val="0"/>
          <w:numId w:val="66"/>
        </w:numPr>
        <w:rPr>
          <w:rFonts w:ascii="Arial" w:cs="Arial" w:eastAsia="Arial" w:hAnsi="Arial"/>
          <w:sz w:val="15"/>
          <w:szCs w:val="15"/>
          <w:color w:val="auto"/>
        </w:rPr>
      </w:pPr>
      <w:r>
        <w:rPr>
          <w:rFonts w:ascii="Arial" w:cs="Arial" w:eastAsia="Arial" w:hAnsi="Arial"/>
          <w:sz w:val="18"/>
          <w:szCs w:val="18"/>
          <w:color w:val="auto"/>
        </w:rPr>
        <w:t>Effective December 14, 2016, upon the recommendation of the Nominating and Corporate Governance committee, Ms. Perry and Mr. Restrepo were elected to the Board of Directors.</w:t>
      </w:r>
    </w:p>
    <w:p>
      <w:pPr>
        <w:spacing w:after="0" w:line="1" w:lineRule="exact"/>
        <w:rPr>
          <w:rFonts w:ascii="Arial" w:cs="Arial" w:eastAsia="Arial" w:hAnsi="Arial"/>
          <w:sz w:val="15"/>
          <w:szCs w:val="15"/>
          <w:color w:val="auto"/>
        </w:rPr>
      </w:pPr>
    </w:p>
    <w:p>
      <w:pPr>
        <w:jc w:val="both"/>
        <w:ind w:left="460" w:right="100" w:hanging="452"/>
        <w:spacing w:after="0" w:line="250" w:lineRule="auto"/>
        <w:tabs>
          <w:tab w:leader="none" w:pos="460" w:val="left"/>
        </w:tabs>
        <w:numPr>
          <w:ilvl w:val="0"/>
          <w:numId w:val="66"/>
        </w:numPr>
        <w:rPr>
          <w:rFonts w:ascii="Arial" w:cs="Arial" w:eastAsia="Arial" w:hAnsi="Arial"/>
          <w:sz w:val="15"/>
          <w:szCs w:val="15"/>
          <w:color w:val="auto"/>
        </w:rPr>
      </w:pPr>
      <w:r>
        <w:rPr>
          <w:rFonts w:ascii="Arial" w:cs="Arial" w:eastAsia="Arial" w:hAnsi="Arial"/>
          <w:sz w:val="18"/>
          <w:szCs w:val="18"/>
          <w:color w:val="auto"/>
        </w:rPr>
        <w:t>Mses. Karch and Mead did not stand for re-election at our 2016 annual meeting of stockholders on May 12, 2016 and therefore retired from the Board of Directors effective that date. Mr. Nichols was elected to the Board of Directors on May 12, 2016 and subsequently tendered his resignation from the Board of Directors on September 22, 2016.</w:t>
      </w:r>
    </w:p>
    <w:p>
      <w:pPr>
        <w:spacing w:after="0" w:line="1" w:lineRule="exact"/>
        <w:rPr>
          <w:rFonts w:ascii="Arial" w:cs="Arial" w:eastAsia="Arial" w:hAnsi="Arial"/>
          <w:sz w:val="15"/>
          <w:szCs w:val="15"/>
          <w:color w:val="auto"/>
        </w:rPr>
      </w:pPr>
    </w:p>
    <w:p>
      <w:pPr>
        <w:ind w:left="460" w:right="20" w:hanging="452"/>
        <w:spacing w:after="0" w:line="250" w:lineRule="auto"/>
        <w:tabs>
          <w:tab w:leader="none" w:pos="460" w:val="left"/>
        </w:tabs>
        <w:numPr>
          <w:ilvl w:val="0"/>
          <w:numId w:val="66"/>
        </w:numPr>
        <w:rPr>
          <w:rFonts w:ascii="Arial" w:cs="Arial" w:eastAsia="Arial" w:hAnsi="Arial"/>
          <w:sz w:val="15"/>
          <w:szCs w:val="15"/>
          <w:color w:val="auto"/>
        </w:rPr>
      </w:pPr>
      <w:r>
        <w:rPr>
          <w:rFonts w:ascii="Arial" w:cs="Arial" w:eastAsia="Arial" w:hAnsi="Arial"/>
          <w:sz w:val="18"/>
          <w:szCs w:val="18"/>
          <w:color w:val="auto"/>
        </w:rPr>
        <w:t>Amounts include the portion of the annual retainer (described above) that was paid in cash. Mr. Parke elected to receive 100% of his annual retainer payable in 2016 in the form of DSUs and reached the maximum deferral of 30,000 DSUs with his second quarter retainer payment; therefore, a portion of his second quarter payment and his full third and fourth quarter payments were made in cash. Messrs. Bolinder, Conrad, Moffett, Moloney and Riepe and Ms. Higgins reached the maximum deferral of 30,000 DSUs with their third quarter retainer payment; therefore, a portion of their third quarter payment and full fourth quarter payment was made in cash. Amounts also include applicable committee chair fees and the retainer for the Non-Executive Chairman of the Board of Directors.</w:t>
      </w:r>
    </w:p>
    <w:p>
      <w:pPr>
        <w:spacing w:after="0" w:line="2" w:lineRule="exact"/>
        <w:rPr>
          <w:rFonts w:ascii="Arial" w:cs="Arial" w:eastAsia="Arial" w:hAnsi="Arial"/>
          <w:sz w:val="15"/>
          <w:szCs w:val="15"/>
          <w:color w:val="auto"/>
        </w:rPr>
      </w:pPr>
    </w:p>
    <w:p>
      <w:pPr>
        <w:ind w:left="460" w:right="40" w:hanging="452"/>
        <w:spacing w:after="0" w:line="253" w:lineRule="auto"/>
        <w:tabs>
          <w:tab w:leader="none" w:pos="460" w:val="left"/>
        </w:tabs>
        <w:numPr>
          <w:ilvl w:val="0"/>
          <w:numId w:val="66"/>
        </w:numPr>
        <w:rPr>
          <w:rFonts w:ascii="Arial" w:cs="Arial" w:eastAsia="Arial" w:hAnsi="Arial"/>
          <w:sz w:val="15"/>
          <w:szCs w:val="15"/>
          <w:color w:val="auto"/>
        </w:rPr>
      </w:pPr>
      <w:r>
        <w:rPr>
          <w:rFonts w:ascii="Arial" w:cs="Arial" w:eastAsia="Arial" w:hAnsi="Arial"/>
          <w:sz w:val="18"/>
          <w:szCs w:val="18"/>
          <w:color w:val="auto"/>
        </w:rPr>
        <w:t>Reflects the aggregate grant date fair value of DSUs, determined in accordance with FASB ASC Topic 718. The fair value of stock unit awards for purposes of Topic 718 typically equals the price of the underlying stock on the date of grant; however, amounts in the table are lower because the DSUs do not convert to transferable shares until one year after the director leaves the Board of Directors, and Topic 718 provides that the impact of transferability restrictions that remain in place after an award of stock based compensation vests may be considered when determining the fair value of the award for accounting purposes. The Finnerty option</w:t>
      </w:r>
    </w:p>
    <w:p>
      <w:pPr>
        <w:spacing w:after="0" w:line="1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20"/>
          </w:cols>
          <w:pgMar w:left="240" w:top="459" w:right="23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line="255" w:lineRule="auto"/>
        <w:rPr>
          <w:sz w:val="20"/>
          <w:szCs w:val="20"/>
          <w:color w:val="auto"/>
        </w:rPr>
      </w:pPr>
      <w:r>
        <w:rPr>
          <w:rFonts w:ascii="Arial" w:cs="Arial" w:eastAsia="Arial" w:hAnsi="Arial"/>
          <w:sz w:val="18"/>
          <w:szCs w:val="18"/>
          <w:color w:val="auto"/>
        </w:rPr>
        <w:t>pricing model was, therefore, used to factor in these post-vest holding requirements with the following assumptions: (i) expected post vesting restriction period of 7.9 years; (ii) expected volatility of 82.0%; (iii) risk-free interest rate of 1.60%; (iv) expected dividend yield of 0.00%; and (v) calculated discount for post vest restriction period of 31.8%.</w:t>
      </w:r>
    </w:p>
    <w:p>
      <w:pPr>
        <w:spacing w:after="0" w:line="2" w:lineRule="exact"/>
        <w:rPr>
          <w:sz w:val="20"/>
          <w:szCs w:val="20"/>
          <w:color w:val="auto"/>
        </w:rPr>
      </w:pPr>
    </w:p>
    <w:p>
      <w:pPr>
        <w:ind w:left="460" w:right="280" w:hanging="452"/>
        <w:spacing w:after="0" w:line="262" w:lineRule="auto"/>
        <w:tabs>
          <w:tab w:leader="none" w:pos="460" w:val="left"/>
        </w:tabs>
        <w:numPr>
          <w:ilvl w:val="0"/>
          <w:numId w:val="67"/>
        </w:numPr>
        <w:rPr>
          <w:rFonts w:ascii="Arial" w:cs="Arial" w:eastAsia="Arial" w:hAnsi="Arial"/>
          <w:sz w:val="15"/>
          <w:szCs w:val="15"/>
          <w:color w:val="auto"/>
        </w:rPr>
      </w:pPr>
      <w:r>
        <w:rPr>
          <w:rFonts w:ascii="Arial" w:cs="Arial" w:eastAsia="Arial" w:hAnsi="Arial"/>
          <w:sz w:val="18"/>
          <w:szCs w:val="18"/>
          <w:color w:val="auto"/>
        </w:rPr>
        <w:t>The following table shows for each non-management director the total number of DSUs held as of December 31, 2016 (rounded down to the nearest whole share):</w:t>
      </w:r>
    </w:p>
    <w:p>
      <w:pPr>
        <w:spacing w:after="0" w:line="189" w:lineRule="exact"/>
        <w:rPr>
          <w:sz w:val="20"/>
          <w:szCs w:val="20"/>
          <w:color w:val="auto"/>
        </w:rPr>
      </w:pPr>
    </w:p>
    <w:tbl>
      <w:tblPr>
        <w:tblLayout w:type="fixed"/>
        <w:tblInd w:w="1840" w:type="dxa"/>
        <w:tblCellMar>
          <w:top w:w="0" w:type="dxa"/>
          <w:left w:w="0" w:type="dxa"/>
          <w:bottom w:w="0" w:type="dxa"/>
          <w:right w:w="0" w:type="dxa"/>
        </w:tblCellMar>
      </w:tblPr>
      <w:tr>
        <w:trPr>
          <w:trHeight w:val="161"/>
        </w:trPr>
        <w:tc>
          <w:tcPr>
            <w:tcW w:w="36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2540" w:type="dxa"/>
            <w:vAlign w:val="bottom"/>
          </w:tcPr>
          <w:p>
            <w:pPr>
              <w:spacing w:after="0"/>
              <w:rPr>
                <w:sz w:val="14"/>
                <w:szCs w:val="14"/>
                <w:color w:val="auto"/>
              </w:rPr>
            </w:pPr>
          </w:p>
        </w:tc>
        <w:tc>
          <w:tcPr>
            <w:tcW w:w="1220" w:type="dxa"/>
            <w:vAlign w:val="bottom"/>
          </w:tcPr>
          <w:p>
            <w:pPr>
              <w:jc w:val="center"/>
              <w:ind w:right="4"/>
              <w:spacing w:after="0"/>
              <w:rPr>
                <w:sz w:val="20"/>
                <w:szCs w:val="20"/>
                <w:color w:val="auto"/>
              </w:rPr>
            </w:pPr>
            <w:r>
              <w:rPr>
                <w:rFonts w:ascii="Arial" w:cs="Arial" w:eastAsia="Arial" w:hAnsi="Arial"/>
                <w:sz w:val="14"/>
                <w:szCs w:val="14"/>
                <w:b w:val="1"/>
                <w:bCs w:val="1"/>
                <w:color w:val="auto"/>
                <w:w w:val="94"/>
              </w:rPr>
              <w:t>Total Number of</w:t>
            </w:r>
          </w:p>
        </w:tc>
        <w:tc>
          <w:tcPr>
            <w:tcW w:w="0" w:type="dxa"/>
            <w:vAlign w:val="bottom"/>
          </w:tcPr>
          <w:p>
            <w:pPr>
              <w:spacing w:after="0"/>
              <w:rPr>
                <w:sz w:val="1"/>
                <w:szCs w:val="1"/>
                <w:color w:val="auto"/>
              </w:rPr>
            </w:pPr>
          </w:p>
        </w:tc>
      </w:tr>
      <w:tr>
        <w:trPr>
          <w:trHeight w:val="149"/>
        </w:trPr>
        <w:tc>
          <w:tcPr>
            <w:tcW w:w="360" w:type="dxa"/>
            <w:vAlign w:val="bottom"/>
            <w:vMerge w:val="restart"/>
          </w:tcPr>
          <w:p>
            <w:pPr>
              <w:spacing w:after="0"/>
              <w:rPr>
                <w:sz w:val="20"/>
                <w:szCs w:val="20"/>
                <w:color w:val="auto"/>
              </w:rPr>
            </w:pPr>
            <w:r>
              <w:rPr>
                <w:rFonts w:ascii="Arial" w:cs="Arial" w:eastAsia="Arial" w:hAnsi="Arial"/>
                <w:sz w:val="14"/>
                <w:szCs w:val="14"/>
                <w:b w:val="1"/>
                <w:bCs w:val="1"/>
                <w:color w:val="auto"/>
                <w:w w:val="89"/>
              </w:rPr>
              <w:t>Name</w:t>
            </w:r>
          </w:p>
        </w:tc>
        <w:tc>
          <w:tcPr>
            <w:tcW w:w="3640" w:type="dxa"/>
            <w:vAlign w:val="bottom"/>
            <w:vMerge w:val="restart"/>
          </w:tcPr>
          <w:p>
            <w:pPr>
              <w:spacing w:after="0"/>
              <w:rPr>
                <w:sz w:val="12"/>
                <w:szCs w:val="12"/>
                <w:color w:val="auto"/>
              </w:rPr>
            </w:pPr>
          </w:p>
        </w:tc>
        <w:tc>
          <w:tcPr>
            <w:tcW w:w="2540" w:type="dxa"/>
            <w:vAlign w:val="bottom"/>
          </w:tcPr>
          <w:p>
            <w:pPr>
              <w:spacing w:after="0"/>
              <w:rPr>
                <w:sz w:val="12"/>
                <w:szCs w:val="12"/>
                <w:color w:val="auto"/>
              </w:rPr>
            </w:pPr>
          </w:p>
        </w:tc>
        <w:tc>
          <w:tcPr>
            <w:tcW w:w="12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DSUs Held as of</w:t>
            </w:r>
          </w:p>
        </w:tc>
        <w:tc>
          <w:tcPr>
            <w:tcW w:w="0" w:type="dxa"/>
            <w:vAlign w:val="bottom"/>
          </w:tcPr>
          <w:p>
            <w:pPr>
              <w:spacing w:after="0"/>
              <w:rPr>
                <w:sz w:val="1"/>
                <w:szCs w:val="1"/>
                <w:color w:val="auto"/>
              </w:rPr>
            </w:pPr>
          </w:p>
        </w:tc>
      </w:tr>
      <w:tr>
        <w:trPr>
          <w:trHeight w:val="171"/>
        </w:trPr>
        <w:tc>
          <w:tcPr>
            <w:tcW w:w="360" w:type="dxa"/>
            <w:vAlign w:val="bottom"/>
            <w:vMerge w:val="continue"/>
          </w:tcPr>
          <w:p>
            <w:pPr>
              <w:spacing w:after="0"/>
              <w:rPr>
                <w:sz w:val="14"/>
                <w:szCs w:val="14"/>
                <w:color w:val="auto"/>
              </w:rPr>
            </w:pPr>
          </w:p>
        </w:tc>
        <w:tc>
          <w:tcPr>
            <w:tcW w:w="3640" w:type="dxa"/>
            <w:vAlign w:val="bottom"/>
            <w:vMerge w:val="continue"/>
          </w:tcPr>
          <w:p>
            <w:pPr>
              <w:spacing w:after="0"/>
              <w:rPr>
                <w:sz w:val="14"/>
                <w:szCs w:val="14"/>
                <w:color w:val="auto"/>
              </w:rPr>
            </w:pPr>
          </w:p>
        </w:tc>
        <w:tc>
          <w:tcPr>
            <w:tcW w:w="3760" w:type="dxa"/>
            <w:vAlign w:val="bottom"/>
            <w:gridSpan w:val="2"/>
          </w:tcPr>
          <w:p>
            <w:pPr>
              <w:jc w:val="center"/>
              <w:ind w:left="2396"/>
              <w:spacing w:after="0"/>
              <w:rPr>
                <w:sz w:val="20"/>
                <w:szCs w:val="20"/>
                <w:color w:val="auto"/>
              </w:rPr>
            </w:pPr>
            <w:r>
              <w:rPr>
                <w:rFonts w:ascii="Arial" w:cs="Arial" w:eastAsia="Arial" w:hAnsi="Arial"/>
                <w:sz w:val="14"/>
                <w:szCs w:val="14"/>
                <w:b w:val="1"/>
                <w:bCs w:val="1"/>
                <w:color w:val="auto"/>
                <w:w w:val="91"/>
              </w:rPr>
              <w:t>December 31, 2016</w:t>
            </w:r>
          </w:p>
        </w:tc>
        <w:tc>
          <w:tcPr>
            <w:tcW w:w="0" w:type="dxa"/>
            <w:vAlign w:val="bottom"/>
          </w:tcPr>
          <w:p>
            <w:pPr>
              <w:spacing w:after="0"/>
              <w:rPr>
                <w:sz w:val="1"/>
                <w:szCs w:val="1"/>
                <w:color w:val="auto"/>
              </w:rPr>
            </w:pPr>
          </w:p>
        </w:tc>
      </w:tr>
      <w:tr>
        <w:trPr>
          <w:trHeight w:val="20"/>
        </w:trPr>
        <w:tc>
          <w:tcPr>
            <w:tcW w:w="360" w:type="dxa"/>
            <w:vAlign w:val="bottom"/>
            <w:shd w:val="clear" w:color="auto" w:fill="000000"/>
          </w:tcPr>
          <w:p>
            <w:pPr>
              <w:spacing w:after="0" w:line="20" w:lineRule="exact"/>
              <w:rPr>
                <w:sz w:val="1"/>
                <w:szCs w:val="1"/>
                <w:color w:val="auto"/>
              </w:rPr>
            </w:pPr>
          </w:p>
        </w:tc>
        <w:tc>
          <w:tcPr>
            <w:tcW w:w="3640" w:type="dxa"/>
            <w:vAlign w:val="bottom"/>
            <w:shd w:val="clear" w:color="auto" w:fill="CCEEFF"/>
          </w:tcPr>
          <w:p>
            <w:pPr>
              <w:spacing w:after="0" w:line="20" w:lineRule="exact"/>
              <w:rPr>
                <w:sz w:val="1"/>
                <w:szCs w:val="1"/>
                <w:color w:val="auto"/>
              </w:rPr>
            </w:pPr>
          </w:p>
        </w:tc>
        <w:tc>
          <w:tcPr>
            <w:tcW w:w="2540" w:type="dxa"/>
            <w:vAlign w:val="bottom"/>
            <w:vMerge w:val="restart"/>
            <w:shd w:val="clear" w:color="auto" w:fill="CCEEFF"/>
          </w:tcPr>
          <w:p>
            <w:pPr>
              <w:spacing w:after="0" w:line="20" w:lineRule="exact"/>
              <w:rPr>
                <w:sz w:val="1"/>
                <w:szCs w:val="1"/>
                <w:color w:val="auto"/>
              </w:rPr>
            </w:pPr>
          </w:p>
        </w:tc>
        <w:tc>
          <w:tcPr>
            <w:tcW w:w="1220" w:type="dxa"/>
            <w:vAlign w:val="bottom"/>
            <w:tcBorders>
              <w:right w:val="single" w:sz="8" w:color="CCEEFF"/>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00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William H. Bolinder</w:t>
            </w:r>
          </w:p>
        </w:tc>
        <w:tc>
          <w:tcPr>
            <w:tcW w:w="2540" w:type="dxa"/>
            <w:vAlign w:val="bottom"/>
            <w:vMerge w:val="continue"/>
            <w:shd w:val="clear" w:color="auto" w:fill="CCEEFF"/>
          </w:tcPr>
          <w:p>
            <w:pPr>
              <w:spacing w:after="0"/>
              <w:rPr>
                <w:sz w:val="17"/>
                <w:szCs w:val="17"/>
                <w:color w:val="auto"/>
              </w:rPr>
            </w:pPr>
          </w:p>
        </w:tc>
        <w:tc>
          <w:tcPr>
            <w:tcW w:w="12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109,671</w:t>
            </w:r>
          </w:p>
        </w:tc>
        <w:tc>
          <w:tcPr>
            <w:tcW w:w="0" w:type="dxa"/>
            <w:vAlign w:val="bottom"/>
          </w:tcPr>
          <w:p>
            <w:pPr>
              <w:spacing w:after="0"/>
              <w:rPr>
                <w:sz w:val="1"/>
                <w:szCs w:val="1"/>
                <w:color w:val="auto"/>
              </w:rPr>
            </w:pPr>
          </w:p>
        </w:tc>
      </w:tr>
      <w:tr>
        <w:trPr>
          <w:trHeight w:val="203"/>
        </w:trPr>
        <w:tc>
          <w:tcPr>
            <w:tcW w:w="4000" w:type="dxa"/>
            <w:vAlign w:val="bottom"/>
            <w:gridSpan w:val="2"/>
          </w:tcPr>
          <w:p>
            <w:pPr>
              <w:spacing w:after="0"/>
              <w:rPr>
                <w:sz w:val="20"/>
                <w:szCs w:val="20"/>
                <w:color w:val="auto"/>
              </w:rPr>
            </w:pPr>
            <w:r>
              <w:rPr>
                <w:rFonts w:ascii="Arial" w:cs="Arial" w:eastAsia="Arial" w:hAnsi="Arial"/>
                <w:sz w:val="17"/>
                <w:szCs w:val="17"/>
                <w:color w:val="auto"/>
              </w:rPr>
              <w:t>G. Kent Conrad</w:t>
            </w:r>
          </w:p>
        </w:tc>
        <w:tc>
          <w:tcPr>
            <w:tcW w:w="3760" w:type="dxa"/>
            <w:vAlign w:val="bottom"/>
            <w:gridSpan w:val="2"/>
          </w:tcPr>
          <w:p>
            <w:pPr>
              <w:jc w:val="right"/>
              <w:spacing w:after="0"/>
              <w:rPr>
                <w:sz w:val="20"/>
                <w:szCs w:val="20"/>
                <w:color w:val="auto"/>
              </w:rPr>
            </w:pPr>
            <w:r>
              <w:rPr>
                <w:rFonts w:ascii="Arial" w:cs="Arial" w:eastAsia="Arial" w:hAnsi="Arial"/>
                <w:sz w:val="17"/>
                <w:szCs w:val="17"/>
                <w:color w:val="auto"/>
              </w:rPr>
              <w:t>72,832</w:t>
            </w:r>
          </w:p>
        </w:tc>
        <w:tc>
          <w:tcPr>
            <w:tcW w:w="0" w:type="dxa"/>
            <w:vAlign w:val="bottom"/>
          </w:tcPr>
          <w:p>
            <w:pPr>
              <w:spacing w:after="0"/>
              <w:rPr>
                <w:sz w:val="1"/>
                <w:szCs w:val="1"/>
                <w:color w:val="auto"/>
              </w:rPr>
            </w:pPr>
          </w:p>
        </w:tc>
      </w:tr>
      <w:tr>
        <w:trPr>
          <w:trHeight w:val="203"/>
        </w:trPr>
        <w:tc>
          <w:tcPr>
            <w:tcW w:w="400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Melina E. Higgins</w:t>
            </w:r>
          </w:p>
        </w:tc>
        <w:tc>
          <w:tcPr>
            <w:tcW w:w="376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7"/>
                <w:szCs w:val="17"/>
                <w:color w:val="auto"/>
              </w:rPr>
              <w:t>67,837</w:t>
            </w:r>
          </w:p>
        </w:tc>
        <w:tc>
          <w:tcPr>
            <w:tcW w:w="0" w:type="dxa"/>
            <w:vAlign w:val="bottom"/>
          </w:tcPr>
          <w:p>
            <w:pPr>
              <w:spacing w:after="0"/>
              <w:rPr>
                <w:sz w:val="1"/>
                <w:szCs w:val="1"/>
                <w:color w:val="auto"/>
              </w:rPr>
            </w:pPr>
          </w:p>
        </w:tc>
      </w:tr>
      <w:tr>
        <w:trPr>
          <w:trHeight w:val="203"/>
        </w:trPr>
        <w:tc>
          <w:tcPr>
            <w:tcW w:w="4000" w:type="dxa"/>
            <w:vAlign w:val="bottom"/>
            <w:gridSpan w:val="2"/>
          </w:tcPr>
          <w:p>
            <w:pPr>
              <w:spacing w:after="0"/>
              <w:rPr>
                <w:sz w:val="20"/>
                <w:szCs w:val="20"/>
                <w:color w:val="auto"/>
              </w:rPr>
            </w:pPr>
            <w:r>
              <w:rPr>
                <w:rFonts w:ascii="Arial" w:cs="Arial" w:eastAsia="Arial" w:hAnsi="Arial"/>
                <w:sz w:val="17"/>
                <w:szCs w:val="17"/>
                <w:color w:val="auto"/>
              </w:rPr>
              <w:t>David M. Moffett</w:t>
            </w:r>
          </w:p>
        </w:tc>
        <w:tc>
          <w:tcPr>
            <w:tcW w:w="3760" w:type="dxa"/>
            <w:vAlign w:val="bottom"/>
            <w:gridSpan w:val="2"/>
          </w:tcPr>
          <w:p>
            <w:pPr>
              <w:jc w:val="right"/>
              <w:spacing w:after="0"/>
              <w:rPr>
                <w:sz w:val="20"/>
                <w:szCs w:val="20"/>
                <w:color w:val="auto"/>
              </w:rPr>
            </w:pPr>
            <w:r>
              <w:rPr>
                <w:rFonts w:ascii="Arial" w:cs="Arial" w:eastAsia="Arial" w:hAnsi="Arial"/>
                <w:sz w:val="17"/>
                <w:szCs w:val="17"/>
                <w:color w:val="auto"/>
              </w:rPr>
              <w:t>81,725</w:t>
            </w:r>
          </w:p>
        </w:tc>
        <w:tc>
          <w:tcPr>
            <w:tcW w:w="0" w:type="dxa"/>
            <w:vAlign w:val="bottom"/>
          </w:tcPr>
          <w:p>
            <w:pPr>
              <w:spacing w:after="0"/>
              <w:rPr>
                <w:sz w:val="1"/>
                <w:szCs w:val="1"/>
                <w:color w:val="auto"/>
              </w:rPr>
            </w:pPr>
          </w:p>
        </w:tc>
      </w:tr>
      <w:tr>
        <w:trPr>
          <w:trHeight w:val="203"/>
        </w:trPr>
        <w:tc>
          <w:tcPr>
            <w:tcW w:w="400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Thomas E. Moloney</w:t>
            </w:r>
          </w:p>
        </w:tc>
        <w:tc>
          <w:tcPr>
            <w:tcW w:w="376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7"/>
                <w:szCs w:val="17"/>
                <w:color w:val="auto"/>
              </w:rPr>
              <w:t>117,415</w:t>
            </w:r>
          </w:p>
        </w:tc>
        <w:tc>
          <w:tcPr>
            <w:tcW w:w="0" w:type="dxa"/>
            <w:vAlign w:val="bottom"/>
          </w:tcPr>
          <w:p>
            <w:pPr>
              <w:spacing w:after="0"/>
              <w:rPr>
                <w:sz w:val="1"/>
                <w:szCs w:val="1"/>
                <w:color w:val="auto"/>
              </w:rPr>
            </w:pPr>
          </w:p>
        </w:tc>
      </w:tr>
      <w:tr>
        <w:trPr>
          <w:trHeight w:val="203"/>
        </w:trPr>
        <w:tc>
          <w:tcPr>
            <w:tcW w:w="4000" w:type="dxa"/>
            <w:vAlign w:val="bottom"/>
            <w:gridSpan w:val="2"/>
          </w:tcPr>
          <w:p>
            <w:pPr>
              <w:spacing w:after="0"/>
              <w:rPr>
                <w:sz w:val="20"/>
                <w:szCs w:val="20"/>
                <w:color w:val="auto"/>
              </w:rPr>
            </w:pPr>
            <w:r>
              <w:rPr>
                <w:rFonts w:ascii="Arial" w:cs="Arial" w:eastAsia="Arial" w:hAnsi="Arial"/>
                <w:sz w:val="17"/>
                <w:szCs w:val="17"/>
                <w:color w:val="auto"/>
              </w:rPr>
              <w:t>James A. Parke</w:t>
            </w:r>
          </w:p>
        </w:tc>
        <w:tc>
          <w:tcPr>
            <w:tcW w:w="3760" w:type="dxa"/>
            <w:vAlign w:val="bottom"/>
            <w:gridSpan w:val="2"/>
          </w:tcPr>
          <w:p>
            <w:pPr>
              <w:jc w:val="right"/>
              <w:spacing w:after="0"/>
              <w:rPr>
                <w:sz w:val="20"/>
                <w:szCs w:val="20"/>
                <w:color w:val="auto"/>
              </w:rPr>
            </w:pPr>
            <w:r>
              <w:rPr>
                <w:rFonts w:ascii="Arial" w:cs="Arial" w:eastAsia="Arial" w:hAnsi="Arial"/>
                <w:sz w:val="17"/>
                <w:szCs w:val="17"/>
                <w:color w:val="auto"/>
              </w:rPr>
              <w:t>212,302</w:t>
            </w:r>
          </w:p>
        </w:tc>
        <w:tc>
          <w:tcPr>
            <w:tcW w:w="0" w:type="dxa"/>
            <w:vAlign w:val="bottom"/>
          </w:tcPr>
          <w:p>
            <w:pPr>
              <w:spacing w:after="0"/>
              <w:rPr>
                <w:sz w:val="1"/>
                <w:szCs w:val="1"/>
                <w:color w:val="auto"/>
              </w:rPr>
            </w:pPr>
          </w:p>
        </w:tc>
      </w:tr>
      <w:tr>
        <w:trPr>
          <w:trHeight w:val="203"/>
        </w:trPr>
        <w:tc>
          <w:tcPr>
            <w:tcW w:w="400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Debra J. Perry</w:t>
            </w:r>
          </w:p>
        </w:tc>
        <w:tc>
          <w:tcPr>
            <w:tcW w:w="376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7"/>
                <w:szCs w:val="17"/>
                <w:color w:val="auto"/>
              </w:rPr>
              <w:t>1,403</w:t>
            </w:r>
          </w:p>
        </w:tc>
        <w:tc>
          <w:tcPr>
            <w:tcW w:w="0" w:type="dxa"/>
            <w:vAlign w:val="bottom"/>
          </w:tcPr>
          <w:p>
            <w:pPr>
              <w:spacing w:after="0"/>
              <w:rPr>
                <w:sz w:val="1"/>
                <w:szCs w:val="1"/>
                <w:color w:val="auto"/>
              </w:rPr>
            </w:pPr>
          </w:p>
        </w:tc>
      </w:tr>
      <w:tr>
        <w:trPr>
          <w:trHeight w:val="203"/>
        </w:trPr>
        <w:tc>
          <w:tcPr>
            <w:tcW w:w="4000" w:type="dxa"/>
            <w:vAlign w:val="bottom"/>
            <w:gridSpan w:val="2"/>
          </w:tcPr>
          <w:p>
            <w:pPr>
              <w:spacing w:after="0"/>
              <w:rPr>
                <w:sz w:val="20"/>
                <w:szCs w:val="20"/>
                <w:color w:val="auto"/>
              </w:rPr>
            </w:pPr>
            <w:r>
              <w:rPr>
                <w:rFonts w:ascii="Arial" w:cs="Arial" w:eastAsia="Arial" w:hAnsi="Arial"/>
                <w:sz w:val="17"/>
                <w:szCs w:val="17"/>
                <w:color w:val="auto"/>
              </w:rPr>
              <w:t>Robert P. Restrepo Jr.</w:t>
            </w:r>
          </w:p>
        </w:tc>
        <w:tc>
          <w:tcPr>
            <w:tcW w:w="3760" w:type="dxa"/>
            <w:vAlign w:val="bottom"/>
            <w:gridSpan w:val="2"/>
          </w:tcPr>
          <w:p>
            <w:pPr>
              <w:jc w:val="right"/>
              <w:spacing w:after="0"/>
              <w:rPr>
                <w:sz w:val="20"/>
                <w:szCs w:val="20"/>
                <w:color w:val="auto"/>
              </w:rPr>
            </w:pPr>
            <w:r>
              <w:rPr>
                <w:rFonts w:ascii="Arial" w:cs="Arial" w:eastAsia="Arial" w:hAnsi="Arial"/>
                <w:sz w:val="17"/>
                <w:szCs w:val="17"/>
                <w:color w:val="auto"/>
              </w:rPr>
              <w:t>1,403</w:t>
            </w:r>
          </w:p>
        </w:tc>
        <w:tc>
          <w:tcPr>
            <w:tcW w:w="0" w:type="dxa"/>
            <w:vAlign w:val="bottom"/>
          </w:tcPr>
          <w:p>
            <w:pPr>
              <w:spacing w:after="0"/>
              <w:rPr>
                <w:sz w:val="1"/>
                <w:szCs w:val="1"/>
                <w:color w:val="auto"/>
              </w:rPr>
            </w:pPr>
          </w:p>
        </w:tc>
      </w:tr>
      <w:tr>
        <w:trPr>
          <w:trHeight w:val="203"/>
        </w:trPr>
        <w:tc>
          <w:tcPr>
            <w:tcW w:w="400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James S. Riepe</w:t>
            </w:r>
          </w:p>
        </w:tc>
        <w:tc>
          <w:tcPr>
            <w:tcW w:w="376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7"/>
                <w:szCs w:val="17"/>
                <w:color w:val="auto"/>
              </w:rPr>
              <w:t>237,055</w:t>
            </w:r>
          </w:p>
        </w:tc>
        <w:tc>
          <w:tcPr>
            <w:tcW w:w="0" w:type="dxa"/>
            <w:vAlign w:val="bottom"/>
          </w:tcPr>
          <w:p>
            <w:pPr>
              <w:spacing w:after="0"/>
              <w:rPr>
                <w:sz w:val="1"/>
                <w:szCs w:val="1"/>
                <w:color w:val="auto"/>
              </w:rPr>
            </w:pPr>
          </w:p>
        </w:tc>
      </w:tr>
      <w:tr>
        <w:trPr>
          <w:trHeight w:val="203"/>
        </w:trPr>
        <w:tc>
          <w:tcPr>
            <w:tcW w:w="4000" w:type="dxa"/>
            <w:vAlign w:val="bottom"/>
            <w:gridSpan w:val="2"/>
          </w:tcPr>
          <w:p>
            <w:pPr>
              <w:spacing w:after="0"/>
              <w:rPr>
                <w:sz w:val="20"/>
                <w:szCs w:val="20"/>
                <w:color w:val="auto"/>
              </w:rPr>
            </w:pPr>
            <w:r>
              <w:rPr>
                <w:rFonts w:ascii="Arial" w:cs="Arial" w:eastAsia="Arial" w:hAnsi="Arial"/>
                <w:sz w:val="17"/>
                <w:szCs w:val="17"/>
                <w:color w:val="auto"/>
              </w:rPr>
              <w:t>Nancy J. Karch</w:t>
            </w:r>
          </w:p>
        </w:tc>
        <w:tc>
          <w:tcPr>
            <w:tcW w:w="3760" w:type="dxa"/>
            <w:vAlign w:val="bottom"/>
            <w:gridSpan w:val="2"/>
          </w:tcPr>
          <w:p>
            <w:pPr>
              <w:jc w:val="right"/>
              <w:spacing w:after="0"/>
              <w:rPr>
                <w:sz w:val="20"/>
                <w:szCs w:val="20"/>
                <w:color w:val="auto"/>
              </w:rPr>
            </w:pPr>
            <w:r>
              <w:rPr>
                <w:rFonts w:ascii="Arial" w:cs="Arial" w:eastAsia="Arial" w:hAnsi="Arial"/>
                <w:sz w:val="17"/>
                <w:szCs w:val="17"/>
                <w:color w:val="auto"/>
              </w:rPr>
              <w:t>146,391</w:t>
            </w:r>
          </w:p>
        </w:tc>
        <w:tc>
          <w:tcPr>
            <w:tcW w:w="0" w:type="dxa"/>
            <w:vAlign w:val="bottom"/>
          </w:tcPr>
          <w:p>
            <w:pPr>
              <w:spacing w:after="0"/>
              <w:rPr>
                <w:sz w:val="1"/>
                <w:szCs w:val="1"/>
                <w:color w:val="auto"/>
              </w:rPr>
            </w:pPr>
          </w:p>
        </w:tc>
      </w:tr>
      <w:tr>
        <w:trPr>
          <w:trHeight w:val="203"/>
        </w:trPr>
        <w:tc>
          <w:tcPr>
            <w:tcW w:w="400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Christine B. Mead</w:t>
            </w:r>
          </w:p>
        </w:tc>
        <w:tc>
          <w:tcPr>
            <w:tcW w:w="376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7"/>
                <w:szCs w:val="17"/>
                <w:color w:val="auto"/>
              </w:rPr>
              <w:t>105,001</w:t>
            </w:r>
          </w:p>
        </w:tc>
        <w:tc>
          <w:tcPr>
            <w:tcW w:w="0" w:type="dxa"/>
            <w:vAlign w:val="bottom"/>
          </w:tcPr>
          <w:p>
            <w:pPr>
              <w:spacing w:after="0"/>
              <w:rPr>
                <w:sz w:val="1"/>
                <w:szCs w:val="1"/>
                <w:color w:val="auto"/>
              </w:rPr>
            </w:pPr>
          </w:p>
        </w:tc>
      </w:tr>
      <w:tr>
        <w:trPr>
          <w:trHeight w:val="201"/>
        </w:trPr>
        <w:tc>
          <w:tcPr>
            <w:tcW w:w="4000" w:type="dxa"/>
            <w:vAlign w:val="bottom"/>
            <w:gridSpan w:val="2"/>
          </w:tcPr>
          <w:p>
            <w:pPr>
              <w:spacing w:after="0"/>
              <w:rPr>
                <w:sz w:val="20"/>
                <w:szCs w:val="20"/>
                <w:color w:val="auto"/>
              </w:rPr>
            </w:pPr>
            <w:r>
              <w:rPr>
                <w:rFonts w:ascii="Arial" w:cs="Arial" w:eastAsia="Arial" w:hAnsi="Arial"/>
                <w:sz w:val="17"/>
                <w:szCs w:val="17"/>
                <w:color w:val="auto"/>
              </w:rPr>
              <w:t>John R. Nichols</w:t>
            </w:r>
          </w:p>
        </w:tc>
        <w:tc>
          <w:tcPr>
            <w:tcW w:w="3760" w:type="dxa"/>
            <w:vAlign w:val="bottom"/>
            <w:gridSpan w:val="2"/>
          </w:tcPr>
          <w:p>
            <w:pPr>
              <w:jc w:val="right"/>
              <w:spacing w:after="0"/>
              <w:rPr>
                <w:sz w:val="20"/>
                <w:szCs w:val="20"/>
                <w:color w:val="auto"/>
              </w:rPr>
            </w:pPr>
            <w:r>
              <w:rPr>
                <w:rFonts w:ascii="Arial" w:cs="Arial" w:eastAsia="Arial" w:hAnsi="Arial"/>
                <w:sz w:val="17"/>
                <w:szCs w:val="17"/>
                <w:color w:val="auto"/>
              </w:rPr>
              <w:t>11,318</w:t>
            </w:r>
          </w:p>
        </w:tc>
        <w:tc>
          <w:tcPr>
            <w:tcW w:w="0" w:type="dxa"/>
            <w:vAlign w:val="bottom"/>
          </w:tcPr>
          <w:p>
            <w:pPr>
              <w:spacing w:after="0"/>
              <w:rPr>
                <w:sz w:val="1"/>
                <w:szCs w:val="1"/>
                <w:color w:val="auto"/>
              </w:rPr>
            </w:pPr>
          </w:p>
        </w:tc>
      </w:tr>
    </w:tbl>
    <w:p>
      <w:pPr>
        <w:ind w:left="460" w:hanging="452"/>
        <w:spacing w:after="0"/>
        <w:tabs>
          <w:tab w:leader="none" w:pos="460" w:val="left"/>
        </w:tabs>
        <w:numPr>
          <w:ilvl w:val="0"/>
          <w:numId w:val="68"/>
        </w:numPr>
        <w:rPr>
          <w:rFonts w:ascii="Arial" w:cs="Arial" w:eastAsia="Arial" w:hAnsi="Arial"/>
          <w:sz w:val="15"/>
          <w:szCs w:val="15"/>
          <w:color w:val="auto"/>
        </w:rPr>
      </w:pPr>
      <w:r>
        <w:rPr>
          <w:rFonts w:ascii="Arial" w:cs="Arial" w:eastAsia="Arial" w:hAnsi="Arial"/>
          <w:sz w:val="18"/>
          <w:szCs w:val="18"/>
          <w:color w:val="auto"/>
        </w:rPr>
        <w:t>Amounts reflect company charitable match contributions.</w:t>
      </w:r>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Stock Ownership Policy</w:t>
      </w:r>
    </w:p>
    <w:p>
      <w:pPr>
        <w:spacing w:after="0" w:line="121" w:lineRule="exact"/>
        <w:rPr>
          <w:sz w:val="20"/>
          <w:szCs w:val="20"/>
          <w:color w:val="auto"/>
        </w:rPr>
      </w:pPr>
    </w:p>
    <w:p>
      <w:pPr>
        <w:ind w:right="120" w:firstLine="456"/>
        <w:spacing w:after="0" w:line="254" w:lineRule="auto"/>
        <w:rPr>
          <w:sz w:val="20"/>
          <w:szCs w:val="20"/>
          <w:color w:val="auto"/>
        </w:rPr>
      </w:pPr>
      <w:r>
        <w:rPr>
          <w:rFonts w:ascii="Arial" w:cs="Arial" w:eastAsia="Arial" w:hAnsi="Arial"/>
          <w:sz w:val="18"/>
          <w:szCs w:val="18"/>
          <w:color w:val="auto"/>
        </w:rPr>
        <w:t>To help promote the alignment of the personal interests of the company’s directors with the interests of our stockholders, we have established a robust stock ownership policy for all non-management directors. Under the policy, each non-management director is expected to hold common stock and/or DSUs while serving as a director of Genworth having a value equal to five times the value of the cash portion of the annual retainer payable to non-management directors, which is currently $92,000. Therefore, the current ownership guideline is $460,000. Non-management directors are expected to satisfy this ownership guideline over time after their initial appointment to the Board, and are not permitted to sell any shares of Genworth common stock received from us until the ownership guideline has been met. The DSUs held by the non-management directors settle in shares of common stock beginning one year after the director leaves the Board of Directors in a single payment or in payments over 10 years, at the election of the director, or earlier upon the death of the director.</w:t>
      </w:r>
    </w:p>
    <w:p>
      <w:pPr>
        <w:spacing w:after="0" w:line="192" w:lineRule="exact"/>
        <w:rPr>
          <w:sz w:val="20"/>
          <w:szCs w:val="20"/>
          <w:color w:val="auto"/>
        </w:rPr>
      </w:pPr>
    </w:p>
    <w:p>
      <w:pPr>
        <w:ind w:right="40" w:firstLine="456"/>
        <w:spacing w:after="0" w:line="286" w:lineRule="auto"/>
        <w:rPr>
          <w:sz w:val="20"/>
          <w:szCs w:val="20"/>
          <w:color w:val="auto"/>
        </w:rPr>
      </w:pPr>
      <w:r>
        <w:rPr>
          <w:rFonts w:ascii="Arial" w:cs="Arial" w:eastAsia="Arial" w:hAnsi="Arial"/>
          <w:sz w:val="17"/>
          <w:szCs w:val="17"/>
          <w:color w:val="auto"/>
        </w:rPr>
        <w:t>The following table shows the stock ownership as of March 1, 2017 of our non-management directors serving on that date, the percentage of the ownership guideline that they have reached, and the number of years that have elapsed since the director was initially made subject to the policy. The value of each non-management director’s stock ownership is based on the closing price of our common stock on March 1, 2017 ($4.13).</w:t>
      </w:r>
    </w:p>
    <w:p>
      <w:pPr>
        <w:spacing w:after="0" w:line="172"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520" w:type="dxa"/>
            <w:vAlign w:val="bottom"/>
          </w:tcPr>
          <w:p>
            <w:pPr>
              <w:spacing w:after="0"/>
              <w:rPr>
                <w:sz w:val="14"/>
                <w:szCs w:val="14"/>
                <w:color w:val="auto"/>
              </w:rPr>
            </w:pPr>
          </w:p>
        </w:tc>
        <w:tc>
          <w:tcPr>
            <w:tcW w:w="3940" w:type="dxa"/>
            <w:vAlign w:val="bottom"/>
          </w:tcPr>
          <w:p>
            <w:pPr>
              <w:spacing w:after="0"/>
              <w:rPr>
                <w:sz w:val="14"/>
                <w:szCs w:val="14"/>
                <w:color w:val="auto"/>
              </w:rPr>
            </w:pPr>
          </w:p>
        </w:tc>
        <w:tc>
          <w:tcPr>
            <w:tcW w:w="1600" w:type="dxa"/>
            <w:vAlign w:val="bottom"/>
            <w:gridSpan w:val="2"/>
          </w:tcPr>
          <w:p>
            <w:pPr>
              <w:jc w:val="center"/>
              <w:ind w:right="780"/>
              <w:spacing w:after="0"/>
              <w:rPr>
                <w:sz w:val="20"/>
                <w:szCs w:val="20"/>
                <w:color w:val="auto"/>
              </w:rPr>
            </w:pPr>
            <w:r>
              <w:rPr>
                <w:rFonts w:ascii="Arial" w:cs="Arial" w:eastAsia="Arial" w:hAnsi="Arial"/>
                <w:sz w:val="14"/>
                <w:szCs w:val="14"/>
                <w:b w:val="1"/>
                <w:bCs w:val="1"/>
                <w:color w:val="auto"/>
                <w:w w:val="94"/>
              </w:rPr>
              <w:t>Number of</w:t>
            </w:r>
          </w:p>
        </w:tc>
        <w:tc>
          <w:tcPr>
            <w:tcW w:w="1680" w:type="dxa"/>
            <w:vAlign w:val="bottom"/>
            <w:gridSpan w:val="2"/>
            <w:vMerge w:val="restart"/>
          </w:tcPr>
          <w:p>
            <w:pPr>
              <w:jc w:val="center"/>
              <w:ind w:right="780"/>
              <w:spacing w:after="0"/>
              <w:rPr>
                <w:sz w:val="20"/>
                <w:szCs w:val="20"/>
                <w:color w:val="auto"/>
              </w:rPr>
            </w:pPr>
            <w:r>
              <w:rPr>
                <w:rFonts w:ascii="Arial" w:cs="Arial" w:eastAsia="Arial" w:hAnsi="Arial"/>
                <w:sz w:val="14"/>
                <w:szCs w:val="14"/>
                <w:b w:val="1"/>
                <w:bCs w:val="1"/>
                <w:color w:val="auto"/>
                <w:w w:val="89"/>
              </w:rPr>
              <w:t>Value as of</w:t>
            </w:r>
          </w:p>
        </w:tc>
        <w:tc>
          <w:tcPr>
            <w:tcW w:w="1860" w:type="dxa"/>
            <w:vAlign w:val="bottom"/>
            <w:gridSpan w:val="2"/>
            <w:vMerge w:val="restart"/>
          </w:tcPr>
          <w:p>
            <w:pPr>
              <w:jc w:val="center"/>
              <w:ind w:right="840"/>
              <w:spacing w:after="0"/>
              <w:rPr>
                <w:sz w:val="20"/>
                <w:szCs w:val="20"/>
                <w:color w:val="auto"/>
              </w:rPr>
            </w:pPr>
            <w:r>
              <w:rPr>
                <w:rFonts w:ascii="Arial" w:cs="Arial" w:eastAsia="Arial" w:hAnsi="Arial"/>
                <w:sz w:val="14"/>
                <w:szCs w:val="14"/>
                <w:b w:val="1"/>
                <w:bCs w:val="1"/>
                <w:color w:val="auto"/>
                <w:w w:val="94"/>
              </w:rPr>
              <w:t>Stock Held as %</w:t>
            </w:r>
          </w:p>
        </w:tc>
        <w:tc>
          <w:tcPr>
            <w:tcW w:w="9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Years Subject</w:t>
            </w:r>
          </w:p>
        </w:tc>
        <w:tc>
          <w:tcPr>
            <w:tcW w:w="0" w:type="dxa"/>
            <w:vAlign w:val="bottom"/>
          </w:tcPr>
          <w:p>
            <w:pPr>
              <w:spacing w:after="0"/>
              <w:rPr>
                <w:sz w:val="1"/>
                <w:szCs w:val="1"/>
                <w:color w:val="auto"/>
              </w:rPr>
            </w:pPr>
          </w:p>
        </w:tc>
      </w:tr>
      <w:tr>
        <w:trPr>
          <w:trHeight w:val="149"/>
        </w:trPr>
        <w:tc>
          <w:tcPr>
            <w:tcW w:w="520" w:type="dxa"/>
            <w:vAlign w:val="bottom"/>
          </w:tcPr>
          <w:p>
            <w:pPr>
              <w:spacing w:after="0"/>
              <w:rPr>
                <w:sz w:val="12"/>
                <w:szCs w:val="12"/>
                <w:color w:val="auto"/>
              </w:rPr>
            </w:pPr>
          </w:p>
        </w:tc>
        <w:tc>
          <w:tcPr>
            <w:tcW w:w="3940" w:type="dxa"/>
            <w:vAlign w:val="bottom"/>
          </w:tcPr>
          <w:p>
            <w:pPr>
              <w:spacing w:after="0"/>
              <w:rPr>
                <w:sz w:val="12"/>
                <w:szCs w:val="12"/>
                <w:color w:val="auto"/>
              </w:rPr>
            </w:pPr>
          </w:p>
        </w:tc>
        <w:tc>
          <w:tcPr>
            <w:tcW w:w="1600" w:type="dxa"/>
            <w:vAlign w:val="bottom"/>
            <w:gridSpan w:val="2"/>
          </w:tcPr>
          <w:p>
            <w:pPr>
              <w:jc w:val="center"/>
              <w:ind w:right="780"/>
              <w:spacing w:after="0" w:line="149" w:lineRule="exact"/>
              <w:rPr>
                <w:sz w:val="20"/>
                <w:szCs w:val="20"/>
                <w:color w:val="auto"/>
              </w:rPr>
            </w:pPr>
            <w:r>
              <w:rPr>
                <w:rFonts w:ascii="Arial" w:cs="Arial" w:eastAsia="Arial" w:hAnsi="Arial"/>
                <w:sz w:val="14"/>
                <w:szCs w:val="14"/>
                <w:b w:val="1"/>
                <w:bCs w:val="1"/>
                <w:color w:val="auto"/>
                <w:w w:val="88"/>
              </w:rPr>
              <w:t>Shares/DSUs</w:t>
            </w:r>
          </w:p>
        </w:tc>
        <w:tc>
          <w:tcPr>
            <w:tcW w:w="1680" w:type="dxa"/>
            <w:vAlign w:val="bottom"/>
            <w:gridSpan w:val="2"/>
            <w:vMerge w:val="continue"/>
          </w:tcPr>
          <w:p>
            <w:pPr>
              <w:spacing w:after="0"/>
              <w:rPr>
                <w:sz w:val="12"/>
                <w:szCs w:val="12"/>
                <w:color w:val="auto"/>
              </w:rPr>
            </w:pPr>
          </w:p>
        </w:tc>
        <w:tc>
          <w:tcPr>
            <w:tcW w:w="1860" w:type="dxa"/>
            <w:vAlign w:val="bottom"/>
            <w:gridSpan w:val="2"/>
            <w:vMerge w:val="continue"/>
          </w:tcPr>
          <w:p>
            <w:pPr>
              <w:spacing w:after="0"/>
              <w:rPr>
                <w:sz w:val="12"/>
                <w:szCs w:val="12"/>
                <w:color w:val="auto"/>
              </w:rPr>
            </w:pPr>
          </w:p>
        </w:tc>
        <w:tc>
          <w:tcPr>
            <w:tcW w:w="9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4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Director</w:t>
            </w:r>
          </w:p>
        </w:tc>
        <w:tc>
          <w:tcPr>
            <w:tcW w:w="1600" w:type="dxa"/>
            <w:vAlign w:val="bottom"/>
            <w:gridSpan w:val="2"/>
          </w:tcPr>
          <w:p>
            <w:pPr>
              <w:jc w:val="center"/>
              <w:ind w:right="780"/>
              <w:spacing w:after="0" w:line="149" w:lineRule="exact"/>
              <w:rPr>
                <w:sz w:val="20"/>
                <w:szCs w:val="20"/>
                <w:color w:val="auto"/>
              </w:rPr>
            </w:pPr>
            <w:r>
              <w:rPr>
                <w:rFonts w:ascii="Arial" w:cs="Arial" w:eastAsia="Arial" w:hAnsi="Arial"/>
                <w:sz w:val="14"/>
                <w:szCs w:val="14"/>
                <w:b w:val="1"/>
                <w:bCs w:val="1"/>
                <w:color w:val="auto"/>
                <w:w w:val="98"/>
              </w:rPr>
              <w:t>Held</w:t>
            </w:r>
          </w:p>
        </w:tc>
        <w:tc>
          <w:tcPr>
            <w:tcW w:w="1680" w:type="dxa"/>
            <w:vAlign w:val="bottom"/>
            <w:gridSpan w:val="2"/>
          </w:tcPr>
          <w:p>
            <w:pPr>
              <w:jc w:val="center"/>
              <w:ind w:right="800"/>
              <w:spacing w:after="0" w:line="149" w:lineRule="exact"/>
              <w:rPr>
                <w:sz w:val="20"/>
                <w:szCs w:val="20"/>
                <w:color w:val="auto"/>
              </w:rPr>
            </w:pPr>
            <w:r>
              <w:rPr>
                <w:rFonts w:ascii="Arial" w:cs="Arial" w:eastAsia="Arial" w:hAnsi="Arial"/>
                <w:sz w:val="14"/>
                <w:szCs w:val="14"/>
                <w:b w:val="1"/>
                <w:bCs w:val="1"/>
                <w:color w:val="auto"/>
                <w:w w:val="95"/>
              </w:rPr>
              <w:t>March 1, 2017</w:t>
            </w:r>
          </w:p>
        </w:tc>
        <w:tc>
          <w:tcPr>
            <w:tcW w:w="1860" w:type="dxa"/>
            <w:vAlign w:val="bottom"/>
            <w:gridSpan w:val="2"/>
          </w:tcPr>
          <w:p>
            <w:pPr>
              <w:jc w:val="center"/>
              <w:ind w:right="860"/>
              <w:spacing w:after="0" w:line="149" w:lineRule="exact"/>
              <w:rPr>
                <w:sz w:val="20"/>
                <w:szCs w:val="20"/>
                <w:color w:val="auto"/>
              </w:rPr>
            </w:pPr>
            <w:r>
              <w:rPr>
                <w:rFonts w:ascii="Arial" w:cs="Arial" w:eastAsia="Arial" w:hAnsi="Arial"/>
                <w:sz w:val="14"/>
                <w:szCs w:val="14"/>
                <w:b w:val="1"/>
                <w:bCs w:val="1"/>
                <w:color w:val="auto"/>
                <w:w w:val="93"/>
              </w:rPr>
              <w:t>of Ownership</w:t>
            </w: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to Ownership</w:t>
            </w:r>
          </w:p>
        </w:tc>
        <w:tc>
          <w:tcPr>
            <w:tcW w:w="0" w:type="dxa"/>
            <w:vAlign w:val="bottom"/>
          </w:tcPr>
          <w:p>
            <w:pPr>
              <w:spacing w:after="0"/>
              <w:rPr>
                <w:sz w:val="1"/>
                <w:szCs w:val="1"/>
                <w:color w:val="auto"/>
              </w:rPr>
            </w:pPr>
          </w:p>
        </w:tc>
      </w:tr>
      <w:tr>
        <w:trPr>
          <w:trHeight w:val="171"/>
        </w:trPr>
        <w:tc>
          <w:tcPr>
            <w:tcW w:w="4460" w:type="dxa"/>
            <w:vAlign w:val="bottom"/>
            <w:gridSpan w:val="2"/>
            <w:vMerge w:val="continue"/>
          </w:tcPr>
          <w:p>
            <w:pPr>
              <w:spacing w:after="0"/>
              <w:rPr>
                <w:sz w:val="14"/>
                <w:szCs w:val="14"/>
                <w:color w:val="auto"/>
              </w:rPr>
            </w:pP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rPr>
              <w:t>(#)</w:t>
            </w:r>
          </w:p>
        </w:tc>
        <w:tc>
          <w:tcPr>
            <w:tcW w:w="780" w:type="dxa"/>
            <w:vAlign w:val="bottom"/>
          </w:tcPr>
          <w:p>
            <w:pPr>
              <w:spacing w:after="0"/>
              <w:rPr>
                <w:sz w:val="14"/>
                <w:szCs w:val="14"/>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w w:val="93"/>
              </w:rPr>
              <w:t>($)</w:t>
            </w:r>
          </w:p>
        </w:tc>
        <w:tc>
          <w:tcPr>
            <w:tcW w:w="800" w:type="dxa"/>
            <w:vAlign w:val="bottom"/>
          </w:tcPr>
          <w:p>
            <w:pPr>
              <w:spacing w:after="0"/>
              <w:rPr>
                <w:sz w:val="14"/>
                <w:szCs w:val="14"/>
                <w:color w:val="auto"/>
              </w:rPr>
            </w:pPr>
          </w:p>
        </w:tc>
        <w:tc>
          <w:tcPr>
            <w:tcW w:w="1860" w:type="dxa"/>
            <w:vAlign w:val="bottom"/>
            <w:gridSpan w:val="2"/>
          </w:tcPr>
          <w:p>
            <w:pPr>
              <w:jc w:val="center"/>
              <w:ind w:right="860"/>
              <w:spacing w:after="0"/>
              <w:rPr>
                <w:sz w:val="20"/>
                <w:szCs w:val="20"/>
                <w:color w:val="auto"/>
              </w:rPr>
            </w:pPr>
            <w:r>
              <w:rPr>
                <w:rFonts w:ascii="Arial" w:cs="Arial" w:eastAsia="Arial" w:hAnsi="Arial"/>
                <w:sz w:val="14"/>
                <w:szCs w:val="14"/>
                <w:b w:val="1"/>
                <w:bCs w:val="1"/>
                <w:color w:val="auto"/>
                <w:w w:val="93"/>
              </w:rPr>
              <w:t>Guideline</w:t>
            </w: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87"/>
              </w:rPr>
              <w:t>Policy</w:t>
            </w:r>
          </w:p>
        </w:tc>
        <w:tc>
          <w:tcPr>
            <w:tcW w:w="0" w:type="dxa"/>
            <w:vAlign w:val="bottom"/>
          </w:tcPr>
          <w:p>
            <w:pPr>
              <w:spacing w:after="0"/>
              <w:rPr>
                <w:sz w:val="1"/>
                <w:szCs w:val="1"/>
                <w:color w:val="auto"/>
              </w:rPr>
            </w:pPr>
          </w:p>
        </w:tc>
      </w:tr>
      <w:tr>
        <w:trPr>
          <w:trHeight w:val="20"/>
        </w:trPr>
        <w:tc>
          <w:tcPr>
            <w:tcW w:w="520" w:type="dxa"/>
            <w:vAlign w:val="bottom"/>
            <w:shd w:val="clear" w:color="auto" w:fill="000000"/>
          </w:tcPr>
          <w:p>
            <w:pPr>
              <w:spacing w:after="0" w:line="20" w:lineRule="exact"/>
              <w:rPr>
                <w:sz w:val="1"/>
                <w:szCs w:val="1"/>
                <w:color w:val="auto"/>
              </w:rPr>
            </w:pPr>
          </w:p>
        </w:tc>
        <w:tc>
          <w:tcPr>
            <w:tcW w:w="3940" w:type="dxa"/>
            <w:vAlign w:val="bottom"/>
            <w:vMerge w:val="restart"/>
            <w:shd w:val="clear" w:color="auto" w:fill="CCEEFF"/>
          </w:tcPr>
          <w:p>
            <w:pPr>
              <w:ind w:left="80"/>
              <w:spacing w:after="0"/>
              <w:rPr>
                <w:sz w:val="20"/>
                <w:szCs w:val="20"/>
                <w:color w:val="auto"/>
              </w:rPr>
            </w:pPr>
            <w:r>
              <w:rPr>
                <w:rFonts w:ascii="Arial" w:cs="Arial" w:eastAsia="Arial" w:hAnsi="Arial"/>
                <w:sz w:val="17"/>
                <w:szCs w:val="17"/>
                <w:color w:val="auto"/>
              </w:rPr>
              <w:t>H. Bolinder</w:t>
            </w:r>
          </w:p>
        </w:tc>
        <w:tc>
          <w:tcPr>
            <w:tcW w:w="820" w:type="dxa"/>
            <w:vAlign w:val="bottom"/>
            <w:shd w:val="clear" w:color="auto" w:fill="000000"/>
          </w:tcPr>
          <w:p>
            <w:pPr>
              <w:spacing w:after="0" w:line="20" w:lineRule="exact"/>
              <w:rPr>
                <w:sz w:val="1"/>
                <w:szCs w:val="1"/>
                <w:color w:val="auto"/>
              </w:rPr>
            </w:pPr>
          </w:p>
        </w:tc>
        <w:tc>
          <w:tcPr>
            <w:tcW w:w="780" w:type="dxa"/>
            <w:vAlign w:val="bottom"/>
            <w:vMerge w:val="restart"/>
            <w:shd w:val="clear" w:color="auto" w:fill="CCEEFF"/>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800" w:type="dxa"/>
            <w:vAlign w:val="bottom"/>
            <w:vMerge w:val="restart"/>
            <w:shd w:val="clear" w:color="auto" w:fill="CCEEFF"/>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840" w:type="dxa"/>
            <w:vAlign w:val="bottom"/>
            <w:shd w:val="clear" w:color="auto" w:fill="CCEEFF"/>
          </w:tcPr>
          <w:p>
            <w:pPr>
              <w:spacing w:after="0" w:line="20" w:lineRule="exact"/>
              <w:rPr>
                <w:sz w:val="1"/>
                <w:szCs w:val="1"/>
                <w:color w:val="auto"/>
              </w:rPr>
            </w:pPr>
          </w:p>
        </w:tc>
        <w:tc>
          <w:tcPr>
            <w:tcW w:w="900" w:type="dxa"/>
            <w:vAlign w:val="bottom"/>
            <w:tcBorders>
              <w:right w:val="single" w:sz="8" w:color="CCEEFF"/>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20" w:type="dxa"/>
            <w:vAlign w:val="bottom"/>
            <w:shd w:val="clear" w:color="auto" w:fill="CCEEFF"/>
          </w:tcPr>
          <w:p>
            <w:pPr>
              <w:spacing w:after="0"/>
              <w:rPr>
                <w:sz w:val="20"/>
                <w:szCs w:val="20"/>
                <w:color w:val="auto"/>
              </w:rPr>
            </w:pPr>
            <w:r>
              <w:rPr>
                <w:rFonts w:ascii="Arial" w:cs="Arial" w:eastAsia="Arial" w:hAnsi="Arial"/>
                <w:sz w:val="17"/>
                <w:szCs w:val="17"/>
                <w:color w:val="auto"/>
                <w:w w:val="91"/>
              </w:rPr>
              <w:t>William</w:t>
            </w:r>
          </w:p>
        </w:tc>
        <w:tc>
          <w:tcPr>
            <w:tcW w:w="3940" w:type="dxa"/>
            <w:vAlign w:val="bottom"/>
            <w:vMerge w:val="continue"/>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109,671</w:t>
            </w:r>
          </w:p>
        </w:tc>
        <w:tc>
          <w:tcPr>
            <w:tcW w:w="780" w:type="dxa"/>
            <w:vAlign w:val="bottom"/>
            <w:vMerge w:val="continue"/>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452,941</w:t>
            </w:r>
          </w:p>
        </w:tc>
        <w:tc>
          <w:tcPr>
            <w:tcW w:w="800" w:type="dxa"/>
            <w:vAlign w:val="bottom"/>
            <w:vMerge w:val="continue"/>
            <w:shd w:val="clear" w:color="auto" w:fill="CCEEFF"/>
          </w:tcPr>
          <w:p>
            <w:pPr>
              <w:spacing w:after="0"/>
              <w:rPr>
                <w:sz w:val="17"/>
                <w:szCs w:val="17"/>
                <w:color w:val="auto"/>
              </w:rPr>
            </w:pPr>
          </w:p>
        </w:tc>
        <w:tc>
          <w:tcPr>
            <w:tcW w:w="1860" w:type="dxa"/>
            <w:vAlign w:val="bottom"/>
            <w:gridSpan w:val="2"/>
            <w:shd w:val="clear" w:color="auto" w:fill="CCEEFF"/>
          </w:tcPr>
          <w:p>
            <w:pPr>
              <w:jc w:val="right"/>
              <w:ind w:right="700"/>
              <w:spacing w:after="0"/>
              <w:rPr>
                <w:sz w:val="20"/>
                <w:szCs w:val="20"/>
                <w:color w:val="auto"/>
              </w:rPr>
            </w:pPr>
            <w:r>
              <w:rPr>
                <w:rFonts w:ascii="Arial" w:cs="Arial" w:eastAsia="Arial" w:hAnsi="Arial"/>
                <w:sz w:val="17"/>
                <w:szCs w:val="17"/>
                <w:color w:val="auto"/>
              </w:rPr>
              <w:t>98%</w:t>
            </w: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6</w:t>
            </w:r>
          </w:p>
        </w:tc>
        <w:tc>
          <w:tcPr>
            <w:tcW w:w="0" w:type="dxa"/>
            <w:vAlign w:val="bottom"/>
          </w:tcPr>
          <w:p>
            <w:pPr>
              <w:spacing w:after="0"/>
              <w:rPr>
                <w:sz w:val="1"/>
                <w:szCs w:val="1"/>
                <w:color w:val="auto"/>
              </w:rPr>
            </w:pPr>
          </w:p>
        </w:tc>
      </w:tr>
      <w:tr>
        <w:trPr>
          <w:trHeight w:val="203"/>
        </w:trPr>
        <w:tc>
          <w:tcPr>
            <w:tcW w:w="4460" w:type="dxa"/>
            <w:vAlign w:val="bottom"/>
            <w:gridSpan w:val="2"/>
          </w:tcPr>
          <w:p>
            <w:pPr>
              <w:spacing w:after="0"/>
              <w:rPr>
                <w:sz w:val="20"/>
                <w:szCs w:val="20"/>
                <w:color w:val="auto"/>
              </w:rPr>
            </w:pPr>
            <w:r>
              <w:rPr>
                <w:rFonts w:ascii="Arial" w:cs="Arial" w:eastAsia="Arial" w:hAnsi="Arial"/>
                <w:sz w:val="17"/>
                <w:szCs w:val="17"/>
                <w:color w:val="auto"/>
              </w:rPr>
              <w:t>G. Kent Conrad</w:t>
            </w:r>
          </w:p>
        </w:tc>
        <w:tc>
          <w:tcPr>
            <w:tcW w:w="1600" w:type="dxa"/>
            <w:vAlign w:val="bottom"/>
            <w:gridSpan w:val="2"/>
          </w:tcPr>
          <w:p>
            <w:pPr>
              <w:jc w:val="right"/>
              <w:ind w:right="780"/>
              <w:spacing w:after="0"/>
              <w:rPr>
                <w:sz w:val="20"/>
                <w:szCs w:val="20"/>
                <w:color w:val="auto"/>
              </w:rPr>
            </w:pPr>
            <w:r>
              <w:rPr>
                <w:rFonts w:ascii="Arial" w:cs="Arial" w:eastAsia="Arial" w:hAnsi="Arial"/>
                <w:sz w:val="17"/>
                <w:szCs w:val="17"/>
                <w:color w:val="auto"/>
              </w:rPr>
              <w:t>72,832</w:t>
            </w:r>
          </w:p>
        </w:tc>
        <w:tc>
          <w:tcPr>
            <w:tcW w:w="1680" w:type="dxa"/>
            <w:vAlign w:val="bottom"/>
            <w:gridSpan w:val="2"/>
          </w:tcPr>
          <w:p>
            <w:pPr>
              <w:jc w:val="right"/>
              <w:ind w:right="800"/>
              <w:spacing w:after="0"/>
              <w:rPr>
                <w:sz w:val="20"/>
                <w:szCs w:val="20"/>
                <w:color w:val="auto"/>
              </w:rPr>
            </w:pPr>
            <w:r>
              <w:rPr>
                <w:rFonts w:ascii="Arial" w:cs="Arial" w:eastAsia="Arial" w:hAnsi="Arial"/>
                <w:sz w:val="17"/>
                <w:szCs w:val="17"/>
                <w:color w:val="auto"/>
              </w:rPr>
              <w:t>300,796</w:t>
            </w:r>
          </w:p>
        </w:tc>
        <w:tc>
          <w:tcPr>
            <w:tcW w:w="1860" w:type="dxa"/>
            <w:vAlign w:val="bottom"/>
            <w:gridSpan w:val="2"/>
          </w:tcPr>
          <w:p>
            <w:pPr>
              <w:jc w:val="right"/>
              <w:ind w:right="700"/>
              <w:spacing w:after="0"/>
              <w:rPr>
                <w:sz w:val="20"/>
                <w:szCs w:val="20"/>
                <w:color w:val="auto"/>
              </w:rPr>
            </w:pPr>
            <w:r>
              <w:rPr>
                <w:rFonts w:ascii="Arial" w:cs="Arial" w:eastAsia="Arial" w:hAnsi="Arial"/>
                <w:sz w:val="17"/>
                <w:szCs w:val="17"/>
                <w:color w:val="auto"/>
              </w:rPr>
              <w:t>65%</w:t>
            </w:r>
          </w:p>
        </w:tc>
        <w:tc>
          <w:tcPr>
            <w:tcW w:w="900" w:type="dxa"/>
            <w:vAlign w:val="bottom"/>
          </w:tcPr>
          <w:p>
            <w:pPr>
              <w:jc w:val="right"/>
              <w:spacing w:after="0"/>
              <w:rPr>
                <w:sz w:val="20"/>
                <w:szCs w:val="20"/>
                <w:color w:val="auto"/>
              </w:rPr>
            </w:pPr>
            <w:r>
              <w:rPr>
                <w:rFonts w:ascii="Arial" w:cs="Arial" w:eastAsia="Arial" w:hAnsi="Arial"/>
                <w:sz w:val="17"/>
                <w:szCs w:val="17"/>
                <w:color w:val="auto"/>
              </w:rPr>
              <w:t>4</w:t>
            </w:r>
          </w:p>
        </w:tc>
        <w:tc>
          <w:tcPr>
            <w:tcW w:w="0" w:type="dxa"/>
            <w:vAlign w:val="bottom"/>
          </w:tcPr>
          <w:p>
            <w:pPr>
              <w:spacing w:after="0"/>
              <w:rPr>
                <w:sz w:val="1"/>
                <w:szCs w:val="1"/>
                <w:color w:val="auto"/>
              </w:rPr>
            </w:pPr>
          </w:p>
        </w:tc>
      </w:tr>
      <w:tr>
        <w:trPr>
          <w:trHeight w:val="203"/>
        </w:trPr>
        <w:tc>
          <w:tcPr>
            <w:tcW w:w="446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Melina E. Higgins</w:t>
            </w:r>
          </w:p>
        </w:tc>
        <w:tc>
          <w:tcPr>
            <w:tcW w:w="1600" w:type="dxa"/>
            <w:vAlign w:val="bottom"/>
            <w:gridSpan w:val="2"/>
            <w:shd w:val="clear" w:color="auto" w:fill="CCEEFF"/>
          </w:tcPr>
          <w:p>
            <w:pPr>
              <w:jc w:val="right"/>
              <w:ind w:right="780"/>
              <w:spacing w:after="0"/>
              <w:rPr>
                <w:sz w:val="20"/>
                <w:szCs w:val="20"/>
                <w:color w:val="auto"/>
              </w:rPr>
            </w:pPr>
            <w:r>
              <w:rPr>
                <w:rFonts w:ascii="Arial" w:cs="Arial" w:eastAsia="Arial" w:hAnsi="Arial"/>
                <w:sz w:val="17"/>
                <w:szCs w:val="17"/>
                <w:color w:val="auto"/>
              </w:rPr>
              <w:t>67,837</w:t>
            </w:r>
          </w:p>
        </w:tc>
        <w:tc>
          <w:tcPr>
            <w:tcW w:w="1680" w:type="dxa"/>
            <w:vAlign w:val="bottom"/>
            <w:gridSpan w:val="2"/>
            <w:shd w:val="clear" w:color="auto" w:fill="CCEEFF"/>
          </w:tcPr>
          <w:p>
            <w:pPr>
              <w:jc w:val="right"/>
              <w:ind w:right="800"/>
              <w:spacing w:after="0"/>
              <w:rPr>
                <w:sz w:val="20"/>
                <w:szCs w:val="20"/>
                <w:color w:val="auto"/>
              </w:rPr>
            </w:pPr>
            <w:r>
              <w:rPr>
                <w:rFonts w:ascii="Arial" w:cs="Arial" w:eastAsia="Arial" w:hAnsi="Arial"/>
                <w:sz w:val="17"/>
                <w:szCs w:val="17"/>
                <w:color w:val="auto"/>
              </w:rPr>
              <w:t>280,167</w:t>
            </w:r>
          </w:p>
        </w:tc>
        <w:tc>
          <w:tcPr>
            <w:tcW w:w="1860" w:type="dxa"/>
            <w:vAlign w:val="bottom"/>
            <w:gridSpan w:val="2"/>
            <w:shd w:val="clear" w:color="auto" w:fill="CCEEFF"/>
          </w:tcPr>
          <w:p>
            <w:pPr>
              <w:jc w:val="right"/>
              <w:ind w:right="700"/>
              <w:spacing w:after="0"/>
              <w:rPr>
                <w:sz w:val="20"/>
                <w:szCs w:val="20"/>
                <w:color w:val="auto"/>
              </w:rPr>
            </w:pPr>
            <w:r>
              <w:rPr>
                <w:rFonts w:ascii="Arial" w:cs="Arial" w:eastAsia="Arial" w:hAnsi="Arial"/>
                <w:sz w:val="17"/>
                <w:szCs w:val="17"/>
                <w:color w:val="auto"/>
              </w:rPr>
              <w:t>61%</w:t>
            </w: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w:t>
            </w:r>
          </w:p>
        </w:tc>
        <w:tc>
          <w:tcPr>
            <w:tcW w:w="0" w:type="dxa"/>
            <w:vAlign w:val="bottom"/>
          </w:tcPr>
          <w:p>
            <w:pPr>
              <w:spacing w:after="0"/>
              <w:rPr>
                <w:sz w:val="1"/>
                <w:szCs w:val="1"/>
                <w:color w:val="auto"/>
              </w:rPr>
            </w:pPr>
          </w:p>
        </w:tc>
      </w:tr>
      <w:tr>
        <w:trPr>
          <w:trHeight w:val="203"/>
        </w:trPr>
        <w:tc>
          <w:tcPr>
            <w:tcW w:w="4460" w:type="dxa"/>
            <w:vAlign w:val="bottom"/>
            <w:gridSpan w:val="2"/>
          </w:tcPr>
          <w:p>
            <w:pPr>
              <w:spacing w:after="0"/>
              <w:rPr>
                <w:sz w:val="20"/>
                <w:szCs w:val="20"/>
                <w:color w:val="auto"/>
              </w:rPr>
            </w:pPr>
            <w:r>
              <w:rPr>
                <w:rFonts w:ascii="Arial" w:cs="Arial" w:eastAsia="Arial" w:hAnsi="Arial"/>
                <w:sz w:val="17"/>
                <w:szCs w:val="17"/>
                <w:color w:val="auto"/>
              </w:rPr>
              <w:t>David M. Moffett</w:t>
            </w:r>
          </w:p>
        </w:tc>
        <w:tc>
          <w:tcPr>
            <w:tcW w:w="1600" w:type="dxa"/>
            <w:vAlign w:val="bottom"/>
            <w:gridSpan w:val="2"/>
          </w:tcPr>
          <w:p>
            <w:pPr>
              <w:jc w:val="right"/>
              <w:ind w:right="780"/>
              <w:spacing w:after="0"/>
              <w:rPr>
                <w:sz w:val="20"/>
                <w:szCs w:val="20"/>
                <w:color w:val="auto"/>
              </w:rPr>
            </w:pPr>
            <w:r>
              <w:rPr>
                <w:rFonts w:ascii="Arial" w:cs="Arial" w:eastAsia="Arial" w:hAnsi="Arial"/>
                <w:sz w:val="17"/>
                <w:szCs w:val="17"/>
                <w:color w:val="auto"/>
              </w:rPr>
              <w:t>81,725</w:t>
            </w:r>
          </w:p>
        </w:tc>
        <w:tc>
          <w:tcPr>
            <w:tcW w:w="1680" w:type="dxa"/>
            <w:vAlign w:val="bottom"/>
            <w:gridSpan w:val="2"/>
          </w:tcPr>
          <w:p>
            <w:pPr>
              <w:jc w:val="right"/>
              <w:ind w:right="800"/>
              <w:spacing w:after="0"/>
              <w:rPr>
                <w:sz w:val="20"/>
                <w:szCs w:val="20"/>
                <w:color w:val="auto"/>
              </w:rPr>
            </w:pPr>
            <w:r>
              <w:rPr>
                <w:rFonts w:ascii="Arial" w:cs="Arial" w:eastAsia="Arial" w:hAnsi="Arial"/>
                <w:sz w:val="17"/>
                <w:szCs w:val="17"/>
                <w:color w:val="auto"/>
              </w:rPr>
              <w:t>337,524</w:t>
            </w:r>
          </w:p>
        </w:tc>
        <w:tc>
          <w:tcPr>
            <w:tcW w:w="1860" w:type="dxa"/>
            <w:vAlign w:val="bottom"/>
            <w:gridSpan w:val="2"/>
          </w:tcPr>
          <w:p>
            <w:pPr>
              <w:jc w:val="right"/>
              <w:ind w:right="700"/>
              <w:spacing w:after="0"/>
              <w:rPr>
                <w:sz w:val="20"/>
                <w:szCs w:val="20"/>
                <w:color w:val="auto"/>
              </w:rPr>
            </w:pPr>
            <w:r>
              <w:rPr>
                <w:rFonts w:ascii="Arial" w:cs="Arial" w:eastAsia="Arial" w:hAnsi="Arial"/>
                <w:sz w:val="17"/>
                <w:szCs w:val="17"/>
                <w:color w:val="auto"/>
              </w:rPr>
              <w:t>73%</w:t>
            </w:r>
          </w:p>
        </w:tc>
        <w:tc>
          <w:tcPr>
            <w:tcW w:w="900" w:type="dxa"/>
            <w:vAlign w:val="bottom"/>
          </w:tcPr>
          <w:p>
            <w:pPr>
              <w:jc w:val="right"/>
              <w:spacing w:after="0"/>
              <w:rPr>
                <w:sz w:val="20"/>
                <w:szCs w:val="20"/>
                <w:color w:val="auto"/>
              </w:rPr>
            </w:pPr>
            <w:r>
              <w:rPr>
                <w:rFonts w:ascii="Arial" w:cs="Arial" w:eastAsia="Arial" w:hAnsi="Arial"/>
                <w:sz w:val="17"/>
                <w:szCs w:val="17"/>
                <w:color w:val="auto"/>
              </w:rPr>
              <w:t>4</w:t>
            </w:r>
          </w:p>
        </w:tc>
        <w:tc>
          <w:tcPr>
            <w:tcW w:w="0" w:type="dxa"/>
            <w:vAlign w:val="bottom"/>
          </w:tcPr>
          <w:p>
            <w:pPr>
              <w:spacing w:after="0"/>
              <w:rPr>
                <w:sz w:val="1"/>
                <w:szCs w:val="1"/>
                <w:color w:val="auto"/>
              </w:rPr>
            </w:pPr>
          </w:p>
        </w:tc>
      </w:tr>
      <w:tr>
        <w:trPr>
          <w:trHeight w:val="203"/>
        </w:trPr>
        <w:tc>
          <w:tcPr>
            <w:tcW w:w="446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Thomas E. Moloney</w:t>
            </w:r>
          </w:p>
        </w:tc>
        <w:tc>
          <w:tcPr>
            <w:tcW w:w="1600" w:type="dxa"/>
            <w:vAlign w:val="bottom"/>
            <w:gridSpan w:val="2"/>
            <w:shd w:val="clear" w:color="auto" w:fill="CCEEFF"/>
          </w:tcPr>
          <w:p>
            <w:pPr>
              <w:jc w:val="right"/>
              <w:ind w:right="780"/>
              <w:spacing w:after="0"/>
              <w:rPr>
                <w:sz w:val="20"/>
                <w:szCs w:val="20"/>
                <w:color w:val="auto"/>
              </w:rPr>
            </w:pPr>
            <w:r>
              <w:rPr>
                <w:rFonts w:ascii="Arial" w:cs="Arial" w:eastAsia="Arial" w:hAnsi="Arial"/>
                <w:sz w:val="17"/>
                <w:szCs w:val="17"/>
                <w:color w:val="auto"/>
              </w:rPr>
              <w:t>117,415</w:t>
            </w:r>
          </w:p>
        </w:tc>
        <w:tc>
          <w:tcPr>
            <w:tcW w:w="1680" w:type="dxa"/>
            <w:vAlign w:val="bottom"/>
            <w:gridSpan w:val="2"/>
            <w:shd w:val="clear" w:color="auto" w:fill="CCEEFF"/>
          </w:tcPr>
          <w:p>
            <w:pPr>
              <w:jc w:val="right"/>
              <w:ind w:right="800"/>
              <w:spacing w:after="0"/>
              <w:rPr>
                <w:sz w:val="20"/>
                <w:szCs w:val="20"/>
                <w:color w:val="auto"/>
              </w:rPr>
            </w:pPr>
            <w:r>
              <w:rPr>
                <w:rFonts w:ascii="Arial" w:cs="Arial" w:eastAsia="Arial" w:hAnsi="Arial"/>
                <w:sz w:val="17"/>
                <w:szCs w:val="17"/>
                <w:color w:val="auto"/>
              </w:rPr>
              <w:t>484,924</w:t>
            </w:r>
          </w:p>
        </w:tc>
        <w:tc>
          <w:tcPr>
            <w:tcW w:w="1860" w:type="dxa"/>
            <w:vAlign w:val="bottom"/>
            <w:gridSpan w:val="2"/>
            <w:shd w:val="clear" w:color="auto" w:fill="CCEEFF"/>
          </w:tcPr>
          <w:p>
            <w:pPr>
              <w:jc w:val="right"/>
              <w:ind w:right="700"/>
              <w:spacing w:after="0"/>
              <w:rPr>
                <w:sz w:val="20"/>
                <w:szCs w:val="20"/>
                <w:color w:val="auto"/>
              </w:rPr>
            </w:pPr>
            <w:r>
              <w:rPr>
                <w:rFonts w:ascii="Arial" w:cs="Arial" w:eastAsia="Arial" w:hAnsi="Arial"/>
                <w:sz w:val="17"/>
                <w:szCs w:val="17"/>
                <w:color w:val="auto"/>
              </w:rPr>
              <w:t>&gt; 100%</w:t>
            </w: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7</w:t>
            </w:r>
          </w:p>
        </w:tc>
        <w:tc>
          <w:tcPr>
            <w:tcW w:w="0" w:type="dxa"/>
            <w:vAlign w:val="bottom"/>
          </w:tcPr>
          <w:p>
            <w:pPr>
              <w:spacing w:after="0"/>
              <w:rPr>
                <w:sz w:val="1"/>
                <w:szCs w:val="1"/>
                <w:color w:val="auto"/>
              </w:rPr>
            </w:pPr>
          </w:p>
        </w:tc>
      </w:tr>
      <w:tr>
        <w:trPr>
          <w:trHeight w:val="203"/>
        </w:trPr>
        <w:tc>
          <w:tcPr>
            <w:tcW w:w="4460" w:type="dxa"/>
            <w:vAlign w:val="bottom"/>
            <w:gridSpan w:val="2"/>
          </w:tcPr>
          <w:p>
            <w:pPr>
              <w:spacing w:after="0"/>
              <w:rPr>
                <w:sz w:val="20"/>
                <w:szCs w:val="20"/>
                <w:color w:val="auto"/>
              </w:rPr>
            </w:pPr>
            <w:r>
              <w:rPr>
                <w:rFonts w:ascii="Arial" w:cs="Arial" w:eastAsia="Arial" w:hAnsi="Arial"/>
                <w:sz w:val="17"/>
                <w:szCs w:val="17"/>
                <w:color w:val="auto"/>
              </w:rPr>
              <w:t xml:space="preserve">James A. Parke </w:t>
            </w:r>
            <w:r>
              <w:rPr>
                <w:rFonts w:ascii="Arial" w:cs="Arial" w:eastAsia="Arial" w:hAnsi="Arial"/>
                <w:sz w:val="14"/>
                <w:szCs w:val="14"/>
                <w:color w:val="auto"/>
              </w:rPr>
              <w:t>(1)</w:t>
            </w:r>
          </w:p>
        </w:tc>
        <w:tc>
          <w:tcPr>
            <w:tcW w:w="1600" w:type="dxa"/>
            <w:vAlign w:val="bottom"/>
            <w:gridSpan w:val="2"/>
          </w:tcPr>
          <w:p>
            <w:pPr>
              <w:jc w:val="right"/>
              <w:ind w:right="780"/>
              <w:spacing w:after="0"/>
              <w:rPr>
                <w:sz w:val="20"/>
                <w:szCs w:val="20"/>
                <w:color w:val="auto"/>
              </w:rPr>
            </w:pPr>
            <w:r>
              <w:rPr>
                <w:rFonts w:ascii="Arial" w:cs="Arial" w:eastAsia="Arial" w:hAnsi="Arial"/>
                <w:sz w:val="17"/>
                <w:szCs w:val="17"/>
                <w:color w:val="auto"/>
              </w:rPr>
              <w:t>212,302</w:t>
            </w:r>
          </w:p>
        </w:tc>
        <w:tc>
          <w:tcPr>
            <w:tcW w:w="1680" w:type="dxa"/>
            <w:vAlign w:val="bottom"/>
            <w:gridSpan w:val="2"/>
          </w:tcPr>
          <w:p>
            <w:pPr>
              <w:jc w:val="right"/>
              <w:ind w:right="800"/>
              <w:spacing w:after="0"/>
              <w:rPr>
                <w:sz w:val="20"/>
                <w:szCs w:val="20"/>
                <w:color w:val="auto"/>
              </w:rPr>
            </w:pPr>
            <w:r>
              <w:rPr>
                <w:rFonts w:ascii="Arial" w:cs="Arial" w:eastAsia="Arial" w:hAnsi="Arial"/>
                <w:sz w:val="17"/>
                <w:szCs w:val="17"/>
                <w:color w:val="auto"/>
              </w:rPr>
              <w:t>876,807</w:t>
            </w:r>
          </w:p>
        </w:tc>
        <w:tc>
          <w:tcPr>
            <w:tcW w:w="1860" w:type="dxa"/>
            <w:vAlign w:val="bottom"/>
            <w:gridSpan w:val="2"/>
          </w:tcPr>
          <w:p>
            <w:pPr>
              <w:jc w:val="right"/>
              <w:ind w:right="700"/>
              <w:spacing w:after="0"/>
              <w:rPr>
                <w:sz w:val="20"/>
                <w:szCs w:val="20"/>
                <w:color w:val="auto"/>
              </w:rPr>
            </w:pPr>
            <w:r>
              <w:rPr>
                <w:rFonts w:ascii="Arial" w:cs="Arial" w:eastAsia="Arial" w:hAnsi="Arial"/>
                <w:sz w:val="17"/>
                <w:szCs w:val="17"/>
                <w:color w:val="auto"/>
              </w:rPr>
              <w:t>&gt; 100%</w:t>
            </w:r>
          </w:p>
        </w:tc>
        <w:tc>
          <w:tcPr>
            <w:tcW w:w="900" w:type="dxa"/>
            <w:vAlign w:val="bottom"/>
          </w:tcPr>
          <w:p>
            <w:pPr>
              <w:jc w:val="right"/>
              <w:spacing w:after="0"/>
              <w:rPr>
                <w:sz w:val="20"/>
                <w:szCs w:val="20"/>
                <w:color w:val="auto"/>
              </w:rPr>
            </w:pPr>
            <w:r>
              <w:rPr>
                <w:rFonts w:ascii="Arial" w:cs="Arial" w:eastAsia="Arial" w:hAnsi="Arial"/>
                <w:sz w:val="17"/>
                <w:szCs w:val="17"/>
                <w:color w:val="auto"/>
              </w:rPr>
              <w:t>10</w:t>
            </w:r>
          </w:p>
        </w:tc>
        <w:tc>
          <w:tcPr>
            <w:tcW w:w="0" w:type="dxa"/>
            <w:vAlign w:val="bottom"/>
          </w:tcPr>
          <w:p>
            <w:pPr>
              <w:spacing w:after="0"/>
              <w:rPr>
                <w:sz w:val="1"/>
                <w:szCs w:val="1"/>
                <w:color w:val="auto"/>
              </w:rPr>
            </w:pPr>
          </w:p>
        </w:tc>
      </w:tr>
      <w:tr>
        <w:trPr>
          <w:trHeight w:val="203"/>
        </w:trPr>
        <w:tc>
          <w:tcPr>
            <w:tcW w:w="446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Debra J. Perry</w:t>
            </w:r>
          </w:p>
        </w:tc>
        <w:tc>
          <w:tcPr>
            <w:tcW w:w="1600" w:type="dxa"/>
            <w:vAlign w:val="bottom"/>
            <w:gridSpan w:val="2"/>
            <w:shd w:val="clear" w:color="auto" w:fill="CCEEFF"/>
          </w:tcPr>
          <w:p>
            <w:pPr>
              <w:jc w:val="right"/>
              <w:ind w:right="780"/>
              <w:spacing w:after="0"/>
              <w:rPr>
                <w:sz w:val="20"/>
                <w:szCs w:val="20"/>
                <w:color w:val="auto"/>
              </w:rPr>
            </w:pPr>
            <w:r>
              <w:rPr>
                <w:rFonts w:ascii="Arial" w:cs="Arial" w:eastAsia="Arial" w:hAnsi="Arial"/>
                <w:sz w:val="17"/>
                <w:szCs w:val="17"/>
                <w:color w:val="auto"/>
              </w:rPr>
              <w:t>1,403</w:t>
            </w:r>
          </w:p>
        </w:tc>
        <w:tc>
          <w:tcPr>
            <w:tcW w:w="1680" w:type="dxa"/>
            <w:vAlign w:val="bottom"/>
            <w:gridSpan w:val="2"/>
            <w:shd w:val="clear" w:color="auto" w:fill="CCEEFF"/>
          </w:tcPr>
          <w:p>
            <w:pPr>
              <w:jc w:val="right"/>
              <w:ind w:right="800"/>
              <w:spacing w:after="0"/>
              <w:rPr>
                <w:sz w:val="20"/>
                <w:szCs w:val="20"/>
                <w:color w:val="auto"/>
              </w:rPr>
            </w:pPr>
            <w:r>
              <w:rPr>
                <w:rFonts w:ascii="Arial" w:cs="Arial" w:eastAsia="Arial" w:hAnsi="Arial"/>
                <w:sz w:val="17"/>
                <w:szCs w:val="17"/>
                <w:color w:val="auto"/>
              </w:rPr>
              <w:t>5,794</w:t>
            </w:r>
          </w:p>
        </w:tc>
        <w:tc>
          <w:tcPr>
            <w:tcW w:w="1860" w:type="dxa"/>
            <w:vAlign w:val="bottom"/>
            <w:gridSpan w:val="2"/>
            <w:shd w:val="clear" w:color="auto" w:fill="CCEEFF"/>
          </w:tcPr>
          <w:p>
            <w:pPr>
              <w:jc w:val="right"/>
              <w:ind w:right="700"/>
              <w:spacing w:after="0"/>
              <w:rPr>
                <w:sz w:val="20"/>
                <w:szCs w:val="20"/>
                <w:color w:val="auto"/>
              </w:rPr>
            </w:pPr>
            <w:r>
              <w:rPr>
                <w:rFonts w:ascii="Arial" w:cs="Arial" w:eastAsia="Arial" w:hAnsi="Arial"/>
                <w:sz w:val="17"/>
                <w:szCs w:val="17"/>
                <w:color w:val="auto"/>
              </w:rPr>
              <w:t>1%</w:t>
            </w: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03"/>
        </w:trPr>
        <w:tc>
          <w:tcPr>
            <w:tcW w:w="4460" w:type="dxa"/>
            <w:vAlign w:val="bottom"/>
            <w:gridSpan w:val="2"/>
          </w:tcPr>
          <w:p>
            <w:pPr>
              <w:spacing w:after="0"/>
              <w:rPr>
                <w:sz w:val="20"/>
                <w:szCs w:val="20"/>
                <w:color w:val="auto"/>
              </w:rPr>
            </w:pPr>
            <w:r>
              <w:rPr>
                <w:rFonts w:ascii="Arial" w:cs="Arial" w:eastAsia="Arial" w:hAnsi="Arial"/>
                <w:sz w:val="17"/>
                <w:szCs w:val="17"/>
                <w:color w:val="auto"/>
              </w:rPr>
              <w:t>Robert P. Restrepo Jr.</w:t>
            </w:r>
          </w:p>
        </w:tc>
        <w:tc>
          <w:tcPr>
            <w:tcW w:w="1600" w:type="dxa"/>
            <w:vAlign w:val="bottom"/>
            <w:gridSpan w:val="2"/>
          </w:tcPr>
          <w:p>
            <w:pPr>
              <w:jc w:val="right"/>
              <w:ind w:right="780"/>
              <w:spacing w:after="0"/>
              <w:rPr>
                <w:sz w:val="20"/>
                <w:szCs w:val="20"/>
                <w:color w:val="auto"/>
              </w:rPr>
            </w:pPr>
            <w:r>
              <w:rPr>
                <w:rFonts w:ascii="Arial" w:cs="Arial" w:eastAsia="Arial" w:hAnsi="Arial"/>
                <w:sz w:val="17"/>
                <w:szCs w:val="17"/>
                <w:color w:val="auto"/>
              </w:rPr>
              <w:t>1,403</w:t>
            </w:r>
          </w:p>
        </w:tc>
        <w:tc>
          <w:tcPr>
            <w:tcW w:w="1680" w:type="dxa"/>
            <w:vAlign w:val="bottom"/>
            <w:gridSpan w:val="2"/>
          </w:tcPr>
          <w:p>
            <w:pPr>
              <w:jc w:val="right"/>
              <w:ind w:right="800"/>
              <w:spacing w:after="0"/>
              <w:rPr>
                <w:sz w:val="20"/>
                <w:szCs w:val="20"/>
                <w:color w:val="auto"/>
              </w:rPr>
            </w:pPr>
            <w:r>
              <w:rPr>
                <w:rFonts w:ascii="Arial" w:cs="Arial" w:eastAsia="Arial" w:hAnsi="Arial"/>
                <w:sz w:val="17"/>
                <w:szCs w:val="17"/>
                <w:color w:val="auto"/>
              </w:rPr>
              <w:t>5,794</w:t>
            </w:r>
          </w:p>
        </w:tc>
        <w:tc>
          <w:tcPr>
            <w:tcW w:w="1860" w:type="dxa"/>
            <w:vAlign w:val="bottom"/>
            <w:gridSpan w:val="2"/>
          </w:tcPr>
          <w:p>
            <w:pPr>
              <w:jc w:val="right"/>
              <w:ind w:right="700"/>
              <w:spacing w:after="0"/>
              <w:rPr>
                <w:sz w:val="20"/>
                <w:szCs w:val="20"/>
                <w:color w:val="auto"/>
              </w:rPr>
            </w:pPr>
            <w:r>
              <w:rPr>
                <w:rFonts w:ascii="Arial" w:cs="Arial" w:eastAsia="Arial" w:hAnsi="Arial"/>
                <w:sz w:val="17"/>
                <w:szCs w:val="17"/>
                <w:color w:val="auto"/>
              </w:rPr>
              <w:t>1%</w:t>
            </w:r>
          </w:p>
        </w:tc>
        <w:tc>
          <w:tcPr>
            <w:tcW w:w="90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03"/>
        </w:trPr>
        <w:tc>
          <w:tcPr>
            <w:tcW w:w="446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James S. Riepe</w:t>
            </w:r>
          </w:p>
        </w:tc>
        <w:tc>
          <w:tcPr>
            <w:tcW w:w="1600" w:type="dxa"/>
            <w:vAlign w:val="bottom"/>
            <w:gridSpan w:val="2"/>
            <w:shd w:val="clear" w:color="auto" w:fill="CCEEFF"/>
          </w:tcPr>
          <w:p>
            <w:pPr>
              <w:jc w:val="right"/>
              <w:ind w:right="780"/>
              <w:spacing w:after="0"/>
              <w:rPr>
                <w:sz w:val="20"/>
                <w:szCs w:val="20"/>
                <w:color w:val="auto"/>
              </w:rPr>
            </w:pPr>
            <w:r>
              <w:rPr>
                <w:rFonts w:ascii="Arial" w:cs="Arial" w:eastAsia="Arial" w:hAnsi="Arial"/>
                <w:sz w:val="17"/>
                <w:szCs w:val="17"/>
                <w:color w:val="auto"/>
              </w:rPr>
              <w:t>237,055</w:t>
            </w:r>
          </w:p>
        </w:tc>
        <w:tc>
          <w:tcPr>
            <w:tcW w:w="1680" w:type="dxa"/>
            <w:vAlign w:val="bottom"/>
            <w:gridSpan w:val="2"/>
            <w:shd w:val="clear" w:color="auto" w:fill="CCEEFF"/>
          </w:tcPr>
          <w:p>
            <w:pPr>
              <w:jc w:val="right"/>
              <w:ind w:right="800"/>
              <w:spacing w:after="0"/>
              <w:rPr>
                <w:sz w:val="20"/>
                <w:szCs w:val="20"/>
                <w:color w:val="auto"/>
              </w:rPr>
            </w:pPr>
            <w:r>
              <w:rPr>
                <w:rFonts w:ascii="Arial" w:cs="Arial" w:eastAsia="Arial" w:hAnsi="Arial"/>
                <w:sz w:val="17"/>
                <w:szCs w:val="17"/>
                <w:color w:val="auto"/>
              </w:rPr>
              <w:t>979,037</w:t>
            </w:r>
          </w:p>
        </w:tc>
        <w:tc>
          <w:tcPr>
            <w:tcW w:w="1860" w:type="dxa"/>
            <w:vAlign w:val="bottom"/>
            <w:gridSpan w:val="2"/>
            <w:shd w:val="clear" w:color="auto" w:fill="CCEEFF"/>
          </w:tcPr>
          <w:p>
            <w:pPr>
              <w:jc w:val="right"/>
              <w:ind w:right="700"/>
              <w:spacing w:after="0"/>
              <w:rPr>
                <w:sz w:val="20"/>
                <w:szCs w:val="20"/>
                <w:color w:val="auto"/>
              </w:rPr>
            </w:pPr>
            <w:r>
              <w:rPr>
                <w:rFonts w:ascii="Arial" w:cs="Arial" w:eastAsia="Arial" w:hAnsi="Arial"/>
                <w:sz w:val="17"/>
                <w:szCs w:val="17"/>
                <w:color w:val="auto"/>
              </w:rPr>
              <w:t>&gt; 100%</w:t>
            </w: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10</w:t>
            </w:r>
          </w:p>
        </w:tc>
        <w:tc>
          <w:tcPr>
            <w:tcW w:w="0" w:type="dxa"/>
            <w:vAlign w:val="bottom"/>
          </w:tcPr>
          <w:p>
            <w:pPr>
              <w:spacing w:after="0"/>
              <w:rPr>
                <w:sz w:val="1"/>
                <w:szCs w:val="1"/>
                <w:color w:val="auto"/>
              </w:rPr>
            </w:pPr>
          </w:p>
        </w:tc>
      </w:tr>
    </w:tbl>
    <w:p>
      <w:pPr>
        <w:spacing w:after="0" w:line="13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20"/>
          </w:cols>
          <w:pgMar w:left="240" w:top="459" w:right="23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291465</wp:posOffset>
            </wp:positionV>
            <wp:extent cx="72898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460" w:right="380" w:hanging="452"/>
        <w:spacing w:after="0" w:line="342" w:lineRule="auto"/>
        <w:tabs>
          <w:tab w:leader="none" w:pos="460" w:val="left"/>
        </w:tabs>
        <w:numPr>
          <w:ilvl w:val="0"/>
          <w:numId w:val="69"/>
        </w:numPr>
        <w:rPr>
          <w:rFonts w:ascii="Arial" w:cs="Arial" w:eastAsia="Arial" w:hAnsi="Arial"/>
          <w:sz w:val="14"/>
          <w:szCs w:val="14"/>
          <w:color w:val="auto"/>
        </w:rPr>
      </w:pPr>
      <w:r>
        <w:rPr>
          <w:rFonts w:ascii="Arial" w:cs="Arial" w:eastAsia="Arial" w:hAnsi="Arial"/>
          <w:sz w:val="16"/>
          <w:szCs w:val="16"/>
          <w:color w:val="auto"/>
        </w:rPr>
        <w:t>Mr. Parke has served on our Board of Directors since 2004 but was first elected to our Board of Directors by the holders of the company’s Class A Common Stock in May 2006. At such time, Mr. Parke became a non-management director and subject to the director stock ownership policy.</w:t>
      </w:r>
    </w:p>
    <w:p>
      <w:pPr>
        <w:spacing w:after="0" w:line="268" w:lineRule="exact"/>
        <w:rPr>
          <w:sz w:val="20"/>
          <w:szCs w:val="20"/>
          <w:color w:val="auto"/>
        </w:rPr>
      </w:pPr>
    </w:p>
    <w:p>
      <w:pPr>
        <w:ind w:right="2300"/>
        <w:spacing w:after="0" w:line="377" w:lineRule="auto"/>
        <w:rPr>
          <w:sz w:val="20"/>
          <w:szCs w:val="20"/>
          <w:color w:val="auto"/>
        </w:rPr>
      </w:pPr>
      <w:r>
        <w:rPr>
          <w:rFonts w:ascii="Arial" w:cs="Arial" w:eastAsia="Arial" w:hAnsi="Arial"/>
          <w:sz w:val="18"/>
          <w:szCs w:val="18"/>
          <w:b w:val="1"/>
          <w:bCs w:val="1"/>
          <w:color w:val="auto"/>
        </w:rPr>
        <w:t>Item 12. Security Ownership of Certain Beneficial Owners and Management and Related Stockholder Matters INFORMATION RELATING TO DIRECTORS, EXECUTIVE OFFICERS AND SIGNIFICANT STOCKHOLDERS Ownership of Genworth Common Stock</w:t>
      </w:r>
    </w:p>
    <w:p>
      <w:pPr>
        <w:spacing w:after="0" w:line="1"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The following table sets forth information as of March 1, 2017, except as indicated in the footnotes to the table, regarding the beneficial ownership of our common stock by:</w:t>
      </w:r>
    </w:p>
    <w:p>
      <w:pPr>
        <w:spacing w:after="0" w:line="76" w:lineRule="exact"/>
        <w:rPr>
          <w:sz w:val="20"/>
          <w:szCs w:val="20"/>
          <w:color w:val="auto"/>
        </w:rPr>
      </w:pPr>
    </w:p>
    <w:p>
      <w:pPr>
        <w:ind w:left="900" w:right="120" w:hanging="325"/>
        <w:spacing w:after="0" w:line="277" w:lineRule="auto"/>
        <w:tabs>
          <w:tab w:leader="none" w:pos="900" w:val="left"/>
        </w:tabs>
        <w:numPr>
          <w:ilvl w:val="0"/>
          <w:numId w:val="70"/>
        </w:numPr>
        <w:rPr>
          <w:rFonts w:ascii="Arial" w:cs="Arial" w:eastAsia="Arial" w:hAnsi="Arial"/>
          <w:sz w:val="18"/>
          <w:szCs w:val="18"/>
          <w:color w:val="auto"/>
        </w:rPr>
      </w:pPr>
      <w:r>
        <w:rPr>
          <w:rFonts w:ascii="Arial" w:cs="Arial" w:eastAsia="Arial" w:hAnsi="Arial"/>
          <w:sz w:val="18"/>
          <w:szCs w:val="18"/>
          <w:color w:val="auto"/>
        </w:rPr>
        <w:t>all persons (including any “group” as that term is used in Section 13(d)(3) of the Exchange Act) known by us to own beneficially more than 5% of any class of our common stock (based on the most recently available information filed with the SEC);</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70"/>
        </w:numPr>
        <w:rPr>
          <w:rFonts w:ascii="Arial" w:cs="Arial" w:eastAsia="Arial" w:hAnsi="Arial"/>
          <w:sz w:val="18"/>
          <w:szCs w:val="18"/>
          <w:color w:val="auto"/>
        </w:rPr>
      </w:pPr>
      <w:r>
        <w:rPr>
          <w:rFonts w:ascii="Arial" w:cs="Arial" w:eastAsia="Arial" w:hAnsi="Arial"/>
          <w:sz w:val="18"/>
          <w:szCs w:val="18"/>
          <w:color w:val="auto"/>
        </w:rPr>
        <w:t>the named executive officers included in the 2016 Summary Compensation Table as set forth in Item 11;</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70"/>
        </w:numPr>
        <w:rPr>
          <w:rFonts w:ascii="Arial" w:cs="Arial" w:eastAsia="Arial" w:hAnsi="Arial"/>
          <w:sz w:val="18"/>
          <w:szCs w:val="18"/>
          <w:color w:val="auto"/>
        </w:rPr>
      </w:pPr>
      <w:r>
        <w:rPr>
          <w:rFonts w:ascii="Arial" w:cs="Arial" w:eastAsia="Arial" w:hAnsi="Arial"/>
          <w:sz w:val="18"/>
          <w:szCs w:val="18"/>
          <w:color w:val="auto"/>
        </w:rPr>
        <w:t>each of our current directors;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70"/>
        </w:numPr>
        <w:rPr>
          <w:rFonts w:ascii="Arial" w:cs="Arial" w:eastAsia="Arial" w:hAnsi="Arial"/>
          <w:sz w:val="18"/>
          <w:szCs w:val="18"/>
          <w:color w:val="auto"/>
        </w:rPr>
      </w:pPr>
      <w:r>
        <w:rPr>
          <w:rFonts w:ascii="Arial" w:cs="Arial" w:eastAsia="Arial" w:hAnsi="Arial"/>
          <w:sz w:val="18"/>
          <w:szCs w:val="18"/>
          <w:color w:val="auto"/>
        </w:rPr>
        <w:t>all directors and executive officers as a group.</w:t>
      </w:r>
    </w:p>
    <w:p>
      <w:pPr>
        <w:spacing w:after="0" w:line="225"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Beneficial ownership is determined in accordance with the rules of the SEC. Except as indicated in the footnotes to the table, each of the directors and executive officers possesses sole voting and investment power with respect to all shares set forth opposite his or her name. In computing the number of shares beneficially owned by a person and the percentage ownership of that person, shares of common stock issuable upon the exercise of stock options or SARs or upon the conversion of RSUs held by that person that are currently exercisable or convertible, or are exercisable or convertible within 60 days of March 1, 2017, are deemed to be issued and outstanding. These shares, however, are not deemed outstanding for purposes of computing percentage ownership of any other stockholder. The number of shares issuable upon exercise of SARs is calculated based on the excess of the closing price of our common stock on March 1, 2017 over the base price of the SARs. As of March 1, 2017, there were 498,927,446 shares of common stock outstanding and no shares of any other class of voting securities outstanding.</w:t>
      </w:r>
    </w:p>
    <w:p>
      <w:pPr>
        <w:spacing w:after="0" w:line="1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380"/>
          </w:cols>
          <w:pgMar w:left="240" w:top="459" w:right="27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address of each director and executive officer listed below is c/o Genworth Financial, Inc., 6620 West Broad Street, Richmond, Virginia 23230.</w:t>
      </w:r>
    </w:p>
    <w:p>
      <w:pPr>
        <w:spacing w:after="0" w:line="254"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1620" w:type="dxa"/>
            <w:vAlign w:val="bottom"/>
          </w:tcPr>
          <w:p>
            <w:pPr>
              <w:spacing w:after="0"/>
              <w:rPr>
                <w:sz w:val="14"/>
                <w:szCs w:val="14"/>
                <w:color w:val="auto"/>
              </w:rPr>
            </w:pPr>
          </w:p>
        </w:tc>
        <w:tc>
          <w:tcPr>
            <w:tcW w:w="3880" w:type="dxa"/>
            <w:vAlign w:val="bottom"/>
          </w:tcPr>
          <w:p>
            <w:pPr>
              <w:spacing w:after="0"/>
              <w:rPr>
                <w:sz w:val="14"/>
                <w:szCs w:val="14"/>
                <w:color w:val="auto"/>
              </w:rPr>
            </w:pPr>
          </w:p>
        </w:tc>
        <w:tc>
          <w:tcPr>
            <w:tcW w:w="2200" w:type="dxa"/>
            <w:vAlign w:val="bottom"/>
            <w:gridSpan w:val="3"/>
            <w:vMerge w:val="restart"/>
          </w:tcPr>
          <w:p>
            <w:pPr>
              <w:jc w:val="right"/>
              <w:ind w:right="359"/>
              <w:spacing w:after="0"/>
              <w:rPr>
                <w:sz w:val="20"/>
                <w:szCs w:val="20"/>
                <w:color w:val="auto"/>
              </w:rPr>
            </w:pPr>
            <w:r>
              <w:rPr>
                <w:rFonts w:ascii="Arial" w:cs="Arial" w:eastAsia="Arial" w:hAnsi="Arial"/>
                <w:sz w:val="14"/>
                <w:szCs w:val="14"/>
                <w:b w:val="1"/>
                <w:bCs w:val="1"/>
                <w:color w:val="auto"/>
              </w:rPr>
              <w:t>Beneficial Ownership</w:t>
            </w:r>
          </w:p>
        </w:tc>
        <w:tc>
          <w:tcPr>
            <w:tcW w:w="720" w:type="dxa"/>
            <w:vAlign w:val="bottom"/>
          </w:tcPr>
          <w:p>
            <w:pPr>
              <w:spacing w:after="0"/>
              <w:rPr>
                <w:sz w:val="14"/>
                <w:szCs w:val="14"/>
                <w:color w:val="auto"/>
              </w:rPr>
            </w:pPr>
          </w:p>
        </w:tc>
        <w:tc>
          <w:tcPr>
            <w:tcW w:w="1160" w:type="dxa"/>
            <w:vAlign w:val="bottom"/>
            <w:gridSpan w:val="2"/>
          </w:tcPr>
          <w:p>
            <w:pPr>
              <w:jc w:val="center"/>
              <w:ind w:right="40"/>
              <w:spacing w:after="0"/>
              <w:rPr>
                <w:sz w:val="20"/>
                <w:szCs w:val="20"/>
                <w:color w:val="auto"/>
              </w:rPr>
            </w:pPr>
            <w:r>
              <w:rPr>
                <w:rFonts w:ascii="Arial" w:cs="Arial" w:eastAsia="Arial" w:hAnsi="Arial"/>
                <w:sz w:val="14"/>
                <w:szCs w:val="14"/>
                <w:b w:val="1"/>
                <w:bCs w:val="1"/>
                <w:color w:val="auto"/>
                <w:w w:val="96"/>
              </w:rPr>
              <w:t>Other</w:t>
            </w:r>
          </w:p>
        </w:tc>
        <w:tc>
          <w:tcPr>
            <w:tcW w:w="0" w:type="dxa"/>
            <w:vAlign w:val="bottom"/>
          </w:tcPr>
          <w:p>
            <w:pPr>
              <w:spacing w:after="0"/>
              <w:rPr>
                <w:sz w:val="1"/>
                <w:szCs w:val="1"/>
                <w:color w:val="auto"/>
              </w:rPr>
            </w:pPr>
          </w:p>
        </w:tc>
      </w:tr>
      <w:tr>
        <w:trPr>
          <w:trHeight w:val="134"/>
        </w:trPr>
        <w:tc>
          <w:tcPr>
            <w:tcW w:w="1620" w:type="dxa"/>
            <w:vAlign w:val="bottom"/>
          </w:tcPr>
          <w:p>
            <w:pPr>
              <w:spacing w:after="0"/>
              <w:rPr>
                <w:sz w:val="11"/>
                <w:szCs w:val="11"/>
                <w:color w:val="auto"/>
              </w:rPr>
            </w:pPr>
          </w:p>
        </w:tc>
        <w:tc>
          <w:tcPr>
            <w:tcW w:w="3880" w:type="dxa"/>
            <w:vAlign w:val="bottom"/>
          </w:tcPr>
          <w:p>
            <w:pPr>
              <w:spacing w:after="0"/>
              <w:rPr>
                <w:sz w:val="11"/>
                <w:szCs w:val="11"/>
                <w:color w:val="auto"/>
              </w:rPr>
            </w:pPr>
          </w:p>
        </w:tc>
        <w:tc>
          <w:tcPr>
            <w:tcW w:w="2200" w:type="dxa"/>
            <w:vAlign w:val="bottom"/>
            <w:tcBorders>
              <w:bottom w:val="single" w:sz="8" w:color="auto"/>
            </w:tcBorders>
            <w:gridSpan w:val="3"/>
            <w:vMerge w:val="continue"/>
          </w:tcPr>
          <w:p>
            <w:pPr>
              <w:spacing w:after="0"/>
              <w:rPr>
                <w:sz w:val="11"/>
                <w:szCs w:val="11"/>
                <w:color w:val="auto"/>
              </w:rPr>
            </w:pPr>
          </w:p>
        </w:tc>
        <w:tc>
          <w:tcPr>
            <w:tcW w:w="720" w:type="dxa"/>
            <w:vAlign w:val="bottom"/>
          </w:tcPr>
          <w:p>
            <w:pPr>
              <w:spacing w:after="0"/>
              <w:rPr>
                <w:sz w:val="11"/>
                <w:szCs w:val="11"/>
                <w:color w:val="auto"/>
              </w:rPr>
            </w:pPr>
          </w:p>
        </w:tc>
        <w:tc>
          <w:tcPr>
            <w:tcW w:w="1160" w:type="dxa"/>
            <w:vAlign w:val="bottom"/>
            <w:gridSpan w:val="2"/>
          </w:tcPr>
          <w:p>
            <w:pPr>
              <w:jc w:val="center"/>
              <w:ind w:right="40"/>
              <w:spacing w:after="0" w:line="129" w:lineRule="exact"/>
              <w:rPr>
                <w:sz w:val="20"/>
                <w:szCs w:val="20"/>
                <w:color w:val="auto"/>
              </w:rPr>
            </w:pPr>
            <w:r>
              <w:rPr>
                <w:rFonts w:ascii="Arial" w:cs="Arial" w:eastAsia="Arial" w:hAnsi="Arial"/>
                <w:sz w:val="14"/>
                <w:szCs w:val="14"/>
                <w:b w:val="1"/>
                <w:bCs w:val="1"/>
                <w:color w:val="auto"/>
                <w:w w:val="95"/>
              </w:rPr>
              <w:t>Non-Management</w:t>
            </w:r>
          </w:p>
        </w:tc>
        <w:tc>
          <w:tcPr>
            <w:tcW w:w="0" w:type="dxa"/>
            <w:vAlign w:val="bottom"/>
          </w:tcPr>
          <w:p>
            <w:pPr>
              <w:spacing w:after="0"/>
              <w:rPr>
                <w:sz w:val="1"/>
                <w:szCs w:val="1"/>
                <w:color w:val="auto"/>
              </w:rPr>
            </w:pPr>
          </w:p>
        </w:tc>
      </w:tr>
      <w:tr>
        <w:trPr>
          <w:trHeight w:val="149"/>
        </w:trPr>
        <w:tc>
          <w:tcPr>
            <w:tcW w:w="1620" w:type="dxa"/>
            <w:vAlign w:val="bottom"/>
          </w:tcPr>
          <w:p>
            <w:pPr>
              <w:spacing w:after="0"/>
              <w:rPr>
                <w:sz w:val="12"/>
                <w:szCs w:val="12"/>
                <w:color w:val="auto"/>
              </w:rPr>
            </w:pPr>
          </w:p>
        </w:tc>
        <w:tc>
          <w:tcPr>
            <w:tcW w:w="38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160" w:type="dxa"/>
            <w:vAlign w:val="bottom"/>
            <w:gridSpan w:val="2"/>
          </w:tcPr>
          <w:p>
            <w:pPr>
              <w:jc w:val="center"/>
              <w:ind w:right="40"/>
              <w:spacing w:after="0" w:line="149" w:lineRule="exact"/>
              <w:rPr>
                <w:sz w:val="20"/>
                <w:szCs w:val="20"/>
                <w:color w:val="auto"/>
              </w:rPr>
            </w:pPr>
            <w:r>
              <w:rPr>
                <w:rFonts w:ascii="Arial" w:cs="Arial" w:eastAsia="Arial" w:hAnsi="Arial"/>
                <w:sz w:val="14"/>
                <w:szCs w:val="14"/>
                <w:b w:val="1"/>
                <w:bCs w:val="1"/>
                <w:color w:val="auto"/>
                <w:w w:val="95"/>
              </w:rPr>
              <w:t>Director Stock-</w:t>
            </w:r>
          </w:p>
        </w:tc>
        <w:tc>
          <w:tcPr>
            <w:tcW w:w="0" w:type="dxa"/>
            <w:vAlign w:val="bottom"/>
          </w:tcPr>
          <w:p>
            <w:pPr>
              <w:spacing w:after="0"/>
              <w:rPr>
                <w:sz w:val="1"/>
                <w:szCs w:val="1"/>
                <w:color w:val="auto"/>
              </w:rPr>
            </w:pPr>
          </w:p>
        </w:tc>
      </w:tr>
      <w:tr>
        <w:trPr>
          <w:trHeight w:val="185"/>
        </w:trPr>
        <w:tc>
          <w:tcPr>
            <w:tcW w:w="55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 of Beneficial Owner</w:t>
            </w:r>
          </w:p>
        </w:tc>
        <w:tc>
          <w:tcPr>
            <w:tcW w:w="1500" w:type="dxa"/>
            <w:vAlign w:val="bottom"/>
            <w:gridSpan w:val="2"/>
          </w:tcPr>
          <w:p>
            <w:pPr>
              <w:ind w:left="60"/>
              <w:spacing w:after="0"/>
              <w:rPr>
                <w:sz w:val="20"/>
                <w:szCs w:val="20"/>
                <w:color w:val="auto"/>
              </w:rPr>
            </w:pPr>
            <w:r>
              <w:rPr>
                <w:rFonts w:ascii="Arial" w:cs="Arial" w:eastAsia="Arial" w:hAnsi="Arial"/>
                <w:sz w:val="14"/>
                <w:szCs w:val="14"/>
                <w:b w:val="1"/>
                <w:bCs w:val="1"/>
                <w:color w:val="auto"/>
              </w:rPr>
              <w:t>Number of</w:t>
            </w:r>
          </w:p>
        </w:tc>
        <w:tc>
          <w:tcPr>
            <w:tcW w:w="14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Percentage</w:t>
            </w:r>
          </w:p>
        </w:tc>
        <w:tc>
          <w:tcPr>
            <w:tcW w:w="1160" w:type="dxa"/>
            <w:vAlign w:val="bottom"/>
            <w:gridSpan w:val="2"/>
          </w:tcPr>
          <w:p>
            <w:pPr>
              <w:jc w:val="center"/>
              <w:ind w:right="40"/>
              <w:spacing w:after="0"/>
              <w:rPr>
                <w:sz w:val="20"/>
                <w:szCs w:val="20"/>
                <w:color w:val="auto"/>
              </w:rPr>
            </w:pPr>
            <w:r>
              <w:rPr>
                <w:rFonts w:ascii="Arial" w:cs="Arial" w:eastAsia="Arial" w:hAnsi="Arial"/>
                <w:sz w:val="14"/>
                <w:szCs w:val="14"/>
                <w:b w:val="1"/>
                <w:bCs w:val="1"/>
                <w:color w:val="auto"/>
                <w:w w:val="85"/>
              </w:rPr>
              <w:t>Based</w:t>
            </w:r>
          </w:p>
        </w:tc>
        <w:tc>
          <w:tcPr>
            <w:tcW w:w="0" w:type="dxa"/>
            <w:vAlign w:val="bottom"/>
          </w:tcPr>
          <w:p>
            <w:pPr>
              <w:spacing w:after="0"/>
              <w:rPr>
                <w:sz w:val="1"/>
                <w:szCs w:val="1"/>
                <w:color w:val="auto"/>
              </w:rPr>
            </w:pPr>
          </w:p>
        </w:tc>
      </w:tr>
      <w:tr>
        <w:trPr>
          <w:trHeight w:val="149"/>
        </w:trPr>
        <w:tc>
          <w:tcPr>
            <w:tcW w:w="5500" w:type="dxa"/>
            <w:vAlign w:val="bottom"/>
            <w:gridSpan w:val="2"/>
            <w:vMerge w:val="continue"/>
          </w:tcPr>
          <w:p>
            <w:pPr>
              <w:spacing w:after="0"/>
              <w:rPr>
                <w:sz w:val="12"/>
                <w:szCs w:val="12"/>
                <w:color w:val="auto"/>
              </w:rPr>
            </w:pPr>
          </w:p>
        </w:tc>
        <w:tc>
          <w:tcPr>
            <w:tcW w:w="1500" w:type="dxa"/>
            <w:vAlign w:val="bottom"/>
            <w:gridSpan w:val="2"/>
          </w:tcPr>
          <w:p>
            <w:pPr>
              <w:ind w:left="180"/>
              <w:spacing w:after="0" w:line="129" w:lineRule="exact"/>
              <w:rPr>
                <w:sz w:val="20"/>
                <w:szCs w:val="20"/>
                <w:color w:val="auto"/>
              </w:rPr>
            </w:pPr>
            <w:r>
              <w:rPr>
                <w:rFonts w:ascii="Arial" w:cs="Arial" w:eastAsia="Arial" w:hAnsi="Arial"/>
                <w:sz w:val="14"/>
                <w:szCs w:val="14"/>
                <w:b w:val="1"/>
                <w:bCs w:val="1"/>
                <w:color w:val="auto"/>
              </w:rPr>
              <w:t>Shares</w:t>
            </w:r>
          </w:p>
        </w:tc>
        <w:tc>
          <w:tcPr>
            <w:tcW w:w="1420" w:type="dxa"/>
            <w:vAlign w:val="bottom"/>
            <w:gridSpan w:val="2"/>
            <w:vMerge w:val="continue"/>
          </w:tcPr>
          <w:p>
            <w:pPr>
              <w:spacing w:after="0"/>
              <w:rPr>
                <w:sz w:val="12"/>
                <w:szCs w:val="12"/>
                <w:color w:val="auto"/>
              </w:rPr>
            </w:pPr>
          </w:p>
        </w:tc>
        <w:tc>
          <w:tcPr>
            <w:tcW w:w="1160" w:type="dxa"/>
            <w:vAlign w:val="bottom"/>
            <w:gridSpan w:val="2"/>
          </w:tcPr>
          <w:p>
            <w:pPr>
              <w:jc w:val="center"/>
              <w:ind w:right="40"/>
              <w:spacing w:after="0" w:line="129" w:lineRule="exact"/>
              <w:rPr>
                <w:sz w:val="20"/>
                <w:szCs w:val="20"/>
                <w:color w:val="auto"/>
              </w:rPr>
            </w:pPr>
            <w:r>
              <w:rPr>
                <w:rFonts w:ascii="Arial" w:cs="Arial" w:eastAsia="Arial" w:hAnsi="Arial"/>
                <w:sz w:val="14"/>
                <w:szCs w:val="14"/>
                <w:b w:val="1"/>
                <w:bCs w:val="1"/>
                <w:color w:val="auto"/>
                <w:w w:val="91"/>
              </w:rPr>
              <w:t xml:space="preserve">Holdings </w:t>
            </w:r>
            <w:r>
              <w:rPr>
                <w:rFonts w:ascii="Arial" w:cs="Arial" w:eastAsia="Arial" w:hAnsi="Arial"/>
                <w:sz w:val="12"/>
                <w:szCs w:val="12"/>
                <w:b w:val="1"/>
                <w:bCs w:val="1"/>
                <w:color w:val="auto"/>
                <w:w w:val="91"/>
              </w:rPr>
              <w:t>(1)</w:t>
            </w:r>
          </w:p>
        </w:tc>
        <w:tc>
          <w:tcPr>
            <w:tcW w:w="0" w:type="dxa"/>
            <w:vAlign w:val="bottom"/>
          </w:tcPr>
          <w:p>
            <w:pPr>
              <w:spacing w:after="0"/>
              <w:rPr>
                <w:sz w:val="1"/>
                <w:szCs w:val="1"/>
                <w:color w:val="auto"/>
              </w:rPr>
            </w:pPr>
          </w:p>
        </w:tc>
      </w:tr>
      <w:tr>
        <w:trPr>
          <w:trHeight w:val="20"/>
        </w:trPr>
        <w:tc>
          <w:tcPr>
            <w:tcW w:w="1620" w:type="dxa"/>
            <w:vAlign w:val="bottom"/>
            <w:tcBorders>
              <w:bottom w:val="single" w:sz="8" w:color="auto"/>
            </w:tcBorders>
          </w:tcPr>
          <w:p>
            <w:pPr>
              <w:spacing w:after="0" w:line="20" w:lineRule="exact"/>
              <w:rPr>
                <w:sz w:val="1"/>
                <w:szCs w:val="1"/>
                <w:color w:val="auto"/>
              </w:rPr>
            </w:pPr>
          </w:p>
        </w:tc>
        <w:tc>
          <w:tcPr>
            <w:tcW w:w="3880" w:type="dxa"/>
            <w:vAlign w:val="bottom"/>
            <w:tcBorders>
              <w:bottom w:val="single" w:sz="8" w:color="CCEEFF"/>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CCEEFF"/>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CCEEFF"/>
            </w:tcBorders>
          </w:tcPr>
          <w:p>
            <w:pPr>
              <w:spacing w:after="0" w:line="20" w:lineRule="exact"/>
              <w:rPr>
                <w:sz w:val="1"/>
                <w:szCs w:val="1"/>
                <w:color w:val="auto"/>
              </w:rPr>
            </w:pPr>
          </w:p>
        </w:tc>
        <w:tc>
          <w:tcPr>
            <w:tcW w:w="1120" w:type="dxa"/>
            <w:vAlign w:val="bottom"/>
            <w:tcBorders>
              <w:top w:val="single" w:sz="8" w:color="auto"/>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1620" w:type="dxa"/>
            <w:vAlign w:val="bottom"/>
            <w:shd w:val="clear" w:color="auto" w:fill="CCEEFF"/>
          </w:tcPr>
          <w:p>
            <w:pPr>
              <w:spacing w:after="0" w:line="183" w:lineRule="exact"/>
              <w:rPr>
                <w:sz w:val="20"/>
                <w:szCs w:val="20"/>
                <w:color w:val="auto"/>
              </w:rPr>
            </w:pPr>
            <w:r>
              <w:rPr>
                <w:rFonts w:ascii="Arial" w:cs="Arial" w:eastAsia="Arial" w:hAnsi="Arial"/>
                <w:sz w:val="13"/>
                <w:szCs w:val="13"/>
                <w:color w:val="auto"/>
              </w:rPr>
              <w:t xml:space="preserve">BlackRock, Inc. </w:t>
            </w:r>
            <w:r>
              <w:rPr>
                <w:rFonts w:ascii="Arial" w:cs="Arial" w:eastAsia="Arial" w:hAnsi="Arial"/>
                <w:sz w:val="21"/>
                <w:szCs w:val="21"/>
                <w:color w:val="auto"/>
                <w:vertAlign w:val="superscript"/>
              </w:rPr>
              <w:t>(2)</w:t>
            </w:r>
          </w:p>
        </w:tc>
        <w:tc>
          <w:tcPr>
            <w:tcW w:w="3880" w:type="dxa"/>
            <w:vAlign w:val="bottom"/>
            <w:shd w:val="clear" w:color="auto" w:fill="CCEEFF"/>
          </w:tcPr>
          <w:p>
            <w:pPr>
              <w:spacing w:after="0"/>
              <w:rPr>
                <w:sz w:val="15"/>
                <w:szCs w:val="15"/>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4"/>
              </w:rPr>
              <w:t>46,701,115</w:t>
            </w:r>
          </w:p>
        </w:tc>
        <w:tc>
          <w:tcPr>
            <w:tcW w:w="72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9.36</w:t>
            </w:r>
          </w:p>
        </w:tc>
        <w:tc>
          <w:tcPr>
            <w:tcW w:w="720" w:type="dxa"/>
            <w:vAlign w:val="bottom"/>
            <w:shd w:val="clear" w:color="auto" w:fill="CCEEFF"/>
          </w:tcPr>
          <w:p>
            <w:pPr>
              <w:spacing w:after="0"/>
              <w:rPr>
                <w:sz w:val="15"/>
                <w:szCs w:val="15"/>
                <w:color w:val="auto"/>
              </w:rPr>
            </w:pPr>
          </w:p>
        </w:tc>
        <w:tc>
          <w:tcPr>
            <w:tcW w:w="112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5500" w:type="dxa"/>
            <w:vAlign w:val="bottom"/>
            <w:gridSpan w:val="2"/>
          </w:tcPr>
          <w:p>
            <w:pPr>
              <w:spacing w:after="0" w:line="202" w:lineRule="exact"/>
              <w:rPr>
                <w:sz w:val="20"/>
                <w:szCs w:val="20"/>
                <w:color w:val="auto"/>
              </w:rPr>
            </w:pPr>
            <w:r>
              <w:rPr>
                <w:rFonts w:ascii="Arial" w:cs="Arial" w:eastAsia="Arial" w:hAnsi="Arial"/>
                <w:sz w:val="14"/>
                <w:szCs w:val="14"/>
                <w:color w:val="auto"/>
              </w:rPr>
              <w:t xml:space="preserve">The Vanguard Group, Inc. </w:t>
            </w:r>
            <w:r>
              <w:rPr>
                <w:rFonts w:ascii="Arial" w:cs="Arial" w:eastAsia="Arial" w:hAnsi="Arial"/>
                <w:sz w:val="23"/>
                <w:szCs w:val="23"/>
                <w:color w:val="auto"/>
                <w:vertAlign w:val="superscript"/>
              </w:rPr>
              <w:t>(3)</w:t>
            </w:r>
          </w:p>
        </w:tc>
        <w:tc>
          <w:tcPr>
            <w:tcW w:w="780" w:type="dxa"/>
            <w:vAlign w:val="bottom"/>
          </w:tcPr>
          <w:p>
            <w:pPr>
              <w:jc w:val="right"/>
              <w:spacing w:after="0"/>
              <w:rPr>
                <w:sz w:val="20"/>
                <w:szCs w:val="20"/>
                <w:color w:val="auto"/>
              </w:rPr>
            </w:pPr>
            <w:r>
              <w:rPr>
                <w:rFonts w:ascii="Arial" w:cs="Arial" w:eastAsia="Arial" w:hAnsi="Arial"/>
                <w:sz w:val="16"/>
                <w:szCs w:val="16"/>
                <w:color w:val="auto"/>
                <w:w w:val="94"/>
              </w:rPr>
              <w:t>39,088,945</w:t>
            </w:r>
          </w:p>
        </w:tc>
        <w:tc>
          <w:tcPr>
            <w:tcW w:w="7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7.84</w:t>
            </w:r>
          </w:p>
        </w:tc>
        <w:tc>
          <w:tcPr>
            <w:tcW w:w="7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50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Thomas J. McInerney</w:t>
            </w: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164,602</w:t>
            </w:r>
          </w:p>
        </w:tc>
        <w:tc>
          <w:tcPr>
            <w:tcW w:w="72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500" w:type="dxa"/>
            <w:vAlign w:val="bottom"/>
            <w:gridSpan w:val="2"/>
          </w:tcPr>
          <w:p>
            <w:pPr>
              <w:spacing w:after="0" w:line="202" w:lineRule="exact"/>
              <w:rPr>
                <w:sz w:val="20"/>
                <w:szCs w:val="20"/>
                <w:color w:val="auto"/>
              </w:rPr>
            </w:pPr>
            <w:r>
              <w:rPr>
                <w:rFonts w:ascii="Arial" w:cs="Arial" w:eastAsia="Arial" w:hAnsi="Arial"/>
                <w:sz w:val="14"/>
                <w:szCs w:val="14"/>
                <w:color w:val="auto"/>
              </w:rPr>
              <w:t xml:space="preserve">Kelly L. Groh </w:t>
            </w:r>
            <w:r>
              <w:rPr>
                <w:rFonts w:ascii="Arial" w:cs="Arial" w:eastAsia="Arial" w:hAnsi="Arial"/>
                <w:sz w:val="23"/>
                <w:szCs w:val="23"/>
                <w:color w:val="auto"/>
                <w:vertAlign w:val="superscript"/>
              </w:rPr>
              <w:t>(4)</w:t>
            </w:r>
          </w:p>
        </w:tc>
        <w:tc>
          <w:tcPr>
            <w:tcW w:w="1500" w:type="dxa"/>
            <w:vAlign w:val="bottom"/>
            <w:gridSpan w:val="2"/>
          </w:tcPr>
          <w:p>
            <w:pPr>
              <w:jc w:val="right"/>
              <w:ind w:right="720"/>
              <w:spacing w:after="0"/>
              <w:rPr>
                <w:sz w:val="20"/>
                <w:szCs w:val="20"/>
                <w:color w:val="auto"/>
              </w:rPr>
            </w:pPr>
            <w:r>
              <w:rPr>
                <w:rFonts w:ascii="Arial" w:cs="Arial" w:eastAsia="Arial" w:hAnsi="Arial"/>
                <w:sz w:val="16"/>
                <w:szCs w:val="16"/>
                <w:color w:val="auto"/>
              </w:rPr>
              <w:t>114,833</w:t>
            </w:r>
          </w:p>
        </w:tc>
        <w:tc>
          <w:tcPr>
            <w:tcW w:w="700" w:type="dxa"/>
            <w:vAlign w:val="bottom"/>
          </w:tcPr>
          <w:p>
            <w:pPr>
              <w:jc w:val="right"/>
              <w:spacing w:after="0"/>
              <w:rPr>
                <w:sz w:val="20"/>
                <w:szCs w:val="20"/>
                <w:color w:val="auto"/>
              </w:rPr>
            </w:pPr>
            <w:r>
              <w:rPr>
                <w:rFonts w:ascii="Arial" w:cs="Arial" w:eastAsia="Arial" w:hAnsi="Arial"/>
                <w:sz w:val="16"/>
                <w:szCs w:val="16"/>
                <w:color w:val="auto"/>
              </w:rPr>
              <w:t>*</w:t>
            </w:r>
          </w:p>
        </w:tc>
        <w:tc>
          <w:tcPr>
            <w:tcW w:w="7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500" w:type="dxa"/>
            <w:vAlign w:val="bottom"/>
            <w:gridSpan w:val="2"/>
            <w:shd w:val="clear" w:color="auto" w:fill="CCEEFF"/>
          </w:tcPr>
          <w:p>
            <w:pPr>
              <w:spacing w:after="0" w:line="202" w:lineRule="exact"/>
              <w:rPr>
                <w:sz w:val="20"/>
                <w:szCs w:val="20"/>
                <w:color w:val="auto"/>
              </w:rPr>
            </w:pPr>
            <w:r>
              <w:rPr>
                <w:rFonts w:ascii="Arial" w:cs="Arial" w:eastAsia="Arial" w:hAnsi="Arial"/>
                <w:sz w:val="14"/>
                <w:szCs w:val="14"/>
                <w:color w:val="auto"/>
              </w:rPr>
              <w:t xml:space="preserve">Kevin D. Schneider </w:t>
            </w:r>
            <w:r>
              <w:rPr>
                <w:rFonts w:ascii="Arial" w:cs="Arial" w:eastAsia="Arial" w:hAnsi="Arial"/>
                <w:sz w:val="23"/>
                <w:szCs w:val="23"/>
                <w:color w:val="auto"/>
                <w:vertAlign w:val="superscript"/>
              </w:rPr>
              <w:t>(5)</w:t>
            </w: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183,959</w:t>
            </w:r>
          </w:p>
        </w:tc>
        <w:tc>
          <w:tcPr>
            <w:tcW w:w="72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500" w:type="dxa"/>
            <w:vAlign w:val="bottom"/>
            <w:gridSpan w:val="2"/>
          </w:tcPr>
          <w:p>
            <w:pPr>
              <w:spacing w:after="0" w:line="202" w:lineRule="exact"/>
              <w:rPr>
                <w:sz w:val="20"/>
                <w:szCs w:val="20"/>
                <w:color w:val="auto"/>
              </w:rPr>
            </w:pPr>
            <w:r>
              <w:rPr>
                <w:rFonts w:ascii="Arial" w:cs="Arial" w:eastAsia="Arial" w:hAnsi="Arial"/>
                <w:sz w:val="14"/>
                <w:szCs w:val="14"/>
                <w:color w:val="auto"/>
              </w:rPr>
              <w:t xml:space="preserve">Ward E. Bobitz </w:t>
            </w:r>
            <w:r>
              <w:rPr>
                <w:rFonts w:ascii="Arial" w:cs="Arial" w:eastAsia="Arial" w:hAnsi="Arial"/>
                <w:sz w:val="23"/>
                <w:szCs w:val="23"/>
                <w:color w:val="auto"/>
                <w:vertAlign w:val="superscript"/>
              </w:rPr>
              <w:t>(6)</w:t>
            </w:r>
          </w:p>
        </w:tc>
        <w:tc>
          <w:tcPr>
            <w:tcW w:w="780" w:type="dxa"/>
            <w:vAlign w:val="bottom"/>
          </w:tcPr>
          <w:p>
            <w:pPr>
              <w:jc w:val="right"/>
              <w:spacing w:after="0"/>
              <w:rPr>
                <w:sz w:val="20"/>
                <w:szCs w:val="20"/>
                <w:color w:val="auto"/>
              </w:rPr>
            </w:pPr>
            <w:r>
              <w:rPr>
                <w:rFonts w:ascii="Arial" w:cs="Arial" w:eastAsia="Arial" w:hAnsi="Arial"/>
                <w:sz w:val="16"/>
                <w:szCs w:val="16"/>
                <w:color w:val="auto"/>
              </w:rPr>
              <w:t>100,264</w:t>
            </w:r>
          </w:p>
        </w:tc>
        <w:tc>
          <w:tcPr>
            <w:tcW w:w="7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w:t>
            </w:r>
          </w:p>
        </w:tc>
        <w:tc>
          <w:tcPr>
            <w:tcW w:w="7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500" w:type="dxa"/>
            <w:vAlign w:val="bottom"/>
            <w:gridSpan w:val="2"/>
            <w:shd w:val="clear" w:color="auto" w:fill="CCEEFF"/>
          </w:tcPr>
          <w:p>
            <w:pPr>
              <w:spacing w:after="0" w:line="202" w:lineRule="exact"/>
              <w:rPr>
                <w:sz w:val="20"/>
                <w:szCs w:val="20"/>
                <w:color w:val="auto"/>
              </w:rPr>
            </w:pPr>
            <w:r>
              <w:rPr>
                <w:rFonts w:ascii="Arial" w:cs="Arial" w:eastAsia="Arial" w:hAnsi="Arial"/>
                <w:sz w:val="14"/>
                <w:szCs w:val="14"/>
                <w:color w:val="auto"/>
              </w:rPr>
              <w:t xml:space="preserve">Daniel J. Sheehan IV </w:t>
            </w:r>
            <w:r>
              <w:rPr>
                <w:rFonts w:ascii="Arial" w:cs="Arial" w:eastAsia="Arial" w:hAnsi="Arial"/>
                <w:sz w:val="23"/>
                <w:szCs w:val="23"/>
                <w:color w:val="auto"/>
                <w:vertAlign w:val="superscript"/>
              </w:rPr>
              <w:t>(7)</w:t>
            </w: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231,910</w:t>
            </w:r>
          </w:p>
        </w:tc>
        <w:tc>
          <w:tcPr>
            <w:tcW w:w="72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500" w:type="dxa"/>
            <w:vAlign w:val="bottom"/>
            <w:gridSpan w:val="2"/>
          </w:tcPr>
          <w:p>
            <w:pPr>
              <w:spacing w:after="0"/>
              <w:rPr>
                <w:sz w:val="20"/>
                <w:szCs w:val="20"/>
                <w:color w:val="auto"/>
              </w:rPr>
            </w:pPr>
            <w:r>
              <w:rPr>
                <w:rFonts w:ascii="Arial" w:cs="Arial" w:eastAsia="Arial" w:hAnsi="Arial"/>
                <w:sz w:val="16"/>
                <w:szCs w:val="16"/>
                <w:color w:val="auto"/>
              </w:rPr>
              <w:t>William H. Bolinder</w:t>
            </w:r>
          </w:p>
        </w:tc>
        <w:tc>
          <w:tcPr>
            <w:tcW w:w="780" w:type="dxa"/>
            <w:vAlign w:val="bottom"/>
          </w:tcPr>
          <w:p>
            <w:pPr>
              <w:jc w:val="right"/>
              <w:spacing w:after="0"/>
              <w:rPr>
                <w:sz w:val="20"/>
                <w:szCs w:val="20"/>
                <w:color w:val="auto"/>
              </w:rPr>
            </w:pPr>
            <w:r>
              <w:rPr>
                <w:rFonts w:ascii="Arial" w:cs="Arial" w:eastAsia="Arial" w:hAnsi="Arial"/>
                <w:sz w:val="16"/>
                <w:szCs w:val="16"/>
                <w:color w:val="auto"/>
              </w:rPr>
              <w:t>3,000</w:t>
            </w:r>
          </w:p>
        </w:tc>
        <w:tc>
          <w:tcPr>
            <w:tcW w:w="7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w:t>
            </w:r>
          </w:p>
        </w:tc>
        <w:tc>
          <w:tcPr>
            <w:tcW w:w="72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109,671</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50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G. Kent Conrad</w:t>
            </w:r>
          </w:p>
        </w:tc>
        <w:tc>
          <w:tcPr>
            <w:tcW w:w="1500" w:type="dxa"/>
            <w:vAlign w:val="bottom"/>
            <w:gridSpan w:val="2"/>
            <w:shd w:val="clear" w:color="auto" w:fill="CCEEFF"/>
          </w:tcPr>
          <w:p>
            <w:pPr>
              <w:ind w:left="520"/>
              <w:spacing w:after="0"/>
              <w:rPr>
                <w:sz w:val="20"/>
                <w:szCs w:val="20"/>
                <w:color w:val="auto"/>
              </w:rPr>
            </w:pPr>
            <w:r>
              <w:rPr>
                <w:rFonts w:ascii="Arial" w:cs="Arial" w:eastAsia="Arial" w:hAnsi="Arial"/>
                <w:sz w:val="16"/>
                <w:szCs w:val="16"/>
                <w:color w:val="auto"/>
              </w:rPr>
              <w:t>—</w:t>
            </w:r>
          </w:p>
        </w:tc>
        <w:tc>
          <w:tcPr>
            <w:tcW w:w="1420" w:type="dxa"/>
            <w:vAlign w:val="bottom"/>
            <w:gridSpan w:val="2"/>
            <w:shd w:val="clear" w:color="auto" w:fill="CCEEFF"/>
          </w:tcPr>
          <w:p>
            <w:pPr>
              <w:ind w:left="440"/>
              <w:spacing w:after="0"/>
              <w:rPr>
                <w:sz w:val="20"/>
                <w:szCs w:val="20"/>
                <w:color w:val="auto"/>
              </w:rPr>
            </w:pPr>
            <w:r>
              <w:rPr>
                <w:rFonts w:ascii="Arial" w:cs="Arial" w:eastAsia="Arial" w:hAnsi="Arial"/>
                <w:sz w:val="16"/>
                <w:szCs w:val="16"/>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72,832</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500" w:type="dxa"/>
            <w:vAlign w:val="bottom"/>
            <w:gridSpan w:val="2"/>
          </w:tcPr>
          <w:p>
            <w:pPr>
              <w:spacing w:after="0"/>
              <w:rPr>
                <w:sz w:val="20"/>
                <w:szCs w:val="20"/>
                <w:color w:val="auto"/>
              </w:rPr>
            </w:pPr>
            <w:r>
              <w:rPr>
                <w:rFonts w:ascii="Arial" w:cs="Arial" w:eastAsia="Arial" w:hAnsi="Arial"/>
                <w:sz w:val="16"/>
                <w:szCs w:val="16"/>
                <w:color w:val="auto"/>
              </w:rPr>
              <w:t>Melina E. Higgins</w:t>
            </w:r>
          </w:p>
        </w:tc>
        <w:tc>
          <w:tcPr>
            <w:tcW w:w="1500" w:type="dxa"/>
            <w:vAlign w:val="bottom"/>
            <w:gridSpan w:val="2"/>
          </w:tcPr>
          <w:p>
            <w:pPr>
              <w:ind w:left="520"/>
              <w:spacing w:after="0"/>
              <w:rPr>
                <w:sz w:val="20"/>
                <w:szCs w:val="20"/>
                <w:color w:val="auto"/>
              </w:rPr>
            </w:pPr>
            <w:r>
              <w:rPr>
                <w:rFonts w:ascii="Arial" w:cs="Arial" w:eastAsia="Arial" w:hAnsi="Arial"/>
                <w:sz w:val="16"/>
                <w:szCs w:val="16"/>
                <w:color w:val="auto"/>
              </w:rPr>
              <w:t>—</w:t>
            </w:r>
          </w:p>
        </w:tc>
        <w:tc>
          <w:tcPr>
            <w:tcW w:w="1420" w:type="dxa"/>
            <w:vAlign w:val="bottom"/>
            <w:gridSpan w:val="2"/>
          </w:tcPr>
          <w:p>
            <w:pPr>
              <w:ind w:left="440"/>
              <w:spacing w:after="0"/>
              <w:rPr>
                <w:sz w:val="20"/>
                <w:szCs w:val="20"/>
                <w:color w:val="auto"/>
              </w:rPr>
            </w:pPr>
            <w:r>
              <w:rPr>
                <w:rFonts w:ascii="Arial" w:cs="Arial" w:eastAsia="Arial" w:hAnsi="Arial"/>
                <w:sz w:val="16"/>
                <w:szCs w:val="16"/>
                <w:color w:val="auto"/>
              </w:rPr>
              <w:t>—</w:t>
            </w:r>
          </w:p>
        </w:tc>
        <w:tc>
          <w:tcPr>
            <w:tcW w:w="1120" w:type="dxa"/>
            <w:vAlign w:val="bottom"/>
          </w:tcPr>
          <w:p>
            <w:pPr>
              <w:jc w:val="right"/>
              <w:spacing w:after="0"/>
              <w:rPr>
                <w:sz w:val="20"/>
                <w:szCs w:val="20"/>
                <w:color w:val="auto"/>
              </w:rPr>
            </w:pPr>
            <w:r>
              <w:rPr>
                <w:rFonts w:ascii="Arial" w:cs="Arial" w:eastAsia="Arial" w:hAnsi="Arial"/>
                <w:sz w:val="16"/>
                <w:szCs w:val="16"/>
                <w:color w:val="auto"/>
              </w:rPr>
              <w:t>67,837</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50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David M. Moffett</w:t>
            </w:r>
          </w:p>
        </w:tc>
        <w:tc>
          <w:tcPr>
            <w:tcW w:w="1500" w:type="dxa"/>
            <w:vAlign w:val="bottom"/>
            <w:gridSpan w:val="2"/>
            <w:shd w:val="clear" w:color="auto" w:fill="CCEEFF"/>
          </w:tcPr>
          <w:p>
            <w:pPr>
              <w:ind w:left="520"/>
              <w:spacing w:after="0"/>
              <w:rPr>
                <w:sz w:val="20"/>
                <w:szCs w:val="20"/>
                <w:color w:val="auto"/>
              </w:rPr>
            </w:pPr>
            <w:r>
              <w:rPr>
                <w:rFonts w:ascii="Arial" w:cs="Arial" w:eastAsia="Arial" w:hAnsi="Arial"/>
                <w:sz w:val="16"/>
                <w:szCs w:val="16"/>
                <w:color w:val="auto"/>
              </w:rPr>
              <w:t>—</w:t>
            </w:r>
          </w:p>
        </w:tc>
        <w:tc>
          <w:tcPr>
            <w:tcW w:w="1420" w:type="dxa"/>
            <w:vAlign w:val="bottom"/>
            <w:gridSpan w:val="2"/>
            <w:shd w:val="clear" w:color="auto" w:fill="CCEEFF"/>
          </w:tcPr>
          <w:p>
            <w:pPr>
              <w:ind w:left="440"/>
              <w:spacing w:after="0"/>
              <w:rPr>
                <w:sz w:val="20"/>
                <w:szCs w:val="20"/>
                <w:color w:val="auto"/>
              </w:rPr>
            </w:pPr>
            <w:r>
              <w:rPr>
                <w:rFonts w:ascii="Arial" w:cs="Arial" w:eastAsia="Arial" w:hAnsi="Arial"/>
                <w:sz w:val="16"/>
                <w:szCs w:val="16"/>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81,725</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500" w:type="dxa"/>
            <w:vAlign w:val="bottom"/>
            <w:gridSpan w:val="2"/>
          </w:tcPr>
          <w:p>
            <w:pPr>
              <w:spacing w:after="0"/>
              <w:rPr>
                <w:sz w:val="20"/>
                <w:szCs w:val="20"/>
                <w:color w:val="auto"/>
              </w:rPr>
            </w:pPr>
            <w:r>
              <w:rPr>
                <w:rFonts w:ascii="Arial" w:cs="Arial" w:eastAsia="Arial" w:hAnsi="Arial"/>
                <w:sz w:val="16"/>
                <w:szCs w:val="16"/>
                <w:color w:val="auto"/>
              </w:rPr>
              <w:t>Thomas E. Moloney</w:t>
            </w:r>
          </w:p>
        </w:tc>
        <w:tc>
          <w:tcPr>
            <w:tcW w:w="1500" w:type="dxa"/>
            <w:vAlign w:val="bottom"/>
            <w:gridSpan w:val="2"/>
          </w:tcPr>
          <w:p>
            <w:pPr>
              <w:jc w:val="right"/>
              <w:ind w:right="720"/>
              <w:spacing w:after="0"/>
              <w:rPr>
                <w:sz w:val="20"/>
                <w:szCs w:val="20"/>
                <w:color w:val="auto"/>
              </w:rPr>
            </w:pPr>
            <w:r>
              <w:rPr>
                <w:rFonts w:ascii="Arial" w:cs="Arial" w:eastAsia="Arial" w:hAnsi="Arial"/>
                <w:sz w:val="16"/>
                <w:szCs w:val="16"/>
                <w:color w:val="auto"/>
              </w:rPr>
              <w:t>11,000</w:t>
            </w:r>
          </w:p>
        </w:tc>
        <w:tc>
          <w:tcPr>
            <w:tcW w:w="700" w:type="dxa"/>
            <w:vAlign w:val="bottom"/>
          </w:tcPr>
          <w:p>
            <w:pPr>
              <w:jc w:val="right"/>
              <w:spacing w:after="0"/>
              <w:rPr>
                <w:sz w:val="20"/>
                <w:szCs w:val="20"/>
                <w:color w:val="auto"/>
              </w:rPr>
            </w:pPr>
            <w:r>
              <w:rPr>
                <w:rFonts w:ascii="Arial" w:cs="Arial" w:eastAsia="Arial" w:hAnsi="Arial"/>
                <w:sz w:val="16"/>
                <w:szCs w:val="16"/>
                <w:color w:val="auto"/>
              </w:rPr>
              <w:t>*</w:t>
            </w:r>
          </w:p>
        </w:tc>
        <w:tc>
          <w:tcPr>
            <w:tcW w:w="720" w:type="dxa"/>
            <w:vAlign w:val="bottom"/>
          </w:tcPr>
          <w:p>
            <w:pPr>
              <w:spacing w:after="0"/>
              <w:rPr>
                <w:sz w:val="17"/>
                <w:szCs w:val="17"/>
                <w:color w:val="auto"/>
              </w:rPr>
            </w:pPr>
          </w:p>
        </w:tc>
        <w:tc>
          <w:tcPr>
            <w:tcW w:w="1160" w:type="dxa"/>
            <w:vAlign w:val="bottom"/>
            <w:gridSpan w:val="2"/>
          </w:tcPr>
          <w:p>
            <w:pPr>
              <w:jc w:val="right"/>
              <w:ind w:right="40"/>
              <w:spacing w:after="0"/>
              <w:rPr>
                <w:sz w:val="20"/>
                <w:szCs w:val="20"/>
                <w:color w:val="auto"/>
              </w:rPr>
            </w:pPr>
            <w:r>
              <w:rPr>
                <w:rFonts w:ascii="Arial" w:cs="Arial" w:eastAsia="Arial" w:hAnsi="Arial"/>
                <w:sz w:val="16"/>
                <w:szCs w:val="16"/>
                <w:color w:val="auto"/>
              </w:rPr>
              <w:t>117,415</w:t>
            </w:r>
          </w:p>
        </w:tc>
        <w:tc>
          <w:tcPr>
            <w:tcW w:w="0" w:type="dxa"/>
            <w:vAlign w:val="bottom"/>
          </w:tcPr>
          <w:p>
            <w:pPr>
              <w:spacing w:after="0"/>
              <w:rPr>
                <w:sz w:val="1"/>
                <w:szCs w:val="1"/>
                <w:color w:val="auto"/>
              </w:rPr>
            </w:pPr>
          </w:p>
        </w:tc>
      </w:tr>
      <w:tr>
        <w:trPr>
          <w:trHeight w:val="203"/>
        </w:trPr>
        <w:tc>
          <w:tcPr>
            <w:tcW w:w="550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James A. Parke</w:t>
            </w: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350,000</w:t>
            </w:r>
          </w:p>
        </w:tc>
        <w:tc>
          <w:tcPr>
            <w:tcW w:w="72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2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212,302</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500" w:type="dxa"/>
            <w:vAlign w:val="bottom"/>
            <w:gridSpan w:val="2"/>
          </w:tcPr>
          <w:p>
            <w:pPr>
              <w:spacing w:after="0" w:line="202" w:lineRule="exact"/>
              <w:rPr>
                <w:sz w:val="20"/>
                <w:szCs w:val="20"/>
                <w:color w:val="auto"/>
              </w:rPr>
            </w:pPr>
            <w:r>
              <w:rPr>
                <w:rFonts w:ascii="Arial" w:cs="Arial" w:eastAsia="Arial" w:hAnsi="Arial"/>
                <w:sz w:val="14"/>
                <w:szCs w:val="14"/>
                <w:color w:val="auto"/>
              </w:rPr>
              <w:t xml:space="preserve">Debra J. Perry </w:t>
            </w:r>
            <w:r>
              <w:rPr>
                <w:rFonts w:ascii="Arial" w:cs="Arial" w:eastAsia="Arial" w:hAnsi="Arial"/>
                <w:sz w:val="23"/>
                <w:szCs w:val="23"/>
                <w:color w:val="auto"/>
                <w:vertAlign w:val="superscript"/>
              </w:rPr>
              <w:t>(8)</w:t>
            </w:r>
          </w:p>
        </w:tc>
        <w:tc>
          <w:tcPr>
            <w:tcW w:w="1500" w:type="dxa"/>
            <w:vAlign w:val="bottom"/>
            <w:gridSpan w:val="2"/>
          </w:tcPr>
          <w:p>
            <w:pPr>
              <w:ind w:left="520"/>
              <w:spacing w:after="0"/>
              <w:rPr>
                <w:sz w:val="20"/>
                <w:szCs w:val="20"/>
                <w:color w:val="auto"/>
              </w:rPr>
            </w:pPr>
            <w:r>
              <w:rPr>
                <w:rFonts w:ascii="Arial" w:cs="Arial" w:eastAsia="Arial" w:hAnsi="Arial"/>
                <w:sz w:val="16"/>
                <w:szCs w:val="16"/>
                <w:color w:val="auto"/>
              </w:rPr>
              <w:t>—</w:t>
            </w:r>
          </w:p>
        </w:tc>
        <w:tc>
          <w:tcPr>
            <w:tcW w:w="1420" w:type="dxa"/>
            <w:vAlign w:val="bottom"/>
            <w:gridSpan w:val="2"/>
          </w:tcPr>
          <w:p>
            <w:pPr>
              <w:ind w:left="440"/>
              <w:spacing w:after="0"/>
              <w:rPr>
                <w:sz w:val="20"/>
                <w:szCs w:val="20"/>
                <w:color w:val="auto"/>
              </w:rPr>
            </w:pPr>
            <w:r>
              <w:rPr>
                <w:rFonts w:ascii="Arial" w:cs="Arial" w:eastAsia="Arial" w:hAnsi="Arial"/>
                <w:sz w:val="16"/>
                <w:szCs w:val="16"/>
                <w:color w:val="auto"/>
              </w:rPr>
              <w:t>—</w:t>
            </w:r>
          </w:p>
        </w:tc>
        <w:tc>
          <w:tcPr>
            <w:tcW w:w="1120" w:type="dxa"/>
            <w:vAlign w:val="bottom"/>
          </w:tcPr>
          <w:p>
            <w:pPr>
              <w:jc w:val="right"/>
              <w:spacing w:after="0"/>
              <w:rPr>
                <w:sz w:val="20"/>
                <w:szCs w:val="20"/>
                <w:color w:val="auto"/>
              </w:rPr>
            </w:pPr>
            <w:r>
              <w:rPr>
                <w:rFonts w:ascii="Arial" w:cs="Arial" w:eastAsia="Arial" w:hAnsi="Arial"/>
                <w:sz w:val="16"/>
                <w:szCs w:val="16"/>
                <w:color w:val="auto"/>
              </w:rPr>
              <w:t>1,403</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500" w:type="dxa"/>
            <w:vAlign w:val="bottom"/>
            <w:gridSpan w:val="2"/>
            <w:shd w:val="clear" w:color="auto" w:fill="CCEEFF"/>
          </w:tcPr>
          <w:p>
            <w:pPr>
              <w:spacing w:after="0" w:line="202" w:lineRule="exact"/>
              <w:rPr>
                <w:sz w:val="20"/>
                <w:szCs w:val="20"/>
                <w:color w:val="auto"/>
              </w:rPr>
            </w:pPr>
            <w:r>
              <w:rPr>
                <w:rFonts w:ascii="Arial" w:cs="Arial" w:eastAsia="Arial" w:hAnsi="Arial"/>
                <w:sz w:val="14"/>
                <w:szCs w:val="14"/>
                <w:color w:val="auto"/>
              </w:rPr>
              <w:t xml:space="preserve">Robert P. Restrepo Jr. </w:t>
            </w:r>
            <w:r>
              <w:rPr>
                <w:rFonts w:ascii="Arial" w:cs="Arial" w:eastAsia="Arial" w:hAnsi="Arial"/>
                <w:sz w:val="23"/>
                <w:szCs w:val="23"/>
                <w:color w:val="auto"/>
                <w:vertAlign w:val="superscript"/>
              </w:rPr>
              <w:t>(8)</w:t>
            </w:r>
          </w:p>
        </w:tc>
        <w:tc>
          <w:tcPr>
            <w:tcW w:w="1500" w:type="dxa"/>
            <w:vAlign w:val="bottom"/>
            <w:gridSpan w:val="2"/>
            <w:shd w:val="clear" w:color="auto" w:fill="CCEEFF"/>
          </w:tcPr>
          <w:p>
            <w:pPr>
              <w:ind w:left="520"/>
              <w:spacing w:after="0"/>
              <w:rPr>
                <w:sz w:val="20"/>
                <w:szCs w:val="20"/>
                <w:color w:val="auto"/>
              </w:rPr>
            </w:pPr>
            <w:r>
              <w:rPr>
                <w:rFonts w:ascii="Arial" w:cs="Arial" w:eastAsia="Arial" w:hAnsi="Arial"/>
                <w:sz w:val="16"/>
                <w:szCs w:val="16"/>
                <w:color w:val="auto"/>
              </w:rPr>
              <w:t>—</w:t>
            </w:r>
          </w:p>
        </w:tc>
        <w:tc>
          <w:tcPr>
            <w:tcW w:w="1420" w:type="dxa"/>
            <w:vAlign w:val="bottom"/>
            <w:gridSpan w:val="2"/>
            <w:shd w:val="clear" w:color="auto" w:fill="CCEEFF"/>
          </w:tcPr>
          <w:p>
            <w:pPr>
              <w:ind w:left="440"/>
              <w:spacing w:after="0"/>
              <w:rPr>
                <w:sz w:val="20"/>
                <w:szCs w:val="20"/>
                <w:color w:val="auto"/>
              </w:rPr>
            </w:pPr>
            <w:r>
              <w:rPr>
                <w:rFonts w:ascii="Arial" w:cs="Arial" w:eastAsia="Arial" w:hAnsi="Arial"/>
                <w:sz w:val="16"/>
                <w:szCs w:val="16"/>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1,403</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500" w:type="dxa"/>
            <w:vAlign w:val="bottom"/>
            <w:gridSpan w:val="2"/>
          </w:tcPr>
          <w:p>
            <w:pPr>
              <w:spacing w:after="0"/>
              <w:rPr>
                <w:sz w:val="20"/>
                <w:szCs w:val="20"/>
                <w:color w:val="auto"/>
              </w:rPr>
            </w:pPr>
            <w:r>
              <w:rPr>
                <w:rFonts w:ascii="Arial" w:cs="Arial" w:eastAsia="Arial" w:hAnsi="Arial"/>
                <w:sz w:val="16"/>
                <w:szCs w:val="16"/>
                <w:color w:val="auto"/>
              </w:rPr>
              <w:t>James S. Riepe</w:t>
            </w:r>
          </w:p>
        </w:tc>
        <w:tc>
          <w:tcPr>
            <w:tcW w:w="780" w:type="dxa"/>
            <w:vAlign w:val="bottom"/>
          </w:tcPr>
          <w:p>
            <w:pPr>
              <w:jc w:val="right"/>
              <w:spacing w:after="0"/>
              <w:rPr>
                <w:sz w:val="20"/>
                <w:szCs w:val="20"/>
                <w:color w:val="auto"/>
              </w:rPr>
            </w:pPr>
            <w:r>
              <w:rPr>
                <w:rFonts w:ascii="Arial" w:cs="Arial" w:eastAsia="Arial" w:hAnsi="Arial"/>
                <w:sz w:val="16"/>
                <w:szCs w:val="16"/>
                <w:color w:val="auto"/>
              </w:rPr>
              <w:t>68,000</w:t>
            </w:r>
          </w:p>
        </w:tc>
        <w:tc>
          <w:tcPr>
            <w:tcW w:w="7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w:t>
            </w:r>
          </w:p>
        </w:tc>
        <w:tc>
          <w:tcPr>
            <w:tcW w:w="72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237,055</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500" w:type="dxa"/>
            <w:vAlign w:val="bottom"/>
            <w:gridSpan w:val="2"/>
            <w:shd w:val="clear" w:color="auto" w:fill="CCEEFF"/>
          </w:tcPr>
          <w:p>
            <w:pPr>
              <w:spacing w:after="0" w:line="202" w:lineRule="exact"/>
              <w:rPr>
                <w:sz w:val="20"/>
                <w:szCs w:val="20"/>
                <w:color w:val="auto"/>
              </w:rPr>
            </w:pPr>
            <w:r>
              <w:rPr>
                <w:rFonts w:ascii="Arial" w:cs="Arial" w:eastAsia="Arial" w:hAnsi="Arial"/>
                <w:sz w:val="14"/>
                <w:szCs w:val="14"/>
                <w:color w:val="auto"/>
              </w:rPr>
              <w:t xml:space="preserve">All directors and executive officers as a group (17 persons) </w:t>
            </w:r>
            <w:r>
              <w:rPr>
                <w:rFonts w:ascii="Arial" w:cs="Arial" w:eastAsia="Arial" w:hAnsi="Arial"/>
                <w:sz w:val="23"/>
                <w:szCs w:val="23"/>
                <w:color w:val="auto"/>
                <w:vertAlign w:val="superscript"/>
              </w:rPr>
              <w:t>(9)</w:t>
            </w: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1,395,779</w:t>
            </w:r>
          </w:p>
        </w:tc>
        <w:tc>
          <w:tcPr>
            <w:tcW w:w="72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5" w:lineRule="exact"/>
        <w:rPr>
          <w:sz w:val="20"/>
          <w:szCs w:val="20"/>
          <w:color w:val="auto"/>
        </w:rPr>
      </w:pPr>
    </w:p>
    <w:p>
      <w:pPr>
        <w:ind w:left="460" w:hanging="452"/>
        <w:spacing w:after="0"/>
        <w:tabs>
          <w:tab w:leader="none" w:pos="460" w:val="left"/>
        </w:tabs>
        <w:numPr>
          <w:ilvl w:val="0"/>
          <w:numId w:val="71"/>
        </w:numPr>
        <w:rPr>
          <w:rFonts w:ascii="Arial" w:cs="Arial" w:eastAsia="Arial" w:hAnsi="Arial"/>
          <w:sz w:val="18"/>
          <w:szCs w:val="18"/>
          <w:color w:val="auto"/>
        </w:rPr>
      </w:pPr>
      <w:r>
        <w:rPr>
          <w:rFonts w:ascii="Arial" w:cs="Arial" w:eastAsia="Arial" w:hAnsi="Arial"/>
          <w:sz w:val="18"/>
          <w:szCs w:val="18"/>
          <w:color w:val="auto"/>
        </w:rPr>
        <w:t>Less than 1%.</w:t>
      </w:r>
    </w:p>
    <w:p>
      <w:pPr>
        <w:spacing w:after="0" w:line="22" w:lineRule="exact"/>
        <w:rPr>
          <w:sz w:val="20"/>
          <w:szCs w:val="20"/>
          <w:color w:val="auto"/>
        </w:rPr>
      </w:pPr>
    </w:p>
    <w:p>
      <w:pPr>
        <w:ind w:left="460" w:right="80" w:hanging="452"/>
        <w:spacing w:after="0" w:line="251" w:lineRule="auto"/>
        <w:tabs>
          <w:tab w:leader="none" w:pos="460" w:val="left"/>
        </w:tabs>
        <w:numPr>
          <w:ilvl w:val="0"/>
          <w:numId w:val="72"/>
        </w:numPr>
        <w:rPr>
          <w:rFonts w:ascii="Arial" w:cs="Arial" w:eastAsia="Arial" w:hAnsi="Arial"/>
          <w:sz w:val="15"/>
          <w:szCs w:val="15"/>
          <w:color w:val="auto"/>
        </w:rPr>
      </w:pPr>
      <w:r>
        <w:rPr>
          <w:rFonts w:ascii="Arial" w:cs="Arial" w:eastAsia="Arial" w:hAnsi="Arial"/>
          <w:sz w:val="18"/>
          <w:szCs w:val="18"/>
          <w:color w:val="auto"/>
        </w:rPr>
        <w:t>Represents DSUs held by the non-management directors that settle in shares of common stock beginning one year after the director leaves the Board in a single payment or in payments over 10 years, at the election of the director, or earlier upon the death of the director. See Item 11—</w:t>
      </w:r>
      <w:r>
        <w:rPr>
          <w:rFonts w:ascii="Arial" w:cs="Arial" w:eastAsia="Arial" w:hAnsi="Arial"/>
          <w:sz w:val="18"/>
          <w:szCs w:val="18"/>
          <w:i w:val="1"/>
          <w:iCs w:val="1"/>
          <w:color w:val="auto"/>
        </w:rPr>
        <w:t>Compensation of</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Directors </w:t>
      </w:r>
      <w:r>
        <w:rPr>
          <w:rFonts w:ascii="Arial" w:cs="Arial" w:eastAsia="Arial" w:hAnsi="Arial"/>
          <w:sz w:val="18"/>
          <w:szCs w:val="18"/>
          <w:color w:val="auto"/>
        </w:rPr>
        <w:t>for more information regarding DSUs.</w:t>
      </w:r>
    </w:p>
    <w:p>
      <w:pPr>
        <w:ind w:left="460" w:hanging="452"/>
        <w:spacing w:after="0" w:line="250" w:lineRule="auto"/>
        <w:tabs>
          <w:tab w:leader="none" w:pos="460" w:val="left"/>
        </w:tabs>
        <w:numPr>
          <w:ilvl w:val="0"/>
          <w:numId w:val="72"/>
        </w:numPr>
        <w:rPr>
          <w:rFonts w:ascii="Arial" w:cs="Arial" w:eastAsia="Arial" w:hAnsi="Arial"/>
          <w:sz w:val="15"/>
          <w:szCs w:val="15"/>
          <w:color w:val="auto"/>
        </w:rPr>
      </w:pPr>
      <w:r>
        <w:rPr>
          <w:rFonts w:ascii="Arial" w:cs="Arial" w:eastAsia="Arial" w:hAnsi="Arial"/>
          <w:sz w:val="18"/>
          <w:szCs w:val="18"/>
          <w:color w:val="auto"/>
        </w:rPr>
        <w:t>Information obtained solely by reference to the Schedule 13G/A filed with the SEC on January 24, 2017 by BlackRock, Inc. (“BlackRock”). BlackRock reported that it has sole power to vote or direct the vote of 45,449,502 shares and that it has sole power to dispose or to direct the disposition of 46,701,115 shares. The address for BlackRock is 55 East 52nd Street, New York, NY 10055.</w:t>
      </w:r>
    </w:p>
    <w:p>
      <w:pPr>
        <w:spacing w:after="0" w:line="1" w:lineRule="exact"/>
        <w:rPr>
          <w:rFonts w:ascii="Arial" w:cs="Arial" w:eastAsia="Arial" w:hAnsi="Arial"/>
          <w:sz w:val="15"/>
          <w:szCs w:val="15"/>
          <w:color w:val="auto"/>
        </w:rPr>
      </w:pPr>
    </w:p>
    <w:p>
      <w:pPr>
        <w:ind w:left="460" w:hanging="452"/>
        <w:spacing w:after="0" w:line="281" w:lineRule="auto"/>
        <w:tabs>
          <w:tab w:leader="none" w:pos="460" w:val="left"/>
        </w:tabs>
        <w:numPr>
          <w:ilvl w:val="0"/>
          <w:numId w:val="72"/>
        </w:numPr>
        <w:rPr>
          <w:rFonts w:ascii="Arial" w:cs="Arial" w:eastAsia="Arial" w:hAnsi="Arial"/>
          <w:sz w:val="14"/>
          <w:szCs w:val="14"/>
          <w:color w:val="auto"/>
        </w:rPr>
      </w:pPr>
      <w:r>
        <w:rPr>
          <w:rFonts w:ascii="Arial" w:cs="Arial" w:eastAsia="Arial" w:hAnsi="Arial"/>
          <w:sz w:val="16"/>
          <w:szCs w:val="16"/>
          <w:color w:val="auto"/>
        </w:rPr>
        <w:t>Information obtained solely by reference to the Schedule 13G/A filed with the SEC on February 13, 2017 by The Vanguard Group, Inc. (“Vanguard”). Vanguard reported that it has sole power to vote or direct the vote of 598,094 shares that it beneficially owns, and has shared power to vote or direct to vote of 53,776 shares, and that it has sole power to dispose or to direct the disposition of 38,462,036 shares and has shared power to dispose or to direct the disposition of 626,909 shares. Vanguard further reported that (a) Vanguard Fiduciary Trust Company, a wholly-owned subsidiary of Vanguard, is the beneficial owner of 573,133 shares, or 0.11%, of our common stock as a result of its serving as investment manager of collective trust accounts and</w:t>
      </w:r>
    </w:p>
    <w:p>
      <w:pPr>
        <w:spacing w:after="0" w:line="3" w:lineRule="exact"/>
        <w:rPr>
          <w:rFonts w:ascii="Arial" w:cs="Arial" w:eastAsia="Arial" w:hAnsi="Arial"/>
          <w:sz w:val="14"/>
          <w:szCs w:val="14"/>
          <w:color w:val="auto"/>
        </w:rPr>
      </w:pPr>
    </w:p>
    <w:p>
      <w:pPr>
        <w:ind w:left="460" w:right="100"/>
        <w:spacing w:after="0" w:line="250" w:lineRule="auto"/>
        <w:rPr>
          <w:rFonts w:ascii="Arial" w:cs="Arial" w:eastAsia="Arial" w:hAnsi="Arial"/>
          <w:sz w:val="14"/>
          <w:szCs w:val="14"/>
          <w:color w:val="auto"/>
        </w:rPr>
      </w:pPr>
      <w:r>
        <w:rPr>
          <w:rFonts w:ascii="Arial" w:cs="Arial" w:eastAsia="Arial" w:hAnsi="Arial"/>
          <w:sz w:val="18"/>
          <w:szCs w:val="18"/>
          <w:color w:val="auto"/>
        </w:rPr>
        <w:t>(b) Vanguard Investments Australia, Ltd., a wholly-owned subsidiary of The Vanguard Group, Inc., is the beneficial owner of 78,737 shares, or 0.01%, of our common stock as a result of its serving as investment manager of Australian investment offerings. The address for Vanguard is 100 Vanguard Blvd., Malvern, Pennsylvania 19355.</w:t>
      </w:r>
    </w:p>
    <w:p>
      <w:pPr>
        <w:spacing w:after="0" w:line="1" w:lineRule="exact"/>
        <w:rPr>
          <w:rFonts w:ascii="Arial" w:cs="Arial" w:eastAsia="Arial" w:hAnsi="Arial"/>
          <w:sz w:val="14"/>
          <w:szCs w:val="14"/>
          <w:color w:val="auto"/>
        </w:rPr>
      </w:pPr>
    </w:p>
    <w:p>
      <w:pPr>
        <w:ind w:left="460" w:hanging="452"/>
        <w:spacing w:after="0"/>
        <w:tabs>
          <w:tab w:leader="none" w:pos="460" w:val="left"/>
        </w:tabs>
        <w:numPr>
          <w:ilvl w:val="0"/>
          <w:numId w:val="72"/>
        </w:numPr>
        <w:rPr>
          <w:rFonts w:ascii="Arial" w:cs="Arial" w:eastAsia="Arial" w:hAnsi="Arial"/>
          <w:sz w:val="15"/>
          <w:szCs w:val="15"/>
          <w:color w:val="auto"/>
        </w:rPr>
      </w:pPr>
      <w:r>
        <w:rPr>
          <w:rFonts w:ascii="Arial" w:cs="Arial" w:eastAsia="Arial" w:hAnsi="Arial"/>
          <w:sz w:val="18"/>
          <w:szCs w:val="18"/>
          <w:color w:val="auto"/>
        </w:rPr>
        <w:t>Includes 45,650 shares of common stock issuable upon the exercise of stock options.</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72"/>
        </w:numPr>
        <w:rPr>
          <w:rFonts w:ascii="Arial" w:cs="Arial" w:eastAsia="Arial" w:hAnsi="Arial"/>
          <w:sz w:val="15"/>
          <w:szCs w:val="15"/>
          <w:color w:val="auto"/>
        </w:rPr>
      </w:pPr>
      <w:r>
        <w:rPr>
          <w:rFonts w:ascii="Arial" w:cs="Arial" w:eastAsia="Arial" w:hAnsi="Arial"/>
          <w:sz w:val="18"/>
          <w:szCs w:val="18"/>
          <w:color w:val="auto"/>
        </w:rPr>
        <w:t>Includes 14,700 shares of common stock issuable upon the exercise of stock options.</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72"/>
        </w:numPr>
        <w:rPr>
          <w:rFonts w:ascii="Arial" w:cs="Arial" w:eastAsia="Arial" w:hAnsi="Arial"/>
          <w:sz w:val="15"/>
          <w:szCs w:val="15"/>
          <w:color w:val="auto"/>
        </w:rPr>
      </w:pPr>
      <w:r>
        <w:rPr>
          <w:rFonts w:ascii="Arial" w:cs="Arial" w:eastAsia="Arial" w:hAnsi="Arial"/>
          <w:sz w:val="18"/>
          <w:szCs w:val="18"/>
          <w:color w:val="auto"/>
        </w:rPr>
        <w:t>Includes 52,900 shares of common stock issuable upon the exercise of stock options.</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72"/>
        </w:numPr>
        <w:rPr>
          <w:rFonts w:ascii="Arial" w:cs="Arial" w:eastAsia="Arial" w:hAnsi="Arial"/>
          <w:sz w:val="15"/>
          <w:szCs w:val="15"/>
          <w:color w:val="auto"/>
        </w:rPr>
      </w:pPr>
      <w:r>
        <w:rPr>
          <w:rFonts w:ascii="Arial" w:cs="Arial" w:eastAsia="Arial" w:hAnsi="Arial"/>
          <w:sz w:val="18"/>
          <w:szCs w:val="18"/>
          <w:color w:val="auto"/>
        </w:rPr>
        <w:t>Includes 69,100 shares of common stock issuable upon the exercise of stock options.</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72"/>
        </w:numPr>
        <w:rPr>
          <w:rFonts w:ascii="Arial" w:cs="Arial" w:eastAsia="Arial" w:hAnsi="Arial"/>
          <w:sz w:val="15"/>
          <w:szCs w:val="15"/>
          <w:color w:val="auto"/>
        </w:rPr>
      </w:pPr>
      <w:r>
        <w:rPr>
          <w:rFonts w:ascii="Arial" w:cs="Arial" w:eastAsia="Arial" w:hAnsi="Arial"/>
          <w:sz w:val="18"/>
          <w:szCs w:val="18"/>
          <w:color w:val="auto"/>
        </w:rPr>
        <w:t>Elected to the Board of Directors on December 14, 2016.</w:t>
      </w:r>
    </w:p>
    <w:p>
      <w:pPr>
        <w:spacing w:after="0" w:line="9" w:lineRule="exact"/>
        <w:rPr>
          <w:rFonts w:ascii="Arial" w:cs="Arial" w:eastAsia="Arial" w:hAnsi="Arial"/>
          <w:sz w:val="15"/>
          <w:szCs w:val="15"/>
          <w:color w:val="auto"/>
        </w:rPr>
      </w:pPr>
    </w:p>
    <w:p>
      <w:pPr>
        <w:ind w:left="460" w:right="160" w:hanging="452"/>
        <w:spacing w:after="0" w:line="261" w:lineRule="auto"/>
        <w:tabs>
          <w:tab w:leader="none" w:pos="460" w:val="left"/>
        </w:tabs>
        <w:numPr>
          <w:ilvl w:val="0"/>
          <w:numId w:val="72"/>
        </w:numPr>
        <w:rPr>
          <w:rFonts w:ascii="Arial" w:cs="Arial" w:eastAsia="Arial" w:hAnsi="Arial"/>
          <w:sz w:val="15"/>
          <w:szCs w:val="15"/>
          <w:color w:val="auto"/>
        </w:rPr>
      </w:pPr>
      <w:r>
        <w:rPr>
          <w:rFonts w:ascii="Arial" w:cs="Arial" w:eastAsia="Arial" w:hAnsi="Arial"/>
          <w:sz w:val="18"/>
          <w:szCs w:val="18"/>
          <w:color w:val="auto"/>
        </w:rPr>
        <w:t>Includes 41,850 shares of common stock issuable upon the exercise of 103,500 SARs and 182,350 shares of common stock issuable upon the exercise of stock options. Represents ownership by all current directors and executive officers.</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420"/>
          </w:cols>
          <w:pgMar w:left="240" w:top="459" w:right="23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Ownership of Public Company Genworth Subsidiaries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Genworth MI Canada Inc.</w:t>
      </w:r>
    </w:p>
    <w:p>
      <w:pPr>
        <w:spacing w:after="0" w:line="117"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In July 2009, Genworth MI Canada Inc. (“Genworth Canada”), our indirect, majority-owned subsidiary, completed an initial public offering of its common shares. As of March 1, 2017, we beneficially owned 57.2% of the common shares of Genworth Canada. The following table sets forth information as of March 1, 2017, regarding the beneficial ownership of the common shares of Genworth Canada by the named executive officers and all of our directors and executive officers as a group. As of March 1, 2017, none of our current directors beneficially owned any common shares of Genworth Canada. Beneficial ownership is determined in accordance with the rules of the SEC. The executive officers that hold Genworth Canada common shares possess sole voting and investment power with respect to all shares set forth by their name. As of March 1, 2017, there were 91,941,600 common shares of Genworth Canada outstanding and no shares of any other class of voting securities outstanding.</w:t>
      </w:r>
    </w:p>
    <w:p>
      <w:pPr>
        <w:spacing w:after="0" w:line="197" w:lineRule="exact"/>
        <w:rPr>
          <w:sz w:val="20"/>
          <w:szCs w:val="20"/>
          <w:color w:val="auto"/>
        </w:rPr>
      </w:pPr>
    </w:p>
    <w:tbl>
      <w:tblPr>
        <w:tblLayout w:type="fixed"/>
        <w:tblInd w:w="1380" w:type="dxa"/>
        <w:tblCellMar>
          <w:top w:w="0" w:type="dxa"/>
          <w:left w:w="0" w:type="dxa"/>
          <w:bottom w:w="0" w:type="dxa"/>
          <w:right w:w="0" w:type="dxa"/>
        </w:tblCellMar>
      </w:tblPr>
      <w:tr>
        <w:trPr>
          <w:trHeight w:val="171"/>
        </w:trPr>
        <w:tc>
          <w:tcPr>
            <w:tcW w:w="162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220" w:type="dxa"/>
            <w:vAlign w:val="bottom"/>
            <w:tcBorders>
              <w:bottom w:val="single" w:sz="8" w:color="auto"/>
            </w:tcBorders>
            <w:gridSpan w:val="3"/>
          </w:tcPr>
          <w:p>
            <w:pPr>
              <w:jc w:val="right"/>
              <w:ind w:right="370"/>
              <w:spacing w:after="0"/>
              <w:rPr>
                <w:sz w:val="20"/>
                <w:szCs w:val="20"/>
                <w:color w:val="auto"/>
              </w:rPr>
            </w:pPr>
            <w:r>
              <w:rPr>
                <w:rFonts w:ascii="Arial" w:cs="Arial" w:eastAsia="Arial" w:hAnsi="Arial"/>
                <w:sz w:val="14"/>
                <w:szCs w:val="14"/>
                <w:b w:val="1"/>
                <w:bCs w:val="1"/>
                <w:color w:val="auto"/>
              </w:rPr>
              <w:t>Beneficial Ownership</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54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 of Beneficial Owner</w:t>
            </w:r>
          </w:p>
        </w:tc>
        <w:tc>
          <w:tcPr>
            <w:tcW w:w="960" w:type="dxa"/>
            <w:vAlign w:val="bottom"/>
          </w:tcPr>
          <w:p>
            <w:pPr>
              <w:spacing w:after="0"/>
              <w:rPr>
                <w:sz w:val="10"/>
                <w:szCs w:val="10"/>
                <w:color w:val="auto"/>
              </w:rPr>
            </w:pPr>
          </w:p>
        </w:tc>
        <w:tc>
          <w:tcPr>
            <w:tcW w:w="68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rPr>
              <w:t>Number of</w:t>
            </w:r>
          </w:p>
        </w:tc>
        <w:tc>
          <w:tcPr>
            <w:tcW w:w="1600" w:type="dxa"/>
            <w:vAlign w:val="bottom"/>
            <w:gridSpan w:val="3"/>
            <w:vMerge w:val="restart"/>
          </w:tcPr>
          <w:p>
            <w:pPr>
              <w:jc w:val="right"/>
              <w:ind w:right="80"/>
              <w:spacing w:after="0"/>
              <w:rPr>
                <w:sz w:val="20"/>
                <w:szCs w:val="20"/>
                <w:color w:val="auto"/>
              </w:rPr>
            </w:pPr>
            <w:r>
              <w:rPr>
                <w:rFonts w:ascii="Arial" w:cs="Arial" w:eastAsia="Arial" w:hAnsi="Arial"/>
                <w:sz w:val="14"/>
                <w:szCs w:val="14"/>
                <w:b w:val="1"/>
                <w:bCs w:val="1"/>
                <w:color w:val="auto"/>
              </w:rPr>
              <w:t>Percentage</w:t>
            </w:r>
          </w:p>
        </w:tc>
        <w:tc>
          <w:tcPr>
            <w:tcW w:w="0" w:type="dxa"/>
            <w:vAlign w:val="bottom"/>
          </w:tcPr>
          <w:p>
            <w:pPr>
              <w:spacing w:after="0"/>
              <w:rPr>
                <w:sz w:val="1"/>
                <w:szCs w:val="1"/>
                <w:color w:val="auto"/>
              </w:rPr>
            </w:pPr>
          </w:p>
        </w:tc>
      </w:tr>
      <w:tr>
        <w:trPr>
          <w:trHeight w:val="171"/>
        </w:trPr>
        <w:tc>
          <w:tcPr>
            <w:tcW w:w="5440" w:type="dxa"/>
            <w:vAlign w:val="bottom"/>
            <w:gridSpan w:val="2"/>
            <w:vMerge w:val="continue"/>
          </w:tcPr>
          <w:p>
            <w:pPr>
              <w:spacing w:after="0"/>
              <w:rPr>
                <w:sz w:val="14"/>
                <w:szCs w:val="14"/>
                <w:color w:val="auto"/>
              </w:rPr>
            </w:pPr>
          </w:p>
        </w:tc>
        <w:tc>
          <w:tcPr>
            <w:tcW w:w="960" w:type="dxa"/>
            <w:vAlign w:val="bottom"/>
          </w:tcPr>
          <w:p>
            <w:pPr>
              <w:spacing w:after="0"/>
              <w:rPr>
                <w:sz w:val="14"/>
                <w:szCs w:val="14"/>
                <w:color w:val="auto"/>
              </w:rPr>
            </w:pP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85"/>
              </w:rPr>
              <w:t>Shares</w:t>
            </w:r>
          </w:p>
        </w:tc>
        <w:tc>
          <w:tcPr>
            <w:tcW w:w="160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6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92"/>
              </w:rPr>
              <w:t>Thomas J. McInerney</w:t>
            </w:r>
          </w:p>
        </w:tc>
        <w:tc>
          <w:tcPr>
            <w:tcW w:w="3820" w:type="dxa"/>
            <w:vAlign w:val="bottom"/>
            <w:tcBorders>
              <w:top w:val="single" w:sz="8" w:color="CCEEFF"/>
            </w:tcBorders>
            <w:shd w:val="clear" w:color="auto" w:fill="CCEEFF"/>
          </w:tcPr>
          <w:p>
            <w:pPr>
              <w:spacing w:after="0"/>
              <w:rPr>
                <w:sz w:val="18"/>
                <w:szCs w:val="18"/>
                <w:color w:val="auto"/>
              </w:rPr>
            </w:pPr>
          </w:p>
        </w:tc>
        <w:tc>
          <w:tcPr>
            <w:tcW w:w="96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center"/>
              <w:ind w:left="217"/>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40" w:type="dxa"/>
            <w:vAlign w:val="bottom"/>
            <w:gridSpan w:val="2"/>
          </w:tcPr>
          <w:p>
            <w:pPr>
              <w:spacing w:after="0"/>
              <w:rPr>
                <w:sz w:val="20"/>
                <w:szCs w:val="20"/>
                <w:color w:val="auto"/>
              </w:rPr>
            </w:pPr>
            <w:r>
              <w:rPr>
                <w:rFonts w:ascii="Arial" w:cs="Arial" w:eastAsia="Arial" w:hAnsi="Arial"/>
                <w:sz w:val="18"/>
                <w:szCs w:val="18"/>
                <w:color w:val="auto"/>
              </w:rPr>
              <w:t>Kelly L. Groh</w:t>
            </w:r>
          </w:p>
        </w:tc>
        <w:tc>
          <w:tcPr>
            <w:tcW w:w="960" w:type="dxa"/>
            <w:vAlign w:val="bottom"/>
          </w:tcPr>
          <w:p>
            <w:pPr>
              <w:spacing w:after="0"/>
              <w:rPr>
                <w:sz w:val="18"/>
                <w:szCs w:val="18"/>
                <w:color w:val="auto"/>
              </w:rPr>
            </w:pPr>
          </w:p>
        </w:tc>
        <w:tc>
          <w:tcPr>
            <w:tcW w:w="680" w:type="dxa"/>
            <w:vAlign w:val="bottom"/>
          </w:tcPr>
          <w:p>
            <w:pPr>
              <w:jc w:val="center"/>
              <w:ind w:left="217"/>
              <w:spacing w:after="0"/>
              <w:rPr>
                <w:sz w:val="20"/>
                <w:szCs w:val="20"/>
                <w:color w:val="auto"/>
              </w:rPr>
            </w:pPr>
            <w:r>
              <w:rPr>
                <w:rFonts w:ascii="Arial" w:cs="Arial" w:eastAsia="Arial" w:hAnsi="Arial"/>
                <w:sz w:val="18"/>
                <w:szCs w:val="18"/>
                <w:color w:val="auto"/>
                <w:w w:val="99"/>
              </w:rPr>
              <w:t>—</w:t>
            </w:r>
          </w:p>
        </w:tc>
        <w:tc>
          <w:tcPr>
            <w:tcW w:w="860" w:type="dxa"/>
            <w:vAlign w:val="bottom"/>
          </w:tcPr>
          <w:p>
            <w:pPr>
              <w:spacing w:after="0"/>
              <w:rPr>
                <w:sz w:val="18"/>
                <w:szCs w:val="18"/>
                <w:color w:val="auto"/>
              </w:rPr>
            </w:pPr>
          </w:p>
        </w:tc>
        <w:tc>
          <w:tcPr>
            <w:tcW w:w="74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Kevin D. Schneider</w:t>
            </w:r>
          </w:p>
        </w:tc>
        <w:tc>
          <w:tcPr>
            <w:tcW w:w="960" w:type="dxa"/>
            <w:vAlign w:val="bottom"/>
            <w:shd w:val="clear" w:color="auto" w:fill="CCEEFF"/>
          </w:tcPr>
          <w:p>
            <w:pPr>
              <w:spacing w:after="0"/>
              <w:rPr>
                <w:sz w:val="18"/>
                <w:szCs w:val="18"/>
                <w:color w:val="auto"/>
              </w:rPr>
            </w:pPr>
          </w:p>
        </w:tc>
        <w:tc>
          <w:tcPr>
            <w:tcW w:w="680" w:type="dxa"/>
            <w:vAlign w:val="bottom"/>
            <w:shd w:val="clear" w:color="auto" w:fill="CCEEFF"/>
          </w:tcPr>
          <w:p>
            <w:pPr>
              <w:jc w:val="center"/>
              <w:ind w:left="217"/>
              <w:spacing w:after="0"/>
              <w:rPr>
                <w:sz w:val="20"/>
                <w:szCs w:val="20"/>
                <w:color w:val="auto"/>
              </w:rPr>
            </w:pPr>
            <w:r>
              <w:rPr>
                <w:rFonts w:ascii="Arial" w:cs="Arial" w:eastAsia="Arial" w:hAnsi="Arial"/>
                <w:sz w:val="18"/>
                <w:szCs w:val="18"/>
                <w:color w:val="auto"/>
                <w:w w:val="99"/>
              </w:rPr>
              <w:t>—</w:t>
            </w:r>
          </w:p>
        </w:tc>
        <w:tc>
          <w:tcPr>
            <w:tcW w:w="8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440" w:type="dxa"/>
            <w:vAlign w:val="bottom"/>
            <w:gridSpan w:val="2"/>
          </w:tcPr>
          <w:p>
            <w:pPr>
              <w:spacing w:after="0"/>
              <w:rPr>
                <w:sz w:val="20"/>
                <w:szCs w:val="20"/>
                <w:color w:val="auto"/>
              </w:rPr>
            </w:pPr>
            <w:r>
              <w:rPr>
                <w:rFonts w:ascii="Arial" w:cs="Arial" w:eastAsia="Arial" w:hAnsi="Arial"/>
                <w:sz w:val="18"/>
                <w:szCs w:val="18"/>
                <w:color w:val="auto"/>
              </w:rPr>
              <w:t>Ward E. Bobitz</w:t>
            </w:r>
          </w:p>
        </w:tc>
        <w:tc>
          <w:tcPr>
            <w:tcW w:w="960" w:type="dxa"/>
            <w:vAlign w:val="bottom"/>
          </w:tcPr>
          <w:p>
            <w:pPr>
              <w:spacing w:after="0"/>
              <w:rPr>
                <w:sz w:val="18"/>
                <w:szCs w:val="18"/>
                <w:color w:val="auto"/>
              </w:rPr>
            </w:pPr>
          </w:p>
        </w:tc>
        <w:tc>
          <w:tcPr>
            <w:tcW w:w="680" w:type="dxa"/>
            <w:vAlign w:val="bottom"/>
          </w:tcPr>
          <w:p>
            <w:pPr>
              <w:jc w:val="center"/>
              <w:ind w:left="217"/>
              <w:spacing w:after="0"/>
              <w:rPr>
                <w:sz w:val="20"/>
                <w:szCs w:val="20"/>
                <w:color w:val="auto"/>
              </w:rPr>
            </w:pPr>
            <w:r>
              <w:rPr>
                <w:rFonts w:ascii="Arial" w:cs="Arial" w:eastAsia="Arial" w:hAnsi="Arial"/>
                <w:sz w:val="18"/>
                <w:szCs w:val="18"/>
                <w:color w:val="auto"/>
                <w:w w:val="99"/>
              </w:rPr>
              <w:t>—</w:t>
            </w:r>
          </w:p>
        </w:tc>
        <w:tc>
          <w:tcPr>
            <w:tcW w:w="860" w:type="dxa"/>
            <w:vAlign w:val="bottom"/>
          </w:tcPr>
          <w:p>
            <w:pPr>
              <w:spacing w:after="0"/>
              <w:rPr>
                <w:sz w:val="18"/>
                <w:szCs w:val="18"/>
                <w:color w:val="auto"/>
              </w:rPr>
            </w:pPr>
          </w:p>
        </w:tc>
        <w:tc>
          <w:tcPr>
            <w:tcW w:w="74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Daniel J. Sheehan IV</w:t>
            </w:r>
          </w:p>
        </w:tc>
        <w:tc>
          <w:tcPr>
            <w:tcW w:w="960" w:type="dxa"/>
            <w:vAlign w:val="bottom"/>
            <w:shd w:val="clear" w:color="auto" w:fill="CCEEFF"/>
          </w:tcPr>
          <w:p>
            <w:pPr>
              <w:spacing w:after="0"/>
              <w:rPr>
                <w:sz w:val="18"/>
                <w:szCs w:val="18"/>
                <w:color w:val="auto"/>
              </w:rPr>
            </w:pPr>
          </w:p>
        </w:tc>
        <w:tc>
          <w:tcPr>
            <w:tcW w:w="680" w:type="dxa"/>
            <w:vAlign w:val="bottom"/>
            <w:shd w:val="clear" w:color="auto" w:fill="CCEEFF"/>
          </w:tcPr>
          <w:p>
            <w:pPr>
              <w:jc w:val="center"/>
              <w:ind w:left="217"/>
              <w:spacing w:after="0"/>
              <w:rPr>
                <w:sz w:val="20"/>
                <w:szCs w:val="20"/>
                <w:color w:val="auto"/>
              </w:rPr>
            </w:pPr>
            <w:r>
              <w:rPr>
                <w:rFonts w:ascii="Arial" w:cs="Arial" w:eastAsia="Arial" w:hAnsi="Arial"/>
                <w:sz w:val="18"/>
                <w:szCs w:val="18"/>
                <w:color w:val="auto"/>
                <w:w w:val="99"/>
              </w:rPr>
              <w:t>—</w:t>
            </w:r>
          </w:p>
        </w:tc>
        <w:tc>
          <w:tcPr>
            <w:tcW w:w="8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5440" w:type="dxa"/>
            <w:vAlign w:val="bottom"/>
            <w:gridSpan w:val="2"/>
          </w:tcPr>
          <w:p>
            <w:pPr>
              <w:spacing w:after="0"/>
              <w:rPr>
                <w:sz w:val="20"/>
                <w:szCs w:val="20"/>
                <w:color w:val="auto"/>
              </w:rPr>
            </w:pPr>
            <w:r>
              <w:rPr>
                <w:rFonts w:ascii="Arial" w:cs="Arial" w:eastAsia="Arial" w:hAnsi="Arial"/>
                <w:sz w:val="18"/>
                <w:szCs w:val="18"/>
                <w:color w:val="auto"/>
              </w:rPr>
              <w:t xml:space="preserve">All directors and executive officers as a group (17 persons) </w:t>
            </w:r>
            <w:r>
              <w:rPr>
                <w:rFonts w:ascii="Arial" w:cs="Arial" w:eastAsia="Arial" w:hAnsi="Arial"/>
                <w:sz w:val="15"/>
                <w:szCs w:val="15"/>
                <w:color w:val="auto"/>
              </w:rPr>
              <w:t>(1)</w:t>
            </w:r>
          </w:p>
        </w:tc>
        <w:tc>
          <w:tcPr>
            <w:tcW w:w="1640" w:type="dxa"/>
            <w:vAlign w:val="bottom"/>
            <w:gridSpan w:val="2"/>
          </w:tcPr>
          <w:p>
            <w:pPr>
              <w:jc w:val="center"/>
              <w:ind w:left="1150"/>
              <w:spacing w:after="0"/>
              <w:rPr>
                <w:sz w:val="20"/>
                <w:szCs w:val="20"/>
                <w:color w:val="auto"/>
              </w:rPr>
            </w:pPr>
            <w:r>
              <w:rPr>
                <w:rFonts w:ascii="Arial" w:cs="Arial" w:eastAsia="Arial" w:hAnsi="Arial"/>
                <w:sz w:val="18"/>
                <w:szCs w:val="18"/>
                <w:color w:val="auto"/>
                <w:w w:val="88"/>
              </w:rPr>
              <w:t>4,530</w:t>
            </w:r>
          </w:p>
        </w:tc>
        <w:tc>
          <w:tcPr>
            <w:tcW w:w="15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76835</wp:posOffset>
            </wp:positionV>
            <wp:extent cx="728980"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40" w:lineRule="exact"/>
        <w:rPr>
          <w:sz w:val="20"/>
          <w:szCs w:val="20"/>
          <w:color w:val="auto"/>
        </w:rPr>
      </w:pPr>
    </w:p>
    <w:p>
      <w:pPr>
        <w:ind w:left="460" w:hanging="452"/>
        <w:spacing w:after="0"/>
        <w:tabs>
          <w:tab w:leader="none" w:pos="460" w:val="left"/>
        </w:tabs>
        <w:numPr>
          <w:ilvl w:val="0"/>
          <w:numId w:val="73"/>
        </w:numPr>
        <w:rPr>
          <w:rFonts w:ascii="Arial" w:cs="Arial" w:eastAsia="Arial" w:hAnsi="Arial"/>
          <w:sz w:val="18"/>
          <w:szCs w:val="18"/>
          <w:color w:val="auto"/>
        </w:rPr>
      </w:pPr>
      <w:r>
        <w:rPr>
          <w:rFonts w:ascii="Arial" w:cs="Arial" w:eastAsia="Arial" w:hAnsi="Arial"/>
          <w:sz w:val="18"/>
          <w:szCs w:val="18"/>
          <w:color w:val="auto"/>
        </w:rPr>
        <w:t>Less than 1%.</w:t>
      </w:r>
    </w:p>
    <w:p>
      <w:pPr>
        <w:spacing w:after="0" w:line="22" w:lineRule="exact"/>
        <w:rPr>
          <w:sz w:val="20"/>
          <w:szCs w:val="20"/>
          <w:color w:val="auto"/>
        </w:rPr>
      </w:pPr>
    </w:p>
    <w:p>
      <w:pPr>
        <w:ind w:left="460" w:hanging="452"/>
        <w:spacing w:after="0"/>
        <w:tabs>
          <w:tab w:leader="none" w:pos="460" w:val="left"/>
        </w:tabs>
        <w:numPr>
          <w:ilvl w:val="0"/>
          <w:numId w:val="74"/>
        </w:numPr>
        <w:rPr>
          <w:rFonts w:ascii="Arial" w:cs="Arial" w:eastAsia="Arial" w:hAnsi="Arial"/>
          <w:sz w:val="15"/>
          <w:szCs w:val="15"/>
          <w:color w:val="auto"/>
        </w:rPr>
      </w:pPr>
      <w:r>
        <w:rPr>
          <w:rFonts w:ascii="Arial" w:cs="Arial" w:eastAsia="Arial" w:hAnsi="Arial"/>
          <w:sz w:val="18"/>
          <w:szCs w:val="18"/>
          <w:color w:val="auto"/>
        </w:rPr>
        <w:t>Represents ownership by all current directors and executive officers.</w:t>
      </w:r>
    </w:p>
    <w:p>
      <w:pPr>
        <w:spacing w:after="0" w:line="320" w:lineRule="exact"/>
        <w:rPr>
          <w:rFonts w:ascii="Arial" w:cs="Arial" w:eastAsia="Arial" w:hAnsi="Arial"/>
          <w:sz w:val="15"/>
          <w:szCs w:val="15"/>
          <w:color w:val="auto"/>
        </w:rPr>
      </w:pPr>
    </w:p>
    <w:p>
      <w:pPr>
        <w:ind w:left="460"/>
        <w:spacing w:after="0"/>
        <w:rPr>
          <w:rFonts w:ascii="Arial" w:cs="Arial" w:eastAsia="Arial" w:hAnsi="Arial"/>
          <w:sz w:val="15"/>
          <w:szCs w:val="15"/>
          <w:color w:val="auto"/>
        </w:rPr>
      </w:pPr>
      <w:r>
        <w:rPr>
          <w:rFonts w:ascii="Arial" w:cs="Arial" w:eastAsia="Arial" w:hAnsi="Arial"/>
          <w:sz w:val="18"/>
          <w:szCs w:val="18"/>
          <w:b w:val="1"/>
          <w:bCs w:val="1"/>
          <w:i w:val="1"/>
          <w:iCs w:val="1"/>
          <w:color w:val="auto"/>
        </w:rPr>
        <w:t>Genworth Mortgage Insurance Australia Limited</w:t>
      </w:r>
    </w:p>
    <w:p>
      <w:pPr>
        <w:spacing w:after="0" w:line="117" w:lineRule="exact"/>
        <w:rPr>
          <w:sz w:val="20"/>
          <w:szCs w:val="20"/>
          <w:color w:val="auto"/>
        </w:rPr>
      </w:pPr>
    </w:p>
    <w:p>
      <w:pPr>
        <w:ind w:right="100" w:firstLine="456"/>
        <w:spacing w:after="0" w:line="291" w:lineRule="auto"/>
        <w:rPr>
          <w:sz w:val="20"/>
          <w:szCs w:val="20"/>
          <w:color w:val="auto"/>
        </w:rPr>
      </w:pPr>
      <w:r>
        <w:rPr>
          <w:rFonts w:ascii="Arial" w:cs="Arial" w:eastAsia="Arial" w:hAnsi="Arial"/>
          <w:sz w:val="16"/>
          <w:szCs w:val="16"/>
          <w:color w:val="auto"/>
        </w:rPr>
        <w:t>In May 2014, Genworth Mortgage Insurance Australia Limited (“Genworth Australia”), our indirect, majority-owned subsidiary, completed an initial public offering of its common shares. As of March 1, 2017, we beneficially owned 52.0% of the common shares of Genworth Australia. The following table sets forth information as of March 1, 2017, regarding the beneficial ownership of the common shares of Genworth Australia by the named executive officers and all of our directors and executive officers as a group. As of March 1, 2017, none of our current directors beneficially owned any common shares of Genworth Australia. Beneficial ownership is determined in accordance with the rules of the SEC. The executive officers that hold Genworth Australia common shares possess sole voting and investment power with respect to all shares set forth by their name. As of March 1, 2017, there were 509,149,741 common shares of Genworth Australia outstanding and no shares of any other class of voting securities outstanding.</w:t>
      </w:r>
    </w:p>
    <w:p>
      <w:pPr>
        <w:spacing w:after="0" w:line="186" w:lineRule="exact"/>
        <w:rPr>
          <w:sz w:val="20"/>
          <w:szCs w:val="20"/>
          <w:color w:val="auto"/>
        </w:rPr>
      </w:pPr>
    </w:p>
    <w:tbl>
      <w:tblPr>
        <w:tblLayout w:type="fixed"/>
        <w:tblInd w:w="1380" w:type="dxa"/>
        <w:tblCellMar>
          <w:top w:w="0" w:type="dxa"/>
          <w:left w:w="0" w:type="dxa"/>
          <w:bottom w:w="0" w:type="dxa"/>
          <w:right w:w="0" w:type="dxa"/>
        </w:tblCellMar>
      </w:tblPr>
      <w:tr>
        <w:trPr>
          <w:trHeight w:val="171"/>
        </w:trPr>
        <w:tc>
          <w:tcPr>
            <w:tcW w:w="1620" w:type="dxa"/>
            <w:vAlign w:val="bottom"/>
          </w:tcPr>
          <w:p>
            <w:pPr>
              <w:spacing w:after="0"/>
              <w:rPr>
                <w:sz w:val="14"/>
                <w:szCs w:val="14"/>
                <w:color w:val="auto"/>
              </w:rPr>
            </w:pPr>
          </w:p>
        </w:tc>
        <w:tc>
          <w:tcPr>
            <w:tcW w:w="38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2080" w:type="dxa"/>
            <w:vAlign w:val="bottom"/>
            <w:tcBorders>
              <w:bottom w:val="single" w:sz="8" w:color="auto"/>
            </w:tcBorders>
            <w:gridSpan w:val="3"/>
          </w:tcPr>
          <w:p>
            <w:pPr>
              <w:jc w:val="right"/>
              <w:ind w:right="290"/>
              <w:spacing w:after="0"/>
              <w:rPr>
                <w:sz w:val="20"/>
                <w:szCs w:val="20"/>
                <w:color w:val="auto"/>
              </w:rPr>
            </w:pPr>
            <w:r>
              <w:rPr>
                <w:rFonts w:ascii="Arial" w:cs="Arial" w:eastAsia="Arial" w:hAnsi="Arial"/>
                <w:sz w:val="14"/>
                <w:szCs w:val="14"/>
                <w:b w:val="1"/>
                <w:bCs w:val="1"/>
                <w:color w:val="auto"/>
              </w:rPr>
              <w:t>Beneficial Ownership</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1620" w:type="dxa"/>
            <w:vAlign w:val="bottom"/>
            <w:vMerge w:val="restart"/>
          </w:tcPr>
          <w:p>
            <w:pPr>
              <w:spacing w:after="0"/>
              <w:rPr>
                <w:sz w:val="20"/>
                <w:szCs w:val="20"/>
                <w:color w:val="auto"/>
              </w:rPr>
            </w:pPr>
            <w:r>
              <w:rPr>
                <w:rFonts w:ascii="Arial" w:cs="Arial" w:eastAsia="Arial" w:hAnsi="Arial"/>
                <w:sz w:val="14"/>
                <w:szCs w:val="14"/>
                <w:b w:val="1"/>
                <w:bCs w:val="1"/>
                <w:color w:val="auto"/>
                <w:w w:val="92"/>
              </w:rPr>
              <w:t>Name of Beneficial Owner</w:t>
            </w:r>
          </w:p>
        </w:tc>
        <w:tc>
          <w:tcPr>
            <w:tcW w:w="3880" w:type="dxa"/>
            <w:vAlign w:val="bottom"/>
            <w:vMerge w:val="restart"/>
          </w:tcPr>
          <w:p>
            <w:pPr>
              <w:spacing w:after="0"/>
              <w:rPr>
                <w:sz w:val="10"/>
                <w:szCs w:val="10"/>
                <w:color w:val="auto"/>
              </w:rPr>
            </w:pPr>
          </w:p>
        </w:tc>
        <w:tc>
          <w:tcPr>
            <w:tcW w:w="1040" w:type="dxa"/>
            <w:vAlign w:val="bottom"/>
          </w:tcPr>
          <w:p>
            <w:pPr>
              <w:spacing w:after="0"/>
              <w:rPr>
                <w:sz w:val="10"/>
                <w:szCs w:val="10"/>
                <w:color w:val="auto"/>
              </w:rPr>
            </w:pPr>
          </w:p>
        </w:tc>
        <w:tc>
          <w:tcPr>
            <w:tcW w:w="680" w:type="dxa"/>
            <w:vAlign w:val="bottom"/>
          </w:tcPr>
          <w:p>
            <w:pPr>
              <w:jc w:val="right"/>
              <w:spacing w:after="0" w:line="119" w:lineRule="exact"/>
              <w:rPr>
                <w:sz w:val="20"/>
                <w:szCs w:val="20"/>
                <w:color w:val="auto"/>
              </w:rPr>
            </w:pPr>
            <w:r>
              <w:rPr>
                <w:rFonts w:ascii="Arial" w:cs="Arial" w:eastAsia="Arial" w:hAnsi="Arial"/>
                <w:sz w:val="13"/>
                <w:szCs w:val="13"/>
                <w:b w:val="1"/>
                <w:bCs w:val="1"/>
                <w:color w:val="auto"/>
                <w:w w:val="98"/>
              </w:rPr>
              <w:t>Number of</w:t>
            </w:r>
          </w:p>
        </w:tc>
        <w:tc>
          <w:tcPr>
            <w:tcW w:w="1460" w:type="dxa"/>
            <w:vAlign w:val="bottom"/>
            <w:gridSpan w:val="3"/>
            <w:vMerge w:val="restart"/>
          </w:tcPr>
          <w:p>
            <w:pPr>
              <w:jc w:val="right"/>
              <w:ind w:right="80"/>
              <w:spacing w:after="0"/>
              <w:rPr>
                <w:sz w:val="20"/>
                <w:szCs w:val="20"/>
                <w:color w:val="auto"/>
              </w:rPr>
            </w:pPr>
            <w:r>
              <w:rPr>
                <w:rFonts w:ascii="Arial" w:cs="Arial" w:eastAsia="Arial" w:hAnsi="Arial"/>
                <w:sz w:val="14"/>
                <w:szCs w:val="14"/>
                <w:b w:val="1"/>
                <w:bCs w:val="1"/>
                <w:color w:val="auto"/>
              </w:rPr>
              <w:t>Percentage</w:t>
            </w:r>
          </w:p>
        </w:tc>
        <w:tc>
          <w:tcPr>
            <w:tcW w:w="0" w:type="dxa"/>
            <w:vAlign w:val="bottom"/>
          </w:tcPr>
          <w:p>
            <w:pPr>
              <w:spacing w:after="0"/>
              <w:rPr>
                <w:sz w:val="1"/>
                <w:szCs w:val="1"/>
                <w:color w:val="auto"/>
              </w:rPr>
            </w:pPr>
          </w:p>
        </w:tc>
      </w:tr>
      <w:tr>
        <w:trPr>
          <w:trHeight w:val="178"/>
        </w:trPr>
        <w:tc>
          <w:tcPr>
            <w:tcW w:w="1620" w:type="dxa"/>
            <w:vAlign w:val="bottom"/>
            <w:tcBorders>
              <w:bottom w:val="single" w:sz="8" w:color="auto"/>
            </w:tcBorders>
            <w:vMerge w:val="continue"/>
          </w:tcPr>
          <w:p>
            <w:pPr>
              <w:spacing w:after="0"/>
              <w:rPr>
                <w:sz w:val="15"/>
                <w:szCs w:val="15"/>
                <w:color w:val="auto"/>
              </w:rPr>
            </w:pPr>
          </w:p>
        </w:tc>
        <w:tc>
          <w:tcPr>
            <w:tcW w:w="3880" w:type="dxa"/>
            <w:vAlign w:val="bottom"/>
            <w:vMerge w:val="continue"/>
          </w:tcPr>
          <w:p>
            <w:pPr>
              <w:spacing w:after="0"/>
              <w:rPr>
                <w:sz w:val="15"/>
                <w:szCs w:val="15"/>
                <w:color w:val="auto"/>
              </w:rPr>
            </w:pPr>
          </w:p>
        </w:tc>
        <w:tc>
          <w:tcPr>
            <w:tcW w:w="1040" w:type="dxa"/>
            <w:vAlign w:val="bottom"/>
          </w:tcPr>
          <w:p>
            <w:pPr>
              <w:spacing w:after="0"/>
              <w:rPr>
                <w:sz w:val="15"/>
                <w:szCs w:val="15"/>
                <w:color w:val="auto"/>
              </w:rPr>
            </w:pPr>
          </w:p>
        </w:tc>
        <w:tc>
          <w:tcPr>
            <w:tcW w:w="680" w:type="dxa"/>
            <w:vAlign w:val="bottom"/>
          </w:tcPr>
          <w:p>
            <w:pPr>
              <w:jc w:val="right"/>
              <w:ind w:right="58"/>
              <w:spacing w:after="0" w:line="158" w:lineRule="exact"/>
              <w:rPr>
                <w:sz w:val="20"/>
                <w:szCs w:val="20"/>
                <w:color w:val="auto"/>
              </w:rPr>
            </w:pPr>
            <w:r>
              <w:rPr>
                <w:rFonts w:ascii="Arial" w:cs="Arial" w:eastAsia="Arial" w:hAnsi="Arial"/>
                <w:sz w:val="14"/>
                <w:szCs w:val="14"/>
                <w:b w:val="1"/>
                <w:bCs w:val="1"/>
                <w:color w:val="auto"/>
              </w:rPr>
              <w:t>Shares</w:t>
            </w:r>
          </w:p>
        </w:tc>
        <w:tc>
          <w:tcPr>
            <w:tcW w:w="1460" w:type="dxa"/>
            <w:vAlign w:val="bottom"/>
            <w:gridSpan w:val="3"/>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5500" w:type="dxa"/>
            <w:vAlign w:val="bottom"/>
            <w:tcBorders>
              <w:top w:val="single" w:sz="8" w:color="CCEEFF"/>
            </w:tcBorders>
            <w:gridSpan w:val="2"/>
            <w:shd w:val="clear" w:color="auto" w:fill="CCEEFF"/>
          </w:tcPr>
          <w:p>
            <w:pPr>
              <w:spacing w:after="0" w:line="203" w:lineRule="exact"/>
              <w:rPr>
                <w:sz w:val="20"/>
                <w:szCs w:val="20"/>
                <w:color w:val="auto"/>
              </w:rPr>
            </w:pPr>
            <w:r>
              <w:rPr>
                <w:rFonts w:ascii="Arial" w:cs="Arial" w:eastAsia="Arial" w:hAnsi="Arial"/>
                <w:sz w:val="18"/>
                <w:szCs w:val="18"/>
                <w:color w:val="auto"/>
              </w:rPr>
              <w:t>Thomas J. McInerney</w:t>
            </w:r>
          </w:p>
        </w:tc>
        <w:tc>
          <w:tcPr>
            <w:tcW w:w="104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jc w:val="right"/>
              <w:ind w:right="18"/>
              <w:spacing w:after="0" w:line="203" w:lineRule="exact"/>
              <w:rPr>
                <w:sz w:val="20"/>
                <w:szCs w:val="20"/>
                <w:color w:val="auto"/>
              </w:rPr>
            </w:pPr>
            <w:r>
              <w:rPr>
                <w:rFonts w:ascii="Arial" w:cs="Arial" w:eastAsia="Arial" w:hAnsi="Arial"/>
                <w:sz w:val="18"/>
                <w:szCs w:val="18"/>
                <w:color w:val="auto"/>
              </w:rPr>
              <w:t>—</w:t>
            </w:r>
          </w:p>
        </w:tc>
        <w:tc>
          <w:tcPr>
            <w:tcW w:w="72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ind w:left="400"/>
              <w:spacing w:after="0" w:line="203" w:lineRule="exact"/>
              <w:rPr>
                <w:sz w:val="20"/>
                <w:szCs w:val="20"/>
                <w:color w:val="auto"/>
              </w:rPr>
            </w:pPr>
            <w:r>
              <w:rPr>
                <w:rFonts w:ascii="Arial" w:cs="Arial" w:eastAsia="Arial" w:hAnsi="Arial"/>
                <w:sz w:val="18"/>
                <w:szCs w:val="18"/>
                <w:color w:val="auto"/>
              </w:rPr>
              <w:t>—</w:t>
            </w:r>
          </w:p>
        </w:tc>
        <w:tc>
          <w:tcPr>
            <w:tcW w:w="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500" w:type="dxa"/>
            <w:vAlign w:val="bottom"/>
            <w:gridSpan w:val="2"/>
          </w:tcPr>
          <w:p>
            <w:pPr>
              <w:spacing w:after="0"/>
              <w:rPr>
                <w:sz w:val="20"/>
                <w:szCs w:val="20"/>
                <w:color w:val="auto"/>
              </w:rPr>
            </w:pPr>
            <w:r>
              <w:rPr>
                <w:rFonts w:ascii="Arial" w:cs="Arial" w:eastAsia="Arial" w:hAnsi="Arial"/>
                <w:sz w:val="18"/>
                <w:szCs w:val="18"/>
                <w:color w:val="auto"/>
              </w:rPr>
              <w:t>Kelly L. Groh</w:t>
            </w:r>
          </w:p>
        </w:tc>
        <w:tc>
          <w:tcPr>
            <w:tcW w:w="1040" w:type="dxa"/>
            <w:vAlign w:val="bottom"/>
          </w:tcPr>
          <w:p>
            <w:pPr>
              <w:spacing w:after="0"/>
              <w:rPr>
                <w:sz w:val="18"/>
                <w:szCs w:val="18"/>
                <w:color w:val="auto"/>
              </w:rPr>
            </w:pPr>
          </w:p>
        </w:tc>
        <w:tc>
          <w:tcPr>
            <w:tcW w:w="680" w:type="dxa"/>
            <w:vAlign w:val="bottom"/>
          </w:tcPr>
          <w:p>
            <w:pPr>
              <w:jc w:val="right"/>
              <w:ind w:right="18"/>
              <w:spacing w:after="0"/>
              <w:rPr>
                <w:sz w:val="20"/>
                <w:szCs w:val="20"/>
                <w:color w:val="auto"/>
              </w:rPr>
            </w:pPr>
            <w:r>
              <w:rPr>
                <w:rFonts w:ascii="Arial" w:cs="Arial" w:eastAsia="Arial" w:hAnsi="Arial"/>
                <w:sz w:val="18"/>
                <w:szCs w:val="18"/>
                <w:color w:val="auto"/>
              </w:rPr>
              <w:t>—</w:t>
            </w:r>
          </w:p>
        </w:tc>
        <w:tc>
          <w:tcPr>
            <w:tcW w:w="720" w:type="dxa"/>
            <w:vAlign w:val="bottom"/>
          </w:tcPr>
          <w:p>
            <w:pPr>
              <w:spacing w:after="0"/>
              <w:rPr>
                <w:sz w:val="18"/>
                <w:szCs w:val="18"/>
                <w:color w:val="auto"/>
              </w:rPr>
            </w:pPr>
          </w:p>
        </w:tc>
        <w:tc>
          <w:tcPr>
            <w:tcW w:w="74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Kevin D. Schneider</w:t>
            </w:r>
          </w:p>
        </w:tc>
        <w:tc>
          <w:tcPr>
            <w:tcW w:w="1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33,419</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00" w:type="dxa"/>
            <w:vAlign w:val="bottom"/>
            <w:gridSpan w:val="2"/>
          </w:tcPr>
          <w:p>
            <w:pPr>
              <w:spacing w:after="0"/>
              <w:rPr>
                <w:sz w:val="20"/>
                <w:szCs w:val="20"/>
                <w:color w:val="auto"/>
              </w:rPr>
            </w:pPr>
            <w:r>
              <w:rPr>
                <w:rFonts w:ascii="Arial" w:cs="Arial" w:eastAsia="Arial" w:hAnsi="Arial"/>
                <w:sz w:val="18"/>
                <w:szCs w:val="18"/>
                <w:color w:val="auto"/>
              </w:rPr>
              <w:t>Ward E. Bobitz</w:t>
            </w:r>
          </w:p>
        </w:tc>
        <w:tc>
          <w:tcPr>
            <w:tcW w:w="1040" w:type="dxa"/>
            <w:vAlign w:val="bottom"/>
          </w:tcPr>
          <w:p>
            <w:pPr>
              <w:spacing w:after="0"/>
              <w:rPr>
                <w:sz w:val="18"/>
                <w:szCs w:val="18"/>
                <w:color w:val="auto"/>
              </w:rPr>
            </w:pPr>
          </w:p>
        </w:tc>
        <w:tc>
          <w:tcPr>
            <w:tcW w:w="680" w:type="dxa"/>
            <w:vAlign w:val="bottom"/>
          </w:tcPr>
          <w:p>
            <w:pPr>
              <w:jc w:val="right"/>
              <w:ind w:right="18"/>
              <w:spacing w:after="0"/>
              <w:rPr>
                <w:sz w:val="20"/>
                <w:szCs w:val="20"/>
                <w:color w:val="auto"/>
              </w:rPr>
            </w:pPr>
            <w:r>
              <w:rPr>
                <w:rFonts w:ascii="Arial" w:cs="Arial" w:eastAsia="Arial" w:hAnsi="Arial"/>
                <w:sz w:val="18"/>
                <w:szCs w:val="18"/>
                <w:color w:val="auto"/>
              </w:rPr>
              <w:t>—</w:t>
            </w:r>
          </w:p>
        </w:tc>
        <w:tc>
          <w:tcPr>
            <w:tcW w:w="720" w:type="dxa"/>
            <w:vAlign w:val="bottom"/>
          </w:tcPr>
          <w:p>
            <w:pPr>
              <w:spacing w:after="0"/>
              <w:rPr>
                <w:sz w:val="18"/>
                <w:szCs w:val="18"/>
                <w:color w:val="auto"/>
              </w:rPr>
            </w:pPr>
          </w:p>
        </w:tc>
        <w:tc>
          <w:tcPr>
            <w:tcW w:w="74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Daniel J. Sheehan IV</w:t>
            </w:r>
          </w:p>
        </w:tc>
        <w:tc>
          <w:tcPr>
            <w:tcW w:w="104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18"/>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5500" w:type="dxa"/>
            <w:vAlign w:val="bottom"/>
            <w:gridSpan w:val="2"/>
          </w:tcPr>
          <w:p>
            <w:pPr>
              <w:spacing w:after="0"/>
              <w:rPr>
                <w:sz w:val="20"/>
                <w:szCs w:val="20"/>
                <w:color w:val="auto"/>
              </w:rPr>
            </w:pPr>
            <w:r>
              <w:rPr>
                <w:rFonts w:ascii="Arial" w:cs="Arial" w:eastAsia="Arial" w:hAnsi="Arial"/>
                <w:sz w:val="18"/>
                <w:szCs w:val="18"/>
                <w:color w:val="auto"/>
              </w:rPr>
              <w:t xml:space="preserve">All directors and executive officers as a group (17 persons) </w:t>
            </w:r>
            <w:r>
              <w:rPr>
                <w:rFonts w:ascii="Arial" w:cs="Arial" w:eastAsia="Arial" w:hAnsi="Arial"/>
                <w:sz w:val="15"/>
                <w:szCs w:val="15"/>
                <w:color w:val="auto"/>
              </w:rPr>
              <w:t>(1)</w:t>
            </w:r>
          </w:p>
        </w:tc>
        <w:tc>
          <w:tcPr>
            <w:tcW w:w="1720" w:type="dxa"/>
            <w:vAlign w:val="bottom"/>
            <w:gridSpan w:val="2"/>
          </w:tcPr>
          <w:p>
            <w:pPr>
              <w:jc w:val="right"/>
              <w:spacing w:after="0"/>
              <w:rPr>
                <w:sz w:val="20"/>
                <w:szCs w:val="20"/>
                <w:color w:val="auto"/>
              </w:rPr>
            </w:pPr>
            <w:r>
              <w:rPr>
                <w:rFonts w:ascii="Arial" w:cs="Arial" w:eastAsia="Arial" w:hAnsi="Arial"/>
                <w:sz w:val="18"/>
                <w:szCs w:val="18"/>
                <w:color w:val="auto"/>
              </w:rPr>
              <w:t>100,024</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76835</wp:posOffset>
            </wp:positionV>
            <wp:extent cx="728980" cy="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40" w:lineRule="exact"/>
        <w:rPr>
          <w:sz w:val="20"/>
          <w:szCs w:val="20"/>
          <w:color w:val="auto"/>
        </w:rPr>
      </w:pPr>
    </w:p>
    <w:p>
      <w:pPr>
        <w:ind w:left="460" w:hanging="452"/>
        <w:spacing w:after="0"/>
        <w:tabs>
          <w:tab w:leader="none" w:pos="460" w:val="left"/>
        </w:tabs>
        <w:numPr>
          <w:ilvl w:val="0"/>
          <w:numId w:val="75"/>
        </w:numPr>
        <w:rPr>
          <w:rFonts w:ascii="Arial" w:cs="Arial" w:eastAsia="Arial" w:hAnsi="Arial"/>
          <w:sz w:val="18"/>
          <w:szCs w:val="18"/>
          <w:color w:val="auto"/>
        </w:rPr>
      </w:pPr>
      <w:r>
        <w:rPr>
          <w:rFonts w:ascii="Arial" w:cs="Arial" w:eastAsia="Arial" w:hAnsi="Arial"/>
          <w:sz w:val="18"/>
          <w:szCs w:val="18"/>
          <w:color w:val="auto"/>
        </w:rPr>
        <w:t>Less than 1%.</w:t>
      </w:r>
    </w:p>
    <w:p>
      <w:pPr>
        <w:spacing w:after="0" w:line="22" w:lineRule="exact"/>
        <w:rPr>
          <w:sz w:val="20"/>
          <w:szCs w:val="20"/>
          <w:color w:val="auto"/>
        </w:rPr>
      </w:pPr>
    </w:p>
    <w:p>
      <w:pPr>
        <w:ind w:left="460" w:hanging="452"/>
        <w:spacing w:after="0"/>
        <w:tabs>
          <w:tab w:leader="none" w:pos="460" w:val="left"/>
        </w:tabs>
        <w:numPr>
          <w:ilvl w:val="0"/>
          <w:numId w:val="76"/>
        </w:numPr>
        <w:rPr>
          <w:rFonts w:ascii="Arial" w:cs="Arial" w:eastAsia="Arial" w:hAnsi="Arial"/>
          <w:sz w:val="15"/>
          <w:szCs w:val="15"/>
          <w:color w:val="auto"/>
        </w:rPr>
      </w:pPr>
      <w:r>
        <w:rPr>
          <w:rFonts w:ascii="Arial" w:cs="Arial" w:eastAsia="Arial" w:hAnsi="Arial"/>
          <w:sz w:val="18"/>
          <w:szCs w:val="18"/>
          <w:color w:val="auto"/>
        </w:rPr>
        <w:t>Represents ownership by all current directors and executive officers.</w:t>
      </w:r>
    </w:p>
    <w:p>
      <w:pPr>
        <w:spacing w:after="0" w:line="14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380"/>
          </w:cols>
          <w:pgMar w:left="240" w:top="459" w:right="27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COMPENSATION PLANS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gives information as of December 31, 2016 about common stock that may be issued under all of our existing equity compensation</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plans: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3660" w:type="dxa"/>
            <w:vAlign w:val="bottom"/>
          </w:tcPr>
          <w:p>
            <w:pPr>
              <w:spacing w:after="0"/>
              <w:rPr>
                <w:sz w:val="14"/>
                <w:szCs w:val="14"/>
                <w:color w:val="auto"/>
              </w:rPr>
            </w:pPr>
          </w:p>
        </w:tc>
        <w:tc>
          <w:tcPr>
            <w:tcW w:w="2580" w:type="dxa"/>
            <w:vAlign w:val="bottom"/>
            <w:gridSpan w:val="2"/>
            <w:vMerge w:val="restart"/>
          </w:tcPr>
          <w:p>
            <w:pPr>
              <w:jc w:val="center"/>
              <w:ind w:right="1100"/>
              <w:spacing w:after="0"/>
              <w:rPr>
                <w:sz w:val="20"/>
                <w:szCs w:val="20"/>
                <w:color w:val="auto"/>
              </w:rPr>
            </w:pPr>
            <w:r>
              <w:rPr>
                <w:rFonts w:ascii="Arial" w:cs="Arial" w:eastAsia="Arial" w:hAnsi="Arial"/>
                <w:sz w:val="14"/>
                <w:szCs w:val="14"/>
                <w:b w:val="1"/>
                <w:bCs w:val="1"/>
                <w:color w:val="auto"/>
                <w:w w:val="93"/>
              </w:rPr>
              <w:t>(a)</w:t>
            </w:r>
          </w:p>
        </w:tc>
        <w:tc>
          <w:tcPr>
            <w:tcW w:w="1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740" w:type="dxa"/>
            <w:vAlign w:val="bottom"/>
          </w:tcPr>
          <w:p>
            <w:pPr>
              <w:jc w:val="center"/>
              <w:spacing w:after="0"/>
              <w:rPr>
                <w:sz w:val="20"/>
                <w:szCs w:val="20"/>
                <w:color w:val="auto"/>
              </w:rPr>
            </w:pPr>
            <w:r>
              <w:rPr>
                <w:rFonts w:ascii="Arial" w:cs="Arial" w:eastAsia="Arial" w:hAnsi="Arial"/>
                <w:sz w:val="14"/>
                <w:szCs w:val="14"/>
                <w:b w:val="1"/>
                <w:bCs w:val="1"/>
                <w:color w:val="auto"/>
                <w:w w:val="93"/>
              </w:rPr>
              <w:t>(c)</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3660" w:type="dxa"/>
            <w:vAlign w:val="bottom"/>
          </w:tcPr>
          <w:p>
            <w:pPr>
              <w:spacing w:after="0"/>
              <w:rPr>
                <w:sz w:val="12"/>
                <w:szCs w:val="12"/>
                <w:color w:val="auto"/>
              </w:rPr>
            </w:pPr>
          </w:p>
        </w:tc>
        <w:tc>
          <w:tcPr>
            <w:tcW w:w="25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2440" w:type="dxa"/>
            <w:vAlign w:val="bottom"/>
            <w:gridSpan w:val="2"/>
            <w:vMerge w:val="restart"/>
          </w:tcPr>
          <w:p>
            <w:pPr>
              <w:jc w:val="center"/>
              <w:ind w:right="1220"/>
              <w:spacing w:after="0"/>
              <w:rPr>
                <w:sz w:val="20"/>
                <w:szCs w:val="20"/>
                <w:color w:val="auto"/>
              </w:rPr>
            </w:pPr>
            <w:r>
              <w:rPr>
                <w:rFonts w:ascii="Arial" w:cs="Arial" w:eastAsia="Arial" w:hAnsi="Arial"/>
                <w:sz w:val="14"/>
                <w:szCs w:val="14"/>
                <w:b w:val="1"/>
                <w:bCs w:val="1"/>
                <w:color w:val="auto"/>
              </w:rPr>
              <w:t>(b)</w:t>
            </w:r>
          </w:p>
        </w:tc>
        <w:tc>
          <w:tcPr>
            <w:tcW w:w="17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Number of Securities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3660" w:type="dxa"/>
            <w:vAlign w:val="bottom"/>
          </w:tcPr>
          <w:p>
            <w:pPr>
              <w:spacing w:after="0"/>
              <w:rPr>
                <w:sz w:val="12"/>
                <w:szCs w:val="12"/>
                <w:color w:val="auto"/>
              </w:rPr>
            </w:pPr>
          </w:p>
        </w:tc>
        <w:tc>
          <w:tcPr>
            <w:tcW w:w="2580" w:type="dxa"/>
            <w:vAlign w:val="bottom"/>
            <w:gridSpan w:val="2"/>
          </w:tcPr>
          <w:p>
            <w:pPr>
              <w:jc w:val="center"/>
              <w:ind w:right="1080"/>
              <w:spacing w:after="0" w:line="149" w:lineRule="exact"/>
              <w:rPr>
                <w:sz w:val="20"/>
                <w:szCs w:val="20"/>
                <w:color w:val="auto"/>
              </w:rPr>
            </w:pPr>
            <w:r>
              <w:rPr>
                <w:rFonts w:ascii="Arial" w:cs="Arial" w:eastAsia="Arial" w:hAnsi="Arial"/>
                <w:sz w:val="14"/>
                <w:szCs w:val="14"/>
                <w:b w:val="1"/>
                <w:bCs w:val="1"/>
                <w:color w:val="auto"/>
                <w:w w:val="92"/>
              </w:rPr>
              <w:t>Number of Securities</w:t>
            </w:r>
          </w:p>
        </w:tc>
        <w:tc>
          <w:tcPr>
            <w:tcW w:w="120" w:type="dxa"/>
            <w:vAlign w:val="bottom"/>
          </w:tcPr>
          <w:p>
            <w:pPr>
              <w:spacing w:after="0"/>
              <w:rPr>
                <w:sz w:val="12"/>
                <w:szCs w:val="12"/>
                <w:color w:val="auto"/>
              </w:rPr>
            </w:pPr>
          </w:p>
        </w:tc>
        <w:tc>
          <w:tcPr>
            <w:tcW w:w="2440" w:type="dxa"/>
            <w:vAlign w:val="bottom"/>
            <w:gridSpan w:val="2"/>
            <w:vMerge w:val="continue"/>
          </w:tcPr>
          <w:p>
            <w:pPr>
              <w:spacing w:after="0"/>
              <w:rPr>
                <w:sz w:val="12"/>
                <w:szCs w:val="12"/>
                <w:color w:val="auto"/>
              </w:rPr>
            </w:pPr>
          </w:p>
        </w:tc>
        <w:tc>
          <w:tcPr>
            <w:tcW w:w="17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Remaining Available for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3660" w:type="dxa"/>
            <w:vAlign w:val="bottom"/>
          </w:tcPr>
          <w:p>
            <w:pPr>
              <w:spacing w:after="0"/>
              <w:rPr>
                <w:sz w:val="12"/>
                <w:szCs w:val="12"/>
                <w:color w:val="auto"/>
              </w:rPr>
            </w:pPr>
          </w:p>
        </w:tc>
        <w:tc>
          <w:tcPr>
            <w:tcW w:w="2580" w:type="dxa"/>
            <w:vAlign w:val="bottom"/>
            <w:gridSpan w:val="2"/>
          </w:tcPr>
          <w:p>
            <w:pPr>
              <w:jc w:val="center"/>
              <w:ind w:right="1080"/>
              <w:spacing w:after="0" w:line="149" w:lineRule="exact"/>
              <w:rPr>
                <w:sz w:val="20"/>
                <w:szCs w:val="20"/>
                <w:color w:val="auto"/>
              </w:rPr>
            </w:pPr>
            <w:r>
              <w:rPr>
                <w:rFonts w:ascii="Arial" w:cs="Arial" w:eastAsia="Arial" w:hAnsi="Arial"/>
                <w:sz w:val="14"/>
                <w:szCs w:val="14"/>
                <w:b w:val="1"/>
                <w:bCs w:val="1"/>
                <w:color w:val="auto"/>
                <w:w w:val="90"/>
              </w:rPr>
              <w:t>to be Issued Upon</w:t>
            </w:r>
          </w:p>
        </w:tc>
        <w:tc>
          <w:tcPr>
            <w:tcW w:w="120" w:type="dxa"/>
            <w:vAlign w:val="bottom"/>
          </w:tcPr>
          <w:p>
            <w:pPr>
              <w:spacing w:after="0"/>
              <w:rPr>
                <w:sz w:val="12"/>
                <w:szCs w:val="12"/>
                <w:color w:val="auto"/>
              </w:rPr>
            </w:pPr>
          </w:p>
        </w:tc>
        <w:tc>
          <w:tcPr>
            <w:tcW w:w="2440" w:type="dxa"/>
            <w:vAlign w:val="bottom"/>
            <w:gridSpan w:val="2"/>
          </w:tcPr>
          <w:p>
            <w:pPr>
              <w:jc w:val="center"/>
              <w:ind w:right="1220"/>
              <w:spacing w:after="0" w:line="149" w:lineRule="exact"/>
              <w:rPr>
                <w:sz w:val="20"/>
                <w:szCs w:val="20"/>
                <w:color w:val="auto"/>
              </w:rPr>
            </w:pPr>
            <w:r>
              <w:rPr>
                <w:rFonts w:ascii="Arial" w:cs="Arial" w:eastAsia="Arial" w:hAnsi="Arial"/>
                <w:sz w:val="14"/>
                <w:szCs w:val="14"/>
                <w:b w:val="1"/>
                <w:bCs w:val="1"/>
                <w:color w:val="auto"/>
                <w:w w:val="92"/>
              </w:rPr>
              <w:t>Weighted-Average</w:t>
            </w:r>
          </w:p>
        </w:tc>
        <w:tc>
          <w:tcPr>
            <w:tcW w:w="17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Future Issuance Under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3660" w:type="dxa"/>
            <w:vAlign w:val="bottom"/>
          </w:tcPr>
          <w:p>
            <w:pPr>
              <w:spacing w:after="0"/>
              <w:rPr>
                <w:sz w:val="12"/>
                <w:szCs w:val="12"/>
                <w:color w:val="auto"/>
              </w:rPr>
            </w:pPr>
          </w:p>
        </w:tc>
        <w:tc>
          <w:tcPr>
            <w:tcW w:w="2580" w:type="dxa"/>
            <w:vAlign w:val="bottom"/>
            <w:gridSpan w:val="2"/>
          </w:tcPr>
          <w:p>
            <w:pPr>
              <w:jc w:val="center"/>
              <w:ind w:right="1100"/>
              <w:spacing w:after="0" w:line="149" w:lineRule="exact"/>
              <w:rPr>
                <w:sz w:val="20"/>
                <w:szCs w:val="20"/>
                <w:color w:val="auto"/>
              </w:rPr>
            </w:pPr>
            <w:r>
              <w:rPr>
                <w:rFonts w:ascii="Arial" w:cs="Arial" w:eastAsia="Arial" w:hAnsi="Arial"/>
                <w:sz w:val="14"/>
                <w:szCs w:val="14"/>
                <w:b w:val="1"/>
                <w:bCs w:val="1"/>
                <w:color w:val="auto"/>
                <w:w w:val="90"/>
              </w:rPr>
              <w:t>Exercise of</w:t>
            </w:r>
          </w:p>
        </w:tc>
        <w:tc>
          <w:tcPr>
            <w:tcW w:w="120" w:type="dxa"/>
            <w:vAlign w:val="bottom"/>
          </w:tcPr>
          <w:p>
            <w:pPr>
              <w:spacing w:after="0"/>
              <w:rPr>
                <w:sz w:val="12"/>
                <w:szCs w:val="12"/>
                <w:color w:val="auto"/>
              </w:rPr>
            </w:pPr>
          </w:p>
        </w:tc>
        <w:tc>
          <w:tcPr>
            <w:tcW w:w="2440" w:type="dxa"/>
            <w:vAlign w:val="bottom"/>
            <w:gridSpan w:val="2"/>
          </w:tcPr>
          <w:p>
            <w:pPr>
              <w:jc w:val="center"/>
              <w:ind w:right="1220"/>
              <w:spacing w:after="0" w:line="149" w:lineRule="exact"/>
              <w:rPr>
                <w:sz w:val="20"/>
                <w:szCs w:val="20"/>
                <w:color w:val="auto"/>
              </w:rPr>
            </w:pPr>
            <w:r>
              <w:rPr>
                <w:rFonts w:ascii="Arial" w:cs="Arial" w:eastAsia="Arial" w:hAnsi="Arial"/>
                <w:sz w:val="14"/>
                <w:szCs w:val="14"/>
                <w:b w:val="1"/>
                <w:bCs w:val="1"/>
                <w:color w:val="auto"/>
                <w:w w:val="90"/>
              </w:rPr>
              <w:t>Exercise Price of</w:t>
            </w:r>
          </w:p>
        </w:tc>
        <w:tc>
          <w:tcPr>
            <w:tcW w:w="17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Equity Compensation</w:t>
            </w:r>
          </w:p>
        </w:tc>
        <w:tc>
          <w:tcPr>
            <w:tcW w:w="0" w:type="dxa"/>
            <w:vAlign w:val="bottom"/>
          </w:tcPr>
          <w:p>
            <w:pPr>
              <w:spacing w:after="0"/>
              <w:rPr>
                <w:sz w:val="1"/>
                <w:szCs w:val="1"/>
                <w:color w:val="auto"/>
              </w:rPr>
            </w:pPr>
          </w:p>
        </w:tc>
      </w:tr>
      <w:tr>
        <w:trPr>
          <w:trHeight w:val="149"/>
        </w:trPr>
        <w:tc>
          <w:tcPr>
            <w:tcW w:w="45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Plan Category</w:t>
            </w:r>
          </w:p>
        </w:tc>
        <w:tc>
          <w:tcPr>
            <w:tcW w:w="2580" w:type="dxa"/>
            <w:vAlign w:val="bottom"/>
            <w:gridSpan w:val="2"/>
          </w:tcPr>
          <w:p>
            <w:pPr>
              <w:jc w:val="center"/>
              <w:ind w:right="1100"/>
              <w:spacing w:after="0" w:line="149" w:lineRule="exact"/>
              <w:rPr>
                <w:sz w:val="20"/>
                <w:szCs w:val="20"/>
                <w:color w:val="auto"/>
              </w:rPr>
            </w:pPr>
            <w:r>
              <w:rPr>
                <w:rFonts w:ascii="Arial" w:cs="Arial" w:eastAsia="Arial" w:hAnsi="Arial"/>
                <w:sz w:val="14"/>
                <w:szCs w:val="14"/>
                <w:b w:val="1"/>
                <w:bCs w:val="1"/>
                <w:color w:val="auto"/>
                <w:w w:val="92"/>
              </w:rPr>
              <w:t>Outstanding Options,</w:t>
            </w:r>
          </w:p>
        </w:tc>
        <w:tc>
          <w:tcPr>
            <w:tcW w:w="2560" w:type="dxa"/>
            <w:vAlign w:val="bottom"/>
            <w:gridSpan w:val="3"/>
          </w:tcPr>
          <w:p>
            <w:pPr>
              <w:jc w:val="center"/>
              <w:ind w:right="1100"/>
              <w:spacing w:after="0" w:line="149" w:lineRule="exact"/>
              <w:rPr>
                <w:sz w:val="20"/>
                <w:szCs w:val="20"/>
                <w:color w:val="auto"/>
              </w:rPr>
            </w:pPr>
            <w:r>
              <w:rPr>
                <w:rFonts w:ascii="Arial" w:cs="Arial" w:eastAsia="Arial" w:hAnsi="Arial"/>
                <w:sz w:val="14"/>
                <w:szCs w:val="14"/>
                <w:b w:val="1"/>
                <w:bCs w:val="1"/>
                <w:color w:val="auto"/>
                <w:w w:val="93"/>
              </w:rPr>
              <w:t>Outstanding Options,</w:t>
            </w:r>
          </w:p>
        </w:tc>
        <w:tc>
          <w:tcPr>
            <w:tcW w:w="17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Plans (Excluding Securities</w:t>
            </w:r>
          </w:p>
        </w:tc>
        <w:tc>
          <w:tcPr>
            <w:tcW w:w="0" w:type="dxa"/>
            <w:vAlign w:val="bottom"/>
          </w:tcPr>
          <w:p>
            <w:pPr>
              <w:spacing w:after="0"/>
              <w:rPr>
                <w:sz w:val="1"/>
                <w:szCs w:val="1"/>
                <w:color w:val="auto"/>
              </w:rPr>
            </w:pPr>
          </w:p>
        </w:tc>
      </w:tr>
      <w:tr>
        <w:trPr>
          <w:trHeight w:val="171"/>
        </w:trPr>
        <w:tc>
          <w:tcPr>
            <w:tcW w:w="4540" w:type="dxa"/>
            <w:vAlign w:val="bottom"/>
            <w:gridSpan w:val="3"/>
            <w:vMerge w:val="continue"/>
          </w:tcPr>
          <w:p>
            <w:pPr>
              <w:spacing w:after="0"/>
              <w:rPr>
                <w:sz w:val="14"/>
                <w:szCs w:val="14"/>
                <w:color w:val="auto"/>
              </w:rPr>
            </w:pPr>
          </w:p>
        </w:tc>
        <w:tc>
          <w:tcPr>
            <w:tcW w:w="2580" w:type="dxa"/>
            <w:vAlign w:val="bottom"/>
            <w:gridSpan w:val="2"/>
          </w:tcPr>
          <w:p>
            <w:pPr>
              <w:jc w:val="center"/>
              <w:ind w:right="1100"/>
              <w:spacing w:after="0"/>
              <w:rPr>
                <w:sz w:val="20"/>
                <w:szCs w:val="20"/>
                <w:color w:val="auto"/>
              </w:rPr>
            </w:pPr>
            <w:r>
              <w:rPr>
                <w:rFonts w:ascii="Arial" w:cs="Arial" w:eastAsia="Arial" w:hAnsi="Arial"/>
                <w:sz w:val="14"/>
                <w:szCs w:val="14"/>
                <w:b w:val="1"/>
                <w:bCs w:val="1"/>
                <w:color w:val="auto"/>
                <w:w w:val="95"/>
              </w:rPr>
              <w:t xml:space="preserve">Warrants and Rights </w:t>
            </w:r>
            <w:r>
              <w:rPr>
                <w:rFonts w:ascii="Arial" w:cs="Arial" w:eastAsia="Arial" w:hAnsi="Arial"/>
                <w:sz w:val="12"/>
                <w:szCs w:val="12"/>
                <w:b w:val="1"/>
                <w:bCs w:val="1"/>
                <w:color w:val="auto"/>
                <w:w w:val="95"/>
              </w:rPr>
              <w:t>(2)</w:t>
            </w:r>
          </w:p>
        </w:tc>
        <w:tc>
          <w:tcPr>
            <w:tcW w:w="2560" w:type="dxa"/>
            <w:vAlign w:val="bottom"/>
            <w:gridSpan w:val="3"/>
          </w:tcPr>
          <w:p>
            <w:pPr>
              <w:jc w:val="center"/>
              <w:ind w:right="1100"/>
              <w:spacing w:after="0"/>
              <w:rPr>
                <w:sz w:val="20"/>
                <w:szCs w:val="20"/>
                <w:color w:val="auto"/>
              </w:rPr>
            </w:pPr>
            <w:r>
              <w:rPr>
                <w:rFonts w:ascii="Arial" w:cs="Arial" w:eastAsia="Arial" w:hAnsi="Arial"/>
                <w:sz w:val="14"/>
                <w:szCs w:val="14"/>
                <w:b w:val="1"/>
                <w:bCs w:val="1"/>
                <w:color w:val="auto"/>
                <w:w w:val="93"/>
              </w:rPr>
              <w:t xml:space="preserve">Warrants and Rights </w:t>
            </w:r>
            <w:r>
              <w:rPr>
                <w:rFonts w:ascii="Arial" w:cs="Arial" w:eastAsia="Arial" w:hAnsi="Arial"/>
                <w:sz w:val="12"/>
                <w:szCs w:val="12"/>
                <w:b w:val="1"/>
                <w:bCs w:val="1"/>
                <w:color w:val="auto"/>
                <w:w w:val="93"/>
              </w:rPr>
              <w:t>(3)</w:t>
            </w:r>
          </w:p>
        </w:tc>
        <w:tc>
          <w:tcPr>
            <w:tcW w:w="1740" w:type="dxa"/>
            <w:vAlign w:val="bottom"/>
          </w:tcPr>
          <w:p>
            <w:pPr>
              <w:jc w:val="center"/>
              <w:spacing w:after="0"/>
              <w:rPr>
                <w:sz w:val="20"/>
                <w:szCs w:val="20"/>
                <w:color w:val="auto"/>
              </w:rPr>
            </w:pPr>
            <w:r>
              <w:rPr>
                <w:rFonts w:ascii="Arial" w:cs="Arial" w:eastAsia="Arial" w:hAnsi="Arial"/>
                <w:sz w:val="14"/>
                <w:szCs w:val="14"/>
                <w:b w:val="1"/>
                <w:bCs w:val="1"/>
                <w:color w:val="auto"/>
                <w:w w:val="94"/>
              </w:rPr>
              <w:t xml:space="preserve">Reflected in Column(a)) </w:t>
            </w:r>
            <w:r>
              <w:rPr>
                <w:rFonts w:ascii="Arial" w:cs="Arial" w:eastAsia="Arial" w:hAnsi="Arial"/>
                <w:sz w:val="12"/>
                <w:szCs w:val="12"/>
                <w:b w:val="1"/>
                <w:bCs w:val="1"/>
                <w:color w:val="auto"/>
                <w:w w:val="94"/>
              </w:rPr>
              <w:t>(4)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3660" w:type="dxa"/>
            <w:vAlign w:val="bottom"/>
            <w:shd w:val="clear" w:color="auto" w:fill="CCEEFF"/>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11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100" w:type="dxa"/>
            <w:vAlign w:val="bottom"/>
            <w:shd w:val="clear" w:color="auto" w:fill="CCEEFF"/>
          </w:tcPr>
          <w:p>
            <w:pPr>
              <w:spacing w:after="0" w:line="20" w:lineRule="exact"/>
              <w:rPr>
                <w:sz w:val="1"/>
                <w:szCs w:val="1"/>
                <w:color w:val="auto"/>
              </w:rPr>
            </w:pPr>
          </w:p>
        </w:tc>
        <w:tc>
          <w:tcPr>
            <w:tcW w:w="1740" w:type="dxa"/>
            <w:vAlign w:val="bottom"/>
            <w:tcBorders>
              <w:right w:val="single" w:sz="8" w:color="CCEEFF"/>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20" w:type="dxa"/>
            <w:vAlign w:val="bottom"/>
          </w:tcPr>
          <w:p>
            <w:pPr>
              <w:spacing w:after="0"/>
              <w:rPr>
                <w:sz w:val="15"/>
                <w:szCs w:val="15"/>
                <w:color w:val="auto"/>
              </w:rPr>
            </w:pPr>
          </w:p>
        </w:tc>
        <w:tc>
          <w:tcPr>
            <w:tcW w:w="4520" w:type="dxa"/>
            <w:vAlign w:val="bottom"/>
            <w:gridSpan w:val="2"/>
            <w:shd w:val="clear" w:color="auto" w:fill="CCEEFF"/>
          </w:tcPr>
          <w:p>
            <w:pPr>
              <w:spacing w:after="0" w:line="182" w:lineRule="exact"/>
              <w:rPr>
                <w:sz w:val="20"/>
                <w:szCs w:val="20"/>
                <w:color w:val="auto"/>
              </w:rPr>
            </w:pPr>
            <w:r>
              <w:rPr>
                <w:rFonts w:ascii="Arial" w:cs="Arial" w:eastAsia="Arial" w:hAnsi="Arial"/>
                <w:sz w:val="18"/>
                <w:szCs w:val="18"/>
                <w:color w:val="auto"/>
              </w:rPr>
              <w:t>Equity Compensation Plans Approved by</w:t>
            </w:r>
          </w:p>
        </w:tc>
        <w:tc>
          <w:tcPr>
            <w:tcW w:w="148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34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1740" w:type="dxa"/>
            <w:vAlign w:val="bottom"/>
            <w:tcBorders>
              <w:right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5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 xml:space="preserve">Stockholders </w:t>
            </w:r>
            <w:r>
              <w:rPr>
                <w:rFonts w:ascii="Arial" w:cs="Arial" w:eastAsia="Arial" w:hAnsi="Arial"/>
                <w:sz w:val="15"/>
                <w:szCs w:val="15"/>
                <w:color w:val="auto"/>
              </w:rPr>
              <w:t>(1)</w:t>
            </w:r>
          </w:p>
        </w:tc>
        <w:tc>
          <w:tcPr>
            <w:tcW w:w="2580" w:type="dxa"/>
            <w:vAlign w:val="bottom"/>
            <w:gridSpan w:val="2"/>
            <w:shd w:val="clear" w:color="auto" w:fill="CCEEFF"/>
          </w:tcPr>
          <w:p>
            <w:pPr>
              <w:jc w:val="right"/>
              <w:ind w:right="1100"/>
              <w:spacing w:after="0"/>
              <w:rPr>
                <w:sz w:val="20"/>
                <w:szCs w:val="20"/>
                <w:color w:val="auto"/>
              </w:rPr>
            </w:pPr>
            <w:r>
              <w:rPr>
                <w:rFonts w:ascii="Arial" w:cs="Arial" w:eastAsia="Arial" w:hAnsi="Arial"/>
                <w:sz w:val="18"/>
                <w:szCs w:val="18"/>
                <w:color w:val="auto"/>
              </w:rPr>
              <w:t>11,121,319</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2440" w:type="dxa"/>
            <w:vAlign w:val="bottom"/>
            <w:gridSpan w:val="2"/>
            <w:shd w:val="clear" w:color="auto" w:fill="CCEEFF"/>
          </w:tcPr>
          <w:p>
            <w:pPr>
              <w:jc w:val="center"/>
              <w:ind w:right="160"/>
              <w:spacing w:after="0"/>
              <w:rPr>
                <w:sz w:val="20"/>
                <w:szCs w:val="20"/>
                <w:color w:val="auto"/>
              </w:rPr>
            </w:pPr>
            <w:r>
              <w:rPr>
                <w:rFonts w:ascii="Arial" w:cs="Arial" w:eastAsia="Arial" w:hAnsi="Arial"/>
                <w:sz w:val="18"/>
                <w:szCs w:val="18"/>
                <w:color w:val="auto"/>
                <w:w w:val="88"/>
              </w:rPr>
              <w:t>11.42</w:t>
            </w:r>
          </w:p>
        </w:tc>
        <w:tc>
          <w:tcPr>
            <w:tcW w:w="17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5,699,163</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520" w:type="dxa"/>
            <w:vAlign w:val="bottom"/>
            <w:gridSpan w:val="2"/>
          </w:tcPr>
          <w:p>
            <w:pPr>
              <w:spacing w:after="0" w:line="201" w:lineRule="exact"/>
              <w:rPr>
                <w:sz w:val="20"/>
                <w:szCs w:val="20"/>
                <w:color w:val="auto"/>
              </w:rPr>
            </w:pPr>
            <w:r>
              <w:rPr>
                <w:rFonts w:ascii="Arial" w:cs="Arial" w:eastAsia="Arial" w:hAnsi="Arial"/>
                <w:sz w:val="18"/>
                <w:szCs w:val="18"/>
                <w:color w:val="auto"/>
              </w:rPr>
              <w:t>Equity Compensation Plans Not Approved by</w:t>
            </w:r>
          </w:p>
        </w:tc>
        <w:tc>
          <w:tcPr>
            <w:tcW w:w="14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4520" w:type="dxa"/>
            <w:vAlign w:val="bottom"/>
            <w:gridSpan w:val="2"/>
          </w:tcPr>
          <w:p>
            <w:pPr>
              <w:ind w:left="160"/>
              <w:spacing w:after="0"/>
              <w:rPr>
                <w:sz w:val="20"/>
                <w:szCs w:val="20"/>
                <w:color w:val="auto"/>
              </w:rPr>
            </w:pPr>
            <w:r>
              <w:rPr>
                <w:rFonts w:ascii="Arial" w:cs="Arial" w:eastAsia="Arial" w:hAnsi="Arial"/>
                <w:sz w:val="18"/>
                <w:szCs w:val="18"/>
                <w:color w:val="auto"/>
              </w:rPr>
              <w:t>Stockholders</w:t>
            </w:r>
          </w:p>
        </w:tc>
        <w:tc>
          <w:tcPr>
            <w:tcW w:w="1480" w:type="dxa"/>
            <w:vAlign w:val="bottom"/>
            <w:tcBorders>
              <w:bottom w:val="single" w:sz="8" w:color="auto"/>
            </w:tcBorders>
          </w:tcPr>
          <w:p>
            <w:pPr>
              <w:jc w:val="right"/>
              <w:ind w:right="22"/>
              <w:spacing w:after="0"/>
              <w:rPr>
                <w:sz w:val="20"/>
                <w:szCs w:val="20"/>
                <w:color w:val="auto"/>
              </w:rPr>
            </w:pPr>
            <w:r>
              <w:rPr>
                <w:rFonts w:ascii="Arial" w:cs="Arial" w:eastAsia="Arial" w:hAnsi="Arial"/>
                <w:sz w:val="18"/>
                <w:szCs w:val="18"/>
                <w:color w:val="auto"/>
              </w:rPr>
              <w:t>—</w:t>
            </w:r>
          </w:p>
        </w:tc>
        <w:tc>
          <w:tcPr>
            <w:tcW w:w="11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center"/>
              <w:ind w:left="919"/>
              <w:spacing w:after="0"/>
              <w:rPr>
                <w:sz w:val="20"/>
                <w:szCs w:val="20"/>
                <w:color w:val="auto"/>
              </w:rPr>
            </w:pPr>
            <w:r>
              <w:rPr>
                <w:rFonts w:ascii="Arial" w:cs="Arial" w:eastAsia="Arial" w:hAnsi="Arial"/>
                <w:sz w:val="18"/>
                <w:szCs w:val="18"/>
                <w:color w:val="auto"/>
                <w:w w:val="99"/>
              </w:rPr>
              <w:t>—</w:t>
            </w:r>
          </w:p>
        </w:tc>
        <w:tc>
          <w:tcPr>
            <w:tcW w:w="1100" w:type="dxa"/>
            <w:vAlign w:val="bottom"/>
          </w:tcPr>
          <w:p>
            <w:pPr>
              <w:spacing w:after="0"/>
              <w:rPr>
                <w:sz w:val="20"/>
                <w:szCs w:val="20"/>
                <w:color w:val="auto"/>
              </w:rPr>
            </w:pPr>
          </w:p>
        </w:tc>
        <w:tc>
          <w:tcPr>
            <w:tcW w:w="1740" w:type="dxa"/>
            <w:vAlign w:val="bottom"/>
            <w:tcBorders>
              <w:bottom w:val="single" w:sz="8" w:color="auto"/>
            </w:tcBorders>
          </w:tcPr>
          <w:p>
            <w:pPr>
              <w:jc w:val="right"/>
              <w:ind w:right="6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2580" w:type="dxa"/>
            <w:vAlign w:val="bottom"/>
            <w:gridSpan w:val="2"/>
            <w:shd w:val="clear" w:color="auto" w:fill="CCEEFF"/>
          </w:tcPr>
          <w:p>
            <w:pPr>
              <w:jc w:val="right"/>
              <w:ind w:right="1100"/>
              <w:spacing w:after="0"/>
              <w:rPr>
                <w:sz w:val="20"/>
                <w:szCs w:val="20"/>
                <w:color w:val="auto"/>
              </w:rPr>
            </w:pPr>
            <w:r>
              <w:rPr>
                <w:rFonts w:ascii="Arial" w:cs="Arial" w:eastAsia="Arial" w:hAnsi="Arial"/>
                <w:sz w:val="18"/>
                <w:szCs w:val="18"/>
                <w:color w:val="auto"/>
              </w:rPr>
              <w:t>11,121,319</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2440" w:type="dxa"/>
            <w:vAlign w:val="bottom"/>
            <w:gridSpan w:val="2"/>
            <w:shd w:val="clear" w:color="auto" w:fill="CCEEFF"/>
          </w:tcPr>
          <w:p>
            <w:pPr>
              <w:jc w:val="center"/>
              <w:ind w:right="160"/>
              <w:spacing w:after="0"/>
              <w:rPr>
                <w:sz w:val="20"/>
                <w:szCs w:val="20"/>
                <w:color w:val="auto"/>
              </w:rPr>
            </w:pPr>
            <w:r>
              <w:rPr>
                <w:rFonts w:ascii="Arial" w:cs="Arial" w:eastAsia="Arial" w:hAnsi="Arial"/>
                <w:sz w:val="18"/>
                <w:szCs w:val="18"/>
                <w:color w:val="auto"/>
                <w:w w:val="88"/>
              </w:rPr>
              <w:t>11.42</w:t>
            </w:r>
          </w:p>
        </w:tc>
        <w:tc>
          <w:tcPr>
            <w:tcW w:w="17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5,699,163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660" w:type="dxa"/>
            <w:vAlign w:val="bottom"/>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7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94615</wp:posOffset>
            </wp:positionV>
            <wp:extent cx="728980" cy="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68" w:lineRule="exact"/>
        <w:rPr>
          <w:sz w:val="20"/>
          <w:szCs w:val="20"/>
          <w:color w:val="auto"/>
        </w:rPr>
      </w:pPr>
    </w:p>
    <w:p>
      <w:pPr>
        <w:ind w:left="460" w:hanging="452"/>
        <w:spacing w:after="0"/>
        <w:tabs>
          <w:tab w:leader="none" w:pos="460" w:val="left"/>
        </w:tabs>
        <w:numPr>
          <w:ilvl w:val="0"/>
          <w:numId w:val="77"/>
        </w:numPr>
        <w:rPr>
          <w:rFonts w:ascii="Arial" w:cs="Arial" w:eastAsia="Arial" w:hAnsi="Arial"/>
          <w:sz w:val="15"/>
          <w:szCs w:val="15"/>
          <w:color w:val="auto"/>
        </w:rPr>
      </w:pPr>
      <w:r>
        <w:rPr>
          <w:rFonts w:ascii="Arial" w:cs="Arial" w:eastAsia="Arial" w:hAnsi="Arial"/>
          <w:sz w:val="18"/>
          <w:szCs w:val="18"/>
          <w:color w:val="auto"/>
        </w:rPr>
        <w:t>2004 Genworth Financial, Inc. Omnibus Incentive Plan and 2012 Genworth Financial, Inc. Omnibus Incentive Plan.</w:t>
      </w:r>
    </w:p>
    <w:p>
      <w:pPr>
        <w:spacing w:after="0" w:line="23" w:lineRule="exact"/>
        <w:rPr>
          <w:rFonts w:ascii="Arial" w:cs="Arial" w:eastAsia="Arial" w:hAnsi="Arial"/>
          <w:sz w:val="15"/>
          <w:szCs w:val="15"/>
          <w:color w:val="auto"/>
        </w:rPr>
      </w:pPr>
    </w:p>
    <w:p>
      <w:pPr>
        <w:ind w:left="460" w:right="40" w:hanging="452"/>
        <w:spacing w:after="0" w:line="250" w:lineRule="auto"/>
        <w:tabs>
          <w:tab w:leader="none" w:pos="460" w:val="left"/>
        </w:tabs>
        <w:numPr>
          <w:ilvl w:val="0"/>
          <w:numId w:val="77"/>
        </w:numPr>
        <w:rPr>
          <w:rFonts w:ascii="Arial" w:cs="Arial" w:eastAsia="Arial" w:hAnsi="Arial"/>
          <w:sz w:val="15"/>
          <w:szCs w:val="15"/>
          <w:color w:val="auto"/>
        </w:rPr>
      </w:pPr>
      <w:r>
        <w:rPr>
          <w:rFonts w:ascii="Arial" w:cs="Arial" w:eastAsia="Arial" w:hAnsi="Arial"/>
          <w:sz w:val="18"/>
          <w:szCs w:val="18"/>
          <w:color w:val="auto"/>
        </w:rPr>
        <w:t>Includes shares issuable pursuant to the exercise or conversion of stock options, SARs, RSUs, PSUs and DSUs. The number of shares issuable upon exercise of SARs is calculated based on the excess, if any, of the closing price of our common stock on December 30, 2016 of $3.81 over the base price of the SARs. The number of shares issuable upon conversion of PSUs is calculated based on maximum payout levels until the performance period closes and the award settles.</w:t>
      </w:r>
    </w:p>
    <w:p>
      <w:pPr>
        <w:spacing w:after="0" w:line="1" w:lineRule="exact"/>
        <w:rPr>
          <w:rFonts w:ascii="Arial" w:cs="Arial" w:eastAsia="Arial" w:hAnsi="Arial"/>
          <w:sz w:val="15"/>
          <w:szCs w:val="15"/>
          <w:color w:val="auto"/>
        </w:rPr>
      </w:pPr>
    </w:p>
    <w:p>
      <w:pPr>
        <w:jc w:val="both"/>
        <w:ind w:left="460" w:right="620" w:hanging="452"/>
        <w:spacing w:after="0" w:line="281" w:lineRule="auto"/>
        <w:tabs>
          <w:tab w:leader="none" w:pos="460" w:val="left"/>
        </w:tabs>
        <w:numPr>
          <w:ilvl w:val="0"/>
          <w:numId w:val="77"/>
        </w:numPr>
        <w:rPr>
          <w:rFonts w:ascii="Arial" w:cs="Arial" w:eastAsia="Arial" w:hAnsi="Arial"/>
          <w:sz w:val="14"/>
          <w:szCs w:val="14"/>
          <w:color w:val="auto"/>
        </w:rPr>
      </w:pPr>
      <w:r>
        <w:rPr>
          <w:rFonts w:ascii="Arial" w:cs="Arial" w:eastAsia="Arial" w:hAnsi="Arial"/>
          <w:sz w:val="16"/>
          <w:szCs w:val="16"/>
          <w:color w:val="auto"/>
        </w:rPr>
        <w:t>Calculation of weighted-average exercise price of outstanding awards includes SARs (which are exercisable for shares of common stock for no consideration) and stock options, but does not include RSUs, PSUs and DSUs that convert to shares of common stock for no consideration. The weighted-average exercise price of outstanding stock options was $11.83. The weighted-average base price of outstanding SARs was $10.42.</w:t>
      </w:r>
    </w:p>
    <w:p>
      <w:pPr>
        <w:spacing w:after="0" w:line="2" w:lineRule="exact"/>
        <w:rPr>
          <w:rFonts w:ascii="Arial" w:cs="Arial" w:eastAsia="Arial" w:hAnsi="Arial"/>
          <w:sz w:val="14"/>
          <w:szCs w:val="14"/>
          <w:color w:val="auto"/>
        </w:rPr>
      </w:pPr>
    </w:p>
    <w:p>
      <w:pPr>
        <w:ind w:left="460" w:hanging="452"/>
        <w:spacing w:after="0"/>
        <w:tabs>
          <w:tab w:leader="none" w:pos="460" w:val="left"/>
        </w:tabs>
        <w:numPr>
          <w:ilvl w:val="0"/>
          <w:numId w:val="77"/>
        </w:numPr>
        <w:rPr>
          <w:rFonts w:ascii="Arial" w:cs="Arial" w:eastAsia="Arial" w:hAnsi="Arial"/>
          <w:sz w:val="15"/>
          <w:szCs w:val="15"/>
          <w:color w:val="auto"/>
        </w:rPr>
      </w:pPr>
      <w:r>
        <w:rPr>
          <w:rFonts w:ascii="Arial" w:cs="Arial" w:eastAsia="Arial" w:hAnsi="Arial"/>
          <w:sz w:val="18"/>
          <w:szCs w:val="18"/>
          <w:color w:val="auto"/>
        </w:rPr>
        <w:t>All of these shares are available for issuance pursuant to grants of full-value stock awards.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CONTROL</w:t>
      </w:r>
    </w:p>
    <w:p>
      <w:pPr>
        <w:spacing w:after="0" w:line="121"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On October 21, 2016, Genworth entered into an Agreement and Plan of Merger (the “Merger Agreement”) with Asia Pacific Global Capital Co., Ltd., a limited liability company incorporated in the People’s Republic of China (“Asia Pacific”), and Asia Pacific Global Capital USA Corporation, a Delaware corporation and an indirect, wholly owned subsidiary of Asia Pacific (“Merger Sub”), pursuant to which Merger Sub will merge with and into Genworth, subject to the terms and conditions of the Merger Agreement (the “Merger”), with Genworth surviving the Merger as an indirect, wholly owned subsidiary of Asia Pacific, and an indirect subsidiary of China Oceanwide Holdings Group Co., Ltd., a limited liability company incorporated in the People’s Republic of China. Genworth expects the proposed transaction to be completed by the middle of 2017, subject to certain closing conditions including receipt of required regulatory approvals.</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13. Certain Relationships and Related Transactions, and Director Independence.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CERTAIN RELATIONSHIPS AND RELATED TRANSACTIONS</w:t>
      </w:r>
    </w:p>
    <w:p>
      <w:pPr>
        <w:spacing w:after="0" w:line="121" w:lineRule="exact"/>
        <w:rPr>
          <w:sz w:val="20"/>
          <w:szCs w:val="20"/>
          <w:color w:val="auto"/>
        </w:rPr>
      </w:pPr>
    </w:p>
    <w:p>
      <w:pPr>
        <w:ind w:right="40" w:firstLine="456"/>
        <w:spacing w:after="0" w:line="273" w:lineRule="auto"/>
        <w:rPr>
          <w:sz w:val="20"/>
          <w:szCs w:val="20"/>
          <w:color w:val="auto"/>
        </w:rPr>
      </w:pPr>
      <w:r>
        <w:rPr>
          <w:rFonts w:ascii="Arial" w:cs="Arial" w:eastAsia="Arial" w:hAnsi="Arial"/>
          <w:sz w:val="17"/>
          <w:szCs w:val="17"/>
          <w:color w:val="auto"/>
        </w:rPr>
        <w:t>Our Board of Directors has established a policy, which is set forth in our Governance Principles that Genworth will not enter into a transaction with a “related person” except in circumstances where there is a verifiable Genworth business interest supporting the transaction and the transaction otherwise meets Genworth’s standards that apply to similar transactions with unaffiliated entities or persons. For purposes of our policy, “related person” means any of our executive officers, directors, nominees for director, any persons known by us to beneficially own in excess of 5% of any class of our voting securities, any person who is an immediate family member of the foregoing and any firm, corporation or other entity in which any of the foregoing persons is an executive officer, general partner, principal or in a similar position or in which such person is deemed to have a</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420"/>
          </w:cols>
          <w:pgMar w:left="240" w:top="459" w:right="23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 xml:space="preserve">10% or greater beneficial ownership interest. Our policy applies to all transactions with “related persons,” including modifications of previously approved transactions, other than: (1) transactions available to all employees generally; and (2) transactions involving the payment of compensation or the entry into compensatory agreements or arrangements that are approved by the Compensation Committee or paid pursuant to an agreement, plan or arrangement approved by the Compensation Committee. The Board has delegated to the Audit Committee the responsibility of establishing policies and procedures for the review and approval of transactions with related persons, and the Audit Committee has established certain key practices related thereto. Our Governance Principles are in writing and can be found in the corporate governance section of our website. To view, go to </w:t>
      </w:r>
      <w:r>
        <w:rPr>
          <w:rFonts w:ascii="Arial" w:cs="Arial" w:eastAsia="Arial" w:hAnsi="Arial"/>
          <w:sz w:val="17"/>
          <w:szCs w:val="17"/>
          <w:i w:val="1"/>
          <w:iCs w:val="1"/>
          <w:color w:val="auto"/>
        </w:rPr>
        <w:t>www.genworth.com</w:t>
      </w:r>
      <w:r>
        <w:rPr>
          <w:rFonts w:ascii="Arial" w:cs="Arial" w:eastAsia="Arial" w:hAnsi="Arial"/>
          <w:sz w:val="17"/>
          <w:szCs w:val="17"/>
          <w:color w:val="auto"/>
        </w:rPr>
        <w:t xml:space="preserve">, select “Investors,” then select “Corporate Governance” and then select “Governance Principles.” Our Audit Committee’s key practices are in writing and can be found in the corporate governance section of our website. To view, go to </w:t>
      </w:r>
      <w:r>
        <w:rPr>
          <w:rFonts w:ascii="Arial" w:cs="Arial" w:eastAsia="Arial" w:hAnsi="Arial"/>
          <w:sz w:val="17"/>
          <w:szCs w:val="17"/>
          <w:i w:val="1"/>
          <w:iCs w:val="1"/>
          <w:color w:val="auto"/>
        </w:rPr>
        <w:t>www.genworth.com</w:t>
      </w:r>
      <w:r>
        <w:rPr>
          <w:rFonts w:ascii="Arial" w:cs="Arial" w:eastAsia="Arial" w:hAnsi="Arial"/>
          <w:sz w:val="17"/>
          <w:szCs w:val="17"/>
          <w:color w:val="auto"/>
        </w:rPr>
        <w:t>, select “Investors,” then select “Corporate Governance,” then select “Audit Committee” and finally select “Key Practices.”</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INDEPENDENCE</w:t>
      </w:r>
    </w:p>
    <w:p>
      <w:pPr>
        <w:spacing w:after="0" w:line="121" w:lineRule="exact"/>
        <w:rPr>
          <w:sz w:val="20"/>
          <w:szCs w:val="20"/>
          <w:color w:val="auto"/>
        </w:rPr>
      </w:pPr>
    </w:p>
    <w:p>
      <w:pPr>
        <w:ind w:right="20" w:firstLine="456"/>
        <w:spacing w:after="0" w:line="287" w:lineRule="auto"/>
        <w:rPr>
          <w:sz w:val="20"/>
          <w:szCs w:val="20"/>
          <w:color w:val="auto"/>
        </w:rPr>
      </w:pPr>
      <w:r>
        <w:rPr>
          <w:rFonts w:ascii="Arial" w:cs="Arial" w:eastAsia="Arial" w:hAnsi="Arial"/>
          <w:sz w:val="16"/>
          <w:szCs w:val="16"/>
          <w:color w:val="auto"/>
        </w:rPr>
        <w:t xml:space="preserve">Our Board currently consists of ten directors, nine of whom are independent (as defined by our Governance Principles and NYSE listing standards) and one of whom is our CEO, Mr. McInerney. For a director to be independent, the Board must determine that the director does not have any direct or indirect material relationship with Genworth. The Board has established guidelines to assist it in determining director independence, which conform to, or are more exacting than, the independence requirements of the NYSE. The independence guidelines are set forth in Section 4 of our Governance Principles, which are available on our website (to view, go to </w:t>
      </w:r>
      <w:r>
        <w:rPr>
          <w:rFonts w:ascii="Arial" w:cs="Arial" w:eastAsia="Arial" w:hAnsi="Arial"/>
          <w:sz w:val="16"/>
          <w:szCs w:val="16"/>
          <w:i w:val="1"/>
          <w:iCs w:val="1"/>
          <w:color w:val="auto"/>
        </w:rPr>
        <w:t>www.genworth.com</w:t>
      </w:r>
      <w:r>
        <w:rPr>
          <w:rFonts w:ascii="Arial" w:cs="Arial" w:eastAsia="Arial" w:hAnsi="Arial"/>
          <w:sz w:val="16"/>
          <w:szCs w:val="16"/>
          <w:color w:val="auto"/>
        </w:rPr>
        <w:t>, select “Investors,” then select “Corporate Governance” and then select “Governance Principles”). In addition to applying these guidelines, the Board will consider all relevant facts and circumstances in making an independence determination. Our Board has determined that the purchase of Genworth products and services on the same terms available to unaffiliated entities or persons does not impair a director’s independence and therefore such purchases are not considered by our Board when making independence determinations. The Board has determined that Mr. Bolinder, Sen. Conrad, Ms. Higgins, Mr. Moffett, Mr. Moloney, Mr. Parke, Ms. Perry, Mr. Restrepo and Mr. Riepe satisfy the NYSE’s independence requirements and Genworth’s independence guidelines. The Board also previously determined that Nancy J. Karch and Christine B. Mead, who served on the board in 2016 until the annual stockholders meeting held in May 2016, and John R. Nichols, who served on the Board from the annual stockholders meeting in May 2016 until September 2016, satisfied the NYSE’s independence requirements and Genworth’s independence guidelines.</w:t>
      </w:r>
    </w:p>
    <w:p>
      <w:pPr>
        <w:spacing w:after="0" w:line="169" w:lineRule="exact"/>
        <w:rPr>
          <w:sz w:val="20"/>
          <w:szCs w:val="20"/>
          <w:color w:val="auto"/>
        </w:rPr>
      </w:pPr>
    </w:p>
    <w:p>
      <w:pPr>
        <w:ind w:right="140" w:firstLine="456"/>
        <w:spacing w:after="0" w:line="302" w:lineRule="auto"/>
        <w:rPr>
          <w:sz w:val="20"/>
          <w:szCs w:val="20"/>
          <w:color w:val="auto"/>
        </w:rPr>
      </w:pPr>
      <w:r>
        <w:rPr>
          <w:rFonts w:ascii="Arial" w:cs="Arial" w:eastAsia="Arial" w:hAnsi="Arial"/>
          <w:sz w:val="16"/>
          <w:szCs w:val="16"/>
          <w:color w:val="auto"/>
        </w:rPr>
        <w:t>In addition to the independence guidelines discussed above, members of the Audit Committee also must satisfy additional independence requirements established by the SEC and the NYSE. Specifically, they may not accept, directly or indirectly, any consulting, advisory or other compensatory fee from Genworth or any of its subsidiaries other than their directors’ compensation and they may not be affiliated with Genworth or any of its subsidiaries. The Board has determined that all the members of the Audit Committee satisfy the relevant SEC and NYSE independence requirements.</w:t>
      </w:r>
    </w:p>
    <w:p>
      <w:pPr>
        <w:spacing w:after="0" w:line="154" w:lineRule="exact"/>
        <w:rPr>
          <w:sz w:val="20"/>
          <w:szCs w:val="20"/>
          <w:color w:val="auto"/>
        </w:rPr>
      </w:pPr>
    </w:p>
    <w:p>
      <w:pPr>
        <w:ind w:firstLine="456"/>
        <w:spacing w:after="0" w:line="276" w:lineRule="auto"/>
        <w:rPr>
          <w:sz w:val="20"/>
          <w:szCs w:val="20"/>
          <w:color w:val="auto"/>
        </w:rPr>
      </w:pPr>
      <w:r>
        <w:rPr>
          <w:rFonts w:ascii="Arial" w:cs="Arial" w:eastAsia="Arial" w:hAnsi="Arial"/>
          <w:sz w:val="17"/>
          <w:szCs w:val="17"/>
          <w:color w:val="auto"/>
        </w:rPr>
        <w:t>Further, in affirmatively determining the independence of any director who will serve on the Management Development and Compensation Committee, the Board has also considered all factors specifically relevant to determining whether a director has a relationship to Genworth that is material to that director’s ability to be independent from management in connection with the duties of a member of the Management Development and Compensation Committee, including: (1) the source of compensation of the director, including any consulting, advisory or other compensatory fee paid by Genworth to such director; and (2) whether the director is affiliated with Genworth, its subsidiaries or its affiliates.</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MEETINGS OF NON-MANAGEMENT AND INDEPENDENT DIRECTORS</w:t>
      </w:r>
    </w:p>
    <w:p>
      <w:pPr>
        <w:spacing w:after="0" w:line="121" w:lineRule="exact"/>
        <w:rPr>
          <w:sz w:val="20"/>
          <w:szCs w:val="20"/>
          <w:color w:val="auto"/>
        </w:rPr>
      </w:pPr>
    </w:p>
    <w:p>
      <w:pPr>
        <w:ind w:right="500" w:firstLine="456"/>
        <w:spacing w:after="0" w:line="277" w:lineRule="auto"/>
        <w:rPr>
          <w:sz w:val="20"/>
          <w:szCs w:val="20"/>
          <w:color w:val="auto"/>
        </w:rPr>
      </w:pPr>
      <w:r>
        <w:rPr>
          <w:rFonts w:ascii="Arial" w:cs="Arial" w:eastAsia="Arial" w:hAnsi="Arial"/>
          <w:sz w:val="18"/>
          <w:szCs w:val="18"/>
          <w:color w:val="auto"/>
        </w:rPr>
        <w:t>All of our current non-management directors are independent (as determined in accordance with the NYSE listing standards and our Governance Principles) and our non-management directors met without management</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400"/>
          </w:cols>
          <w:pgMar w:left="240" w:top="459" w:right="25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present at regularly scheduled Board meetings during 2016. Our Governance Principles provide that the non-management directors will meet regularly without management present. Mr. McInerney, our CEO, is currently the only employee of the company who serves on our Board. In addition, our Governance Principles provide that if the non-management directors include individuals who are not independent, as determined in accordance with the NYSE listing standards and our Governance Principles, then the independent directors on our Board will separately meet at least one time each year. Our Governance Principles provide that the Non-Executive Chairman of the Board, currently Mr. Riepe, will preside at the meetings of the non-management directors and the independent directors; in the absence of Mr. Riepe, the non-management directors present will select an independent committee chair to preside at such session. The independent Non-Executive Chairman of the Board may periodically call meetings of the non-management and independent directors, including at the request of the non-management or independent directors.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14. Principal Accountant Fees and Services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INDEPENDENT REGISTERED PUBLIC ACCOUNTING FIRM</w:t>
      </w:r>
    </w:p>
    <w:p>
      <w:pPr>
        <w:spacing w:after="0" w:line="121" w:lineRule="exact"/>
        <w:rPr>
          <w:sz w:val="20"/>
          <w:szCs w:val="20"/>
          <w:color w:val="auto"/>
        </w:rPr>
      </w:pPr>
    </w:p>
    <w:p>
      <w:pPr>
        <w:ind w:right="20" w:firstLine="456"/>
        <w:spacing w:after="0" w:line="264" w:lineRule="auto"/>
        <w:rPr>
          <w:sz w:val="20"/>
          <w:szCs w:val="20"/>
          <w:color w:val="auto"/>
        </w:rPr>
      </w:pPr>
      <w:r>
        <w:rPr>
          <w:rFonts w:ascii="Arial" w:cs="Arial" w:eastAsia="Arial" w:hAnsi="Arial"/>
          <w:sz w:val="18"/>
          <w:szCs w:val="18"/>
          <w:color w:val="auto"/>
        </w:rPr>
        <w:t>Upon the approval of the Audit Committee, Genworth retained KPMG LLP (“KPMG”) to audit our consolidated financial statements for 2016 and to attest to the effectiveness of the company’s internal control over financial reporting. In addition, Genworth retained KPMG, as well as other accounting firms, to provide other auditing and advisory services in 2016.</w:t>
      </w:r>
    </w:p>
    <w:p>
      <w:pPr>
        <w:spacing w:after="0" w:line="181" w:lineRule="exact"/>
        <w:rPr>
          <w:sz w:val="20"/>
          <w:szCs w:val="20"/>
          <w:color w:val="auto"/>
        </w:rPr>
      </w:pPr>
    </w:p>
    <w:p>
      <w:pPr>
        <w:ind w:right="120" w:firstLine="456"/>
        <w:spacing w:after="0" w:line="271" w:lineRule="auto"/>
        <w:rPr>
          <w:sz w:val="20"/>
          <w:szCs w:val="20"/>
          <w:color w:val="auto"/>
        </w:rPr>
      </w:pPr>
      <w:r>
        <w:rPr>
          <w:rFonts w:ascii="Arial" w:cs="Arial" w:eastAsia="Arial" w:hAnsi="Arial"/>
          <w:sz w:val="17"/>
          <w:szCs w:val="17"/>
          <w:color w:val="auto"/>
        </w:rPr>
        <w:t>We understand the need for KPMG to maintain objectivity and independence in its audit of our consolidated financial statements. As required by the Audit Committee’s charter and applicable SEC and PCAOB rules and regulations, the Audit Committee pre-approves all audit, audit-related, tax and other permitted non-audit services performed by KPMG, including the amount of fees payable for such services, to ensure that the provision of such services does not impair KPMG’s independence. The Audit Committee may not delegate this responsibility to management. Certain audit and audit-related services and fees are pre-approved by the Audit Committee on an annual basis in connection with the engagement of KPMG as the company’s independent registered public accounting firm for the fiscal year. Other audit, audit-related and permitted non-audit services have been pre-approved by the Audit Committee pursuant to our Audit Committee’s Key Practices and are subject to fee caps. Any other audit, audit-related and permitted non-audit services and all tax services must be specifically pre-approved by the Audit Committee.</w:t>
      </w:r>
    </w:p>
    <w:p>
      <w:pPr>
        <w:spacing w:after="0" w:line="17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aggregate fees billed by KPMG in 2016 and 2015 for professional services rendered were:</w:t>
      </w:r>
    </w:p>
    <w:p>
      <w:pPr>
        <w:spacing w:after="0" w:line="244" w:lineRule="exact"/>
        <w:rPr>
          <w:sz w:val="20"/>
          <w:szCs w:val="20"/>
          <w:color w:val="auto"/>
        </w:rPr>
      </w:pPr>
    </w:p>
    <w:tbl>
      <w:tblPr>
        <w:tblLayout w:type="fixed"/>
        <w:tblInd w:w="1380" w:type="dxa"/>
        <w:tblCellMar>
          <w:top w:w="0" w:type="dxa"/>
          <w:left w:w="0" w:type="dxa"/>
          <w:bottom w:w="0" w:type="dxa"/>
          <w:right w:w="0" w:type="dxa"/>
        </w:tblCellMar>
      </w:tblPr>
      <w:tr>
        <w:trPr>
          <w:trHeight w:val="185"/>
        </w:trPr>
        <w:tc>
          <w:tcPr>
            <w:tcW w:w="4440" w:type="dxa"/>
            <w:vAlign w:val="bottom"/>
            <w:gridSpan w:val="3"/>
          </w:tcPr>
          <w:p>
            <w:pPr>
              <w:spacing w:after="0"/>
              <w:rPr>
                <w:sz w:val="20"/>
                <w:szCs w:val="20"/>
                <w:color w:val="auto"/>
              </w:rPr>
            </w:pPr>
            <w:r>
              <w:rPr>
                <w:rFonts w:ascii="Arial" w:cs="Arial" w:eastAsia="Arial" w:hAnsi="Arial"/>
                <w:sz w:val="14"/>
                <w:szCs w:val="14"/>
                <w:b w:val="1"/>
                <w:bCs w:val="1"/>
                <w:color w:val="auto"/>
              </w:rPr>
              <w:t>Type of Fees</w:t>
            </w:r>
          </w:p>
        </w:tc>
        <w:tc>
          <w:tcPr>
            <w:tcW w:w="3200" w:type="dxa"/>
            <w:vAlign w:val="bottom"/>
            <w:gridSpan w:val="2"/>
          </w:tcPr>
          <w:p>
            <w:pPr>
              <w:jc w:val="right"/>
              <w:spacing w:after="0"/>
              <w:rPr>
                <w:sz w:val="20"/>
                <w:szCs w:val="20"/>
                <w:color w:val="auto"/>
              </w:rPr>
            </w:pPr>
            <w:r>
              <w:rPr>
                <w:rFonts w:ascii="Arial" w:cs="Arial" w:eastAsia="Arial" w:hAnsi="Arial"/>
                <w:sz w:val="14"/>
                <w:szCs w:val="14"/>
                <w:b w:val="1"/>
                <w:bCs w:val="1"/>
                <w:color w:val="auto"/>
              </w:rPr>
              <w:t>2016</w:t>
            </w:r>
          </w:p>
        </w:tc>
        <w:tc>
          <w:tcPr>
            <w:tcW w:w="980" w:type="dxa"/>
            <w:vAlign w:val="bottom"/>
            <w:gridSpan w:val="3"/>
          </w:tcPr>
          <w:p>
            <w:pPr>
              <w:jc w:val="right"/>
              <w:spacing w:after="0"/>
              <w:rPr>
                <w:sz w:val="20"/>
                <w:szCs w:val="20"/>
                <w:color w:val="auto"/>
              </w:rPr>
            </w:pPr>
            <w:r>
              <w:rPr>
                <w:rFonts w:ascii="Arial" w:cs="Arial" w:eastAsia="Arial" w:hAnsi="Arial"/>
                <w:sz w:val="14"/>
                <w:szCs w:val="14"/>
                <w:b w:val="1"/>
                <w:bCs w:val="1"/>
                <w:color w:val="auto"/>
              </w:rPr>
              <w:t>2015</w:t>
            </w:r>
          </w:p>
        </w:tc>
        <w:tc>
          <w:tcPr>
            <w:tcW w:w="60" w:type="dxa"/>
            <w:vAlign w:val="bottom"/>
          </w:tcPr>
          <w:p>
            <w:pPr>
              <w:spacing w:after="0"/>
              <w:rPr>
                <w:sz w:val="16"/>
                <w:szCs w:val="16"/>
                <w:color w:val="auto"/>
              </w:rPr>
            </w:pPr>
          </w:p>
        </w:tc>
      </w:tr>
      <w:tr>
        <w:trPr>
          <w:trHeight w:val="142"/>
        </w:trPr>
        <w:tc>
          <w:tcPr>
            <w:tcW w:w="20" w:type="dxa"/>
            <w:vAlign w:val="bottom"/>
          </w:tcPr>
          <w:p>
            <w:pPr>
              <w:spacing w:after="0"/>
              <w:rPr>
                <w:sz w:val="12"/>
                <w:szCs w:val="12"/>
                <w:color w:val="auto"/>
              </w:rPr>
            </w:pPr>
          </w:p>
        </w:tc>
        <w:tc>
          <w:tcPr>
            <w:tcW w:w="760" w:type="dxa"/>
            <w:vAlign w:val="bottom"/>
            <w:tcBorders>
              <w:top w:val="single" w:sz="8" w:color="auto"/>
            </w:tcBorders>
          </w:tcPr>
          <w:p>
            <w:pPr>
              <w:spacing w:after="0"/>
              <w:rPr>
                <w:sz w:val="12"/>
                <w:szCs w:val="12"/>
                <w:color w:val="auto"/>
              </w:rPr>
            </w:pPr>
          </w:p>
        </w:tc>
        <w:tc>
          <w:tcPr>
            <w:tcW w:w="3660" w:type="dxa"/>
            <w:vAlign w:val="bottom"/>
          </w:tcPr>
          <w:p>
            <w:pPr>
              <w:spacing w:after="0"/>
              <w:rPr>
                <w:sz w:val="12"/>
                <w:szCs w:val="12"/>
                <w:color w:val="auto"/>
              </w:rPr>
            </w:pPr>
          </w:p>
        </w:tc>
        <w:tc>
          <w:tcPr>
            <w:tcW w:w="2840" w:type="dxa"/>
            <w:vAlign w:val="bottom"/>
          </w:tcPr>
          <w:p>
            <w:pPr>
              <w:spacing w:after="0"/>
              <w:rPr>
                <w:sz w:val="12"/>
                <w:szCs w:val="12"/>
                <w:color w:val="auto"/>
              </w:rPr>
            </w:pPr>
          </w:p>
        </w:tc>
        <w:tc>
          <w:tcPr>
            <w:tcW w:w="1340" w:type="dxa"/>
            <w:vAlign w:val="bottom"/>
            <w:tcBorders>
              <w:top w:val="single" w:sz="8" w:color="auto"/>
            </w:tcBorders>
            <w:gridSpan w:val="4"/>
          </w:tcPr>
          <w:p>
            <w:pPr>
              <w:jc w:val="right"/>
              <w:ind w:right="210"/>
              <w:spacing w:after="0" w:line="142" w:lineRule="exact"/>
              <w:rPr>
                <w:sz w:val="20"/>
                <w:szCs w:val="20"/>
                <w:color w:val="auto"/>
              </w:rPr>
            </w:pPr>
            <w:r>
              <w:rPr>
                <w:rFonts w:ascii="Arial" w:cs="Arial" w:eastAsia="Arial" w:hAnsi="Arial"/>
                <w:sz w:val="14"/>
                <w:szCs w:val="14"/>
                <w:b w:val="1"/>
                <w:bCs w:val="1"/>
                <w:color w:val="auto"/>
              </w:rPr>
              <w:t>(in millions)</w:t>
            </w:r>
          </w:p>
        </w:tc>
        <w:tc>
          <w:tcPr>
            <w:tcW w:w="60" w:type="dxa"/>
            <w:vAlign w:val="bottom"/>
          </w:tcPr>
          <w:p>
            <w:pPr>
              <w:spacing w:after="0"/>
              <w:rPr>
                <w:sz w:val="12"/>
                <w:szCs w:val="12"/>
                <w:color w:val="auto"/>
              </w:rPr>
            </w:pPr>
          </w:p>
        </w:tc>
      </w:tr>
      <w:tr>
        <w:trPr>
          <w:trHeight w:val="216"/>
        </w:trPr>
        <w:tc>
          <w:tcPr>
            <w:tcW w:w="20" w:type="dxa"/>
            <w:vAlign w:val="bottom"/>
          </w:tcPr>
          <w:p>
            <w:pPr>
              <w:spacing w:after="0"/>
              <w:rPr>
                <w:sz w:val="18"/>
                <w:szCs w:val="18"/>
                <w:color w:val="auto"/>
              </w:rPr>
            </w:pPr>
          </w:p>
        </w:tc>
        <w:tc>
          <w:tcPr>
            <w:tcW w:w="4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xml:space="preserve">Audit Fees </w:t>
            </w:r>
            <w:r>
              <w:rPr>
                <w:rFonts w:ascii="Arial" w:cs="Arial" w:eastAsia="Arial" w:hAnsi="Arial"/>
                <w:sz w:val="15"/>
                <w:szCs w:val="15"/>
                <w:color w:val="auto"/>
              </w:rPr>
              <w:t>(1)</w:t>
            </w: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$ 7.8</w:t>
            </w:r>
          </w:p>
        </w:tc>
        <w:tc>
          <w:tcPr>
            <w:tcW w:w="6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420" w:type="dxa"/>
            <w:vAlign w:val="bottom"/>
            <w:gridSpan w:val="2"/>
          </w:tcPr>
          <w:p>
            <w:pPr>
              <w:spacing w:after="0"/>
              <w:rPr>
                <w:sz w:val="20"/>
                <w:szCs w:val="20"/>
                <w:color w:val="auto"/>
              </w:rPr>
            </w:pPr>
            <w:r>
              <w:rPr>
                <w:rFonts w:ascii="Arial" w:cs="Arial" w:eastAsia="Arial" w:hAnsi="Arial"/>
                <w:sz w:val="18"/>
                <w:szCs w:val="18"/>
                <w:color w:val="auto"/>
              </w:rPr>
              <w:t xml:space="preserve">Audit-Related Fees </w:t>
            </w:r>
            <w:r>
              <w:rPr>
                <w:rFonts w:ascii="Arial" w:cs="Arial" w:eastAsia="Arial" w:hAnsi="Arial"/>
                <w:sz w:val="15"/>
                <w:szCs w:val="15"/>
                <w:color w:val="auto"/>
              </w:rPr>
              <w:t>(2)</w:t>
            </w:r>
          </w:p>
        </w:tc>
        <w:tc>
          <w:tcPr>
            <w:tcW w:w="3200" w:type="dxa"/>
            <w:vAlign w:val="bottom"/>
            <w:gridSpan w:val="2"/>
          </w:tcPr>
          <w:p>
            <w:pPr>
              <w:jc w:val="right"/>
              <w:spacing w:after="0"/>
              <w:rPr>
                <w:sz w:val="20"/>
                <w:szCs w:val="20"/>
                <w:color w:val="auto"/>
              </w:rPr>
            </w:pPr>
            <w:r>
              <w:rPr>
                <w:rFonts w:ascii="Arial" w:cs="Arial" w:eastAsia="Arial" w:hAnsi="Arial"/>
                <w:sz w:val="18"/>
                <w:szCs w:val="18"/>
                <w:color w:val="auto"/>
              </w:rPr>
              <w:t>2.0</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2.1</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xml:space="preserve">Tax Fees </w:t>
            </w:r>
            <w:r>
              <w:rPr>
                <w:rFonts w:ascii="Arial" w:cs="Arial" w:eastAsia="Arial" w:hAnsi="Arial"/>
                <w:sz w:val="15"/>
                <w:szCs w:val="15"/>
                <w:color w:val="auto"/>
              </w:rPr>
              <w:t>(3)</w:t>
            </w:r>
          </w:p>
        </w:tc>
        <w:tc>
          <w:tcPr>
            <w:tcW w:w="2840" w:type="dxa"/>
            <w:vAlign w:val="bottom"/>
            <w:shd w:val="clear" w:color="auto" w:fill="CCEEFF"/>
          </w:tcPr>
          <w:p>
            <w:pPr>
              <w:spacing w:after="0"/>
              <w:rPr>
                <w:sz w:val="18"/>
                <w:szCs w:val="18"/>
                <w:color w:val="auto"/>
              </w:rPr>
            </w:pPr>
          </w:p>
        </w:tc>
        <w:tc>
          <w:tcPr>
            <w:tcW w:w="3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6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4420" w:type="dxa"/>
            <w:vAlign w:val="bottom"/>
            <w:gridSpan w:val="2"/>
          </w:tcPr>
          <w:p>
            <w:pPr>
              <w:spacing w:after="0"/>
              <w:rPr>
                <w:sz w:val="20"/>
                <w:szCs w:val="20"/>
                <w:color w:val="auto"/>
              </w:rPr>
            </w:pPr>
            <w:r>
              <w:rPr>
                <w:rFonts w:ascii="Arial" w:cs="Arial" w:eastAsia="Arial" w:hAnsi="Arial"/>
                <w:sz w:val="18"/>
                <w:szCs w:val="18"/>
                <w:color w:val="auto"/>
              </w:rPr>
              <w:t xml:space="preserve">All Other Fees </w:t>
            </w:r>
            <w:r>
              <w:rPr>
                <w:rFonts w:ascii="Arial" w:cs="Arial" w:eastAsia="Arial" w:hAnsi="Arial"/>
                <w:sz w:val="15"/>
                <w:szCs w:val="15"/>
                <w:color w:val="auto"/>
              </w:rPr>
              <w:t>(4)</w:t>
            </w:r>
          </w:p>
        </w:tc>
        <w:tc>
          <w:tcPr>
            <w:tcW w:w="2840" w:type="dxa"/>
            <w:vAlign w:val="bottom"/>
          </w:tcPr>
          <w:p>
            <w:pPr>
              <w:spacing w:after="0"/>
              <w:rPr>
                <w:sz w:val="19"/>
                <w:szCs w:val="19"/>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0.1</w:t>
            </w:r>
          </w:p>
        </w:tc>
        <w:tc>
          <w:tcPr>
            <w:tcW w:w="5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0.1</w:t>
            </w:r>
          </w:p>
        </w:tc>
        <w:tc>
          <w:tcPr>
            <w:tcW w:w="6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$ 9.9</w:t>
            </w:r>
          </w:p>
        </w:tc>
        <w:tc>
          <w:tcPr>
            <w:tcW w:w="6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5"/>
              </w:rPr>
              <w:t>10.8</w:t>
            </w:r>
          </w:p>
        </w:tc>
        <w:tc>
          <w:tcPr>
            <w:tcW w:w="60" w:type="dxa"/>
            <w:vAlign w:val="bottom"/>
            <w:shd w:val="clear" w:color="auto" w:fill="CCEEFF"/>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66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94615</wp:posOffset>
            </wp:positionV>
            <wp:extent cx="728980"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68" w:lineRule="exact"/>
        <w:rPr>
          <w:sz w:val="20"/>
          <w:szCs w:val="20"/>
          <w:color w:val="auto"/>
        </w:rPr>
      </w:pPr>
    </w:p>
    <w:p>
      <w:pPr>
        <w:ind w:left="460" w:right="340" w:hanging="452"/>
        <w:spacing w:after="0" w:line="286" w:lineRule="auto"/>
        <w:tabs>
          <w:tab w:leader="none" w:pos="460" w:val="left"/>
        </w:tabs>
        <w:numPr>
          <w:ilvl w:val="0"/>
          <w:numId w:val="78"/>
        </w:numPr>
        <w:rPr>
          <w:rFonts w:ascii="Arial" w:cs="Arial" w:eastAsia="Arial" w:hAnsi="Arial"/>
          <w:sz w:val="14"/>
          <w:szCs w:val="14"/>
          <w:color w:val="auto"/>
        </w:rPr>
      </w:pPr>
      <w:r>
        <w:rPr>
          <w:rFonts w:ascii="Arial" w:cs="Arial" w:eastAsia="Arial" w:hAnsi="Arial"/>
          <w:sz w:val="16"/>
          <w:szCs w:val="16"/>
          <w:color w:val="auto"/>
        </w:rPr>
        <w:t>Fees for services to perform an audit or review in accordance with either the standards of the PCAOB or generally accepted auditing standards and services that generally only Genworth’s independent registered public accounting firm can reasonably provide, such as the audit of Genworth’s consolidated financial statements included in public offerings or filings, the review of the financial statements included in our Quarterly Reports on Form 10-Q, and for services that are normally provided by accountants in connection with statutory and regulatory filings or engagements.</w:t>
      </w:r>
    </w:p>
    <w:p>
      <w:pPr>
        <w:spacing w:after="0" w:line="1" w:lineRule="exact"/>
        <w:rPr>
          <w:rFonts w:ascii="Arial" w:cs="Arial" w:eastAsia="Arial" w:hAnsi="Arial"/>
          <w:sz w:val="14"/>
          <w:szCs w:val="14"/>
          <w:color w:val="auto"/>
        </w:rPr>
      </w:pPr>
    </w:p>
    <w:p>
      <w:pPr>
        <w:ind w:left="460" w:right="60" w:hanging="452"/>
        <w:spacing w:after="0" w:line="261" w:lineRule="auto"/>
        <w:tabs>
          <w:tab w:leader="none" w:pos="460" w:val="left"/>
        </w:tabs>
        <w:numPr>
          <w:ilvl w:val="0"/>
          <w:numId w:val="78"/>
        </w:numPr>
        <w:rPr>
          <w:rFonts w:ascii="Arial" w:cs="Arial" w:eastAsia="Arial" w:hAnsi="Arial"/>
          <w:sz w:val="15"/>
          <w:szCs w:val="15"/>
          <w:color w:val="auto"/>
        </w:rPr>
      </w:pPr>
      <w:r>
        <w:rPr>
          <w:rFonts w:ascii="Arial" w:cs="Arial" w:eastAsia="Arial" w:hAnsi="Arial"/>
          <w:sz w:val="18"/>
          <w:szCs w:val="18"/>
          <w:color w:val="auto"/>
        </w:rPr>
        <w:t>Fees for assurance and related services that are traditionally performed by Genworth’s independent registered public accounting firm, such as audit and related services for employee benefit plan audits,</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400"/>
          </w:cols>
          <w:pgMar w:left="240" w:top="459" w:right="25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440"/>
        <w:spacing w:after="0" w:line="258" w:lineRule="auto"/>
        <w:rPr>
          <w:sz w:val="20"/>
          <w:szCs w:val="20"/>
          <w:color w:val="auto"/>
        </w:rPr>
      </w:pPr>
      <w:r>
        <w:rPr>
          <w:rFonts w:ascii="Arial" w:cs="Arial" w:eastAsia="Arial" w:hAnsi="Arial"/>
          <w:sz w:val="18"/>
          <w:szCs w:val="18"/>
          <w:color w:val="auto"/>
        </w:rPr>
        <w:t>internal control reviews, document production requests, attest services not required by statute or regulation, and consultation concerning financial accounting and reporting standards.</w:t>
      </w:r>
    </w:p>
    <w:p>
      <w:pPr>
        <w:ind w:left="460" w:hanging="452"/>
        <w:spacing w:after="0" w:line="282" w:lineRule="auto"/>
        <w:tabs>
          <w:tab w:leader="none" w:pos="460" w:val="left"/>
        </w:tabs>
        <w:numPr>
          <w:ilvl w:val="0"/>
          <w:numId w:val="79"/>
        </w:numPr>
        <w:rPr>
          <w:rFonts w:ascii="Arial" w:cs="Arial" w:eastAsia="Arial" w:hAnsi="Arial"/>
          <w:sz w:val="14"/>
          <w:szCs w:val="14"/>
          <w:color w:val="auto"/>
        </w:rPr>
      </w:pPr>
      <w:r>
        <w:rPr>
          <w:rFonts w:ascii="Arial" w:cs="Arial" w:eastAsia="Arial" w:hAnsi="Arial"/>
          <w:sz w:val="16"/>
          <w:szCs w:val="16"/>
          <w:color w:val="auto"/>
        </w:rPr>
        <w:t>Fees for tax compliance, consultation and planning services. Tax compliance generally involves preparation of original and amended tax returns, claims for refunds, tax payment planning services and assistance with tax audits and filing appeals and totaled $32,978 for 2016 and $116,516 for 2015. Tax consultation and tax planning encompass a diverse range of services, including assistance in connection with tax advice related to mergers and acquisitions, employee benefit plans and requests for rulings or technical advice from taxing authorities and totaled $0 for 2016 and $42,739 for 2015.</w:t>
      </w:r>
    </w:p>
    <w:p>
      <w:pPr>
        <w:ind w:left="460" w:right="40" w:hanging="452"/>
        <w:spacing w:after="0" w:line="261" w:lineRule="auto"/>
        <w:tabs>
          <w:tab w:leader="none" w:pos="460" w:val="left"/>
        </w:tabs>
        <w:numPr>
          <w:ilvl w:val="0"/>
          <w:numId w:val="79"/>
        </w:numPr>
        <w:rPr>
          <w:rFonts w:ascii="Arial" w:cs="Arial" w:eastAsia="Arial" w:hAnsi="Arial"/>
          <w:sz w:val="15"/>
          <w:szCs w:val="15"/>
          <w:color w:val="auto"/>
        </w:rPr>
      </w:pPr>
      <w:r>
        <w:rPr>
          <w:rFonts w:ascii="Arial" w:cs="Arial" w:eastAsia="Arial" w:hAnsi="Arial"/>
          <w:sz w:val="18"/>
          <w:szCs w:val="18"/>
          <w:color w:val="auto"/>
        </w:rPr>
        <w:t>Fees not considered audit or audit-related, such as the actuarial services, workpaper access for strategic due diligence, and advice and assistance for the dissolution of entities.</w:t>
      </w:r>
    </w:p>
    <w:p>
      <w:pPr>
        <w:spacing w:after="0" w:line="11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380"/>
          </w:cols>
          <w:pgMar w:left="240" w:top="459" w:right="279" w:bottom="1440" w:gutter="0" w:footer="0" w:header="0"/>
        </w:sectPr>
      </w:pPr>
    </w:p>
    <w:bookmarkStart w:id="59" w:name="page60"/>
    <w:bookmarkEnd w:id="5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5420"/>
        <w:spacing w:after="0"/>
        <w:rPr>
          <w:sz w:val="20"/>
          <w:szCs w:val="20"/>
          <w:color w:val="auto"/>
        </w:rPr>
      </w:pPr>
      <w:r>
        <w:rPr>
          <w:rFonts w:ascii="Arial" w:cs="Arial" w:eastAsia="Arial" w:hAnsi="Arial"/>
          <w:sz w:val="18"/>
          <w:szCs w:val="18"/>
          <w:b w:val="1"/>
          <w:bCs w:val="1"/>
          <w:color w:val="auto"/>
        </w:rPr>
        <w:t>Part IV</w:t>
      </w:r>
    </w:p>
    <w:p>
      <w:pPr>
        <w:spacing w:after="0" w:line="25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6"/>
          <w:szCs w:val="16"/>
          <w:b w:val="1"/>
          <w:bCs w:val="1"/>
          <w:color w:val="auto"/>
        </w:rPr>
        <w:t>Exhibit</w:t>
      </w:r>
    </w:p>
    <w:p>
      <w:pPr>
        <w:spacing w:after="0" w:line="135" w:lineRule="exact"/>
        <w:rPr>
          <w:sz w:val="20"/>
          <w:szCs w:val="20"/>
          <w:color w:val="auto"/>
        </w:rPr>
      </w:pPr>
    </w:p>
    <w:p>
      <w:pPr>
        <w:spacing w:after="0"/>
        <w:rPr>
          <w:sz w:val="20"/>
          <w:szCs w:val="20"/>
          <w:color w:val="auto"/>
        </w:rPr>
      </w:pPr>
      <w:r>
        <w:rPr>
          <w:rFonts w:ascii="Arial" w:cs="Arial" w:eastAsia="Arial" w:hAnsi="Arial"/>
          <w:sz w:val="16"/>
          <w:szCs w:val="16"/>
          <w:color w:val="auto"/>
        </w:rPr>
        <w:t>31.3  Certification Pursuant to Section 302 of the Sarbanes-Oxley Act of 2002—Thomas J. McInerney</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31.4  Certification Pursuant to Section 302 of the Sarbanes-Oxley Act of 2002—Kelly L. Groh</w:t>
      </w:r>
    </w:p>
    <w:p>
      <w:pPr>
        <w:spacing w:after="0" w:line="15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0219"/>
          </w:cols>
          <w:pgMar w:left="240" w:top="459" w:right="1440" w:bottom="1440" w:gutter="0" w:footer="0" w:header="0"/>
        </w:sectPr>
      </w:pPr>
    </w:p>
    <w:bookmarkStart w:id="60" w:name="page61"/>
    <w:bookmarkEnd w:id="6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197"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Genworth Financial, Inc.</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Thomas J. McInerney</w:t>
      </w:r>
    </w:p>
    <w:p>
      <w:pPr>
        <w:spacing w:after="0" w:line="23"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Thomas J. McInerney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4533265</wp:posOffset>
            </wp:positionH>
            <wp:positionV relativeFrom="paragraph">
              <wp:posOffset>-130810</wp:posOffset>
            </wp:positionV>
            <wp:extent cx="2718435"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2718435" cy="8890"/>
                    </a:xfrm>
                    <a:prstGeom prst="rect">
                      <a:avLst/>
                    </a:prstGeom>
                    <a:noFill/>
                  </pic:spPr>
                </pic:pic>
              </a:graphicData>
            </a:graphic>
          </wp:anchor>
        </w:drawing>
      </w:r>
    </w:p>
    <w:p>
      <w:pPr>
        <w:spacing w:after="0" w:line="3"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President and Chief Executive Officer</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Date: April 3, 2017</w:t>
      </w:r>
    </w:p>
    <w:p>
      <w:pPr>
        <w:spacing w:after="0" w:line="158"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240"/>
          </w:cols>
          <w:pgMar w:left="240" w:top="459" w:right="419" w:bottom="1440" w:gutter="0" w:footer="0" w:header="0"/>
        </w:sectPr>
      </w:pPr>
    </w:p>
    <w:bookmarkStart w:id="61" w:name="page62"/>
    <w:bookmarkEnd w:id="61"/>
    <w:p>
      <w:pPr>
        <w:jc w:val="right"/>
        <w:spacing w:after="0"/>
        <w:rPr>
          <w:sz w:val="20"/>
          <w:szCs w:val="20"/>
          <w:color w:val="auto"/>
        </w:rPr>
      </w:pPr>
      <w:r>
        <w:rPr>
          <w:rFonts w:ascii="Arial" w:cs="Arial" w:eastAsia="Arial" w:hAnsi="Arial"/>
          <w:sz w:val="18"/>
          <w:szCs w:val="18"/>
          <w:b w:val="1"/>
          <w:bCs w:val="1"/>
          <w:color w:val="auto"/>
        </w:rPr>
        <w:t>Exhibit 31.3</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Thomas J. McInerney, certify that:</w:t>
      </w:r>
    </w:p>
    <w:p>
      <w:pPr>
        <w:spacing w:after="0" w:line="225" w:lineRule="exact"/>
        <w:rPr>
          <w:sz w:val="20"/>
          <w:szCs w:val="20"/>
          <w:color w:val="auto"/>
        </w:rPr>
      </w:pPr>
    </w:p>
    <w:p>
      <w:pPr>
        <w:ind w:left="640" w:hanging="176"/>
        <w:spacing w:after="0"/>
        <w:tabs>
          <w:tab w:leader="none" w:pos="640" w:val="left"/>
        </w:tabs>
        <w:numPr>
          <w:ilvl w:val="0"/>
          <w:numId w:val="80"/>
        </w:numPr>
        <w:rPr>
          <w:rFonts w:ascii="Arial" w:cs="Arial" w:eastAsia="Arial" w:hAnsi="Arial"/>
          <w:sz w:val="18"/>
          <w:szCs w:val="18"/>
          <w:color w:val="auto"/>
        </w:rPr>
      </w:pPr>
      <w:r>
        <w:rPr>
          <w:rFonts w:ascii="Arial" w:cs="Arial" w:eastAsia="Arial" w:hAnsi="Arial"/>
          <w:sz w:val="18"/>
          <w:szCs w:val="18"/>
          <w:color w:val="auto"/>
        </w:rPr>
        <w:t>I have reviewed this Amendment No. 1 on Form 10-K/A to the annual report on Form 10-K of Genworth Financial, Inc.; and</w:t>
      </w:r>
    </w:p>
    <w:p>
      <w:pPr>
        <w:spacing w:after="0" w:line="225" w:lineRule="exact"/>
        <w:rPr>
          <w:rFonts w:ascii="Arial" w:cs="Arial" w:eastAsia="Arial" w:hAnsi="Arial"/>
          <w:sz w:val="18"/>
          <w:szCs w:val="18"/>
          <w:color w:val="auto"/>
        </w:rPr>
      </w:pPr>
    </w:p>
    <w:p>
      <w:pPr>
        <w:ind w:right="300" w:firstLine="464"/>
        <w:spacing w:after="0" w:line="342" w:lineRule="auto"/>
        <w:tabs>
          <w:tab w:leader="none" w:pos="636" w:val="left"/>
        </w:tabs>
        <w:numPr>
          <w:ilvl w:val="0"/>
          <w:numId w:val="80"/>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color w:val="auto"/>
        </w:rPr>
        <w:t>Dated: April 3, 2017</w:t>
      </w:r>
    </w:p>
    <w:p>
      <w:pPr>
        <w:spacing w:after="0" w:line="200" w:lineRule="exact"/>
        <w:rPr>
          <w:sz w:val="20"/>
          <w:szCs w:val="20"/>
          <w:color w:val="auto"/>
        </w:rPr>
      </w:pPr>
    </w:p>
    <w:p>
      <w:pPr>
        <w:spacing w:after="0" w:line="268" w:lineRule="exact"/>
        <w:rPr>
          <w:sz w:val="20"/>
          <w:szCs w:val="20"/>
          <w:color w:val="auto"/>
        </w:rPr>
      </w:pPr>
    </w:p>
    <w:p>
      <w:pPr>
        <w:ind w:left="6860"/>
        <w:spacing w:after="0"/>
        <w:tabs>
          <w:tab w:leader="none" w:pos="84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Thomas J. McInerney</w:t>
      </w:r>
    </w:p>
    <w:p>
      <w:pPr>
        <w:spacing w:after="0" w:line="18" w:lineRule="exact"/>
        <w:rPr>
          <w:sz w:val="20"/>
          <w:szCs w:val="20"/>
          <w:color w:val="auto"/>
        </w:rPr>
      </w:pPr>
    </w:p>
    <w:p>
      <w:pPr>
        <w:jc w:val="center"/>
        <w:ind w:left="7240"/>
        <w:spacing w:after="0"/>
        <w:rPr>
          <w:sz w:val="20"/>
          <w:szCs w:val="20"/>
          <w:color w:val="auto"/>
        </w:rPr>
      </w:pPr>
      <w:r>
        <w:rPr>
          <w:rFonts w:ascii="Arial" w:cs="Arial" w:eastAsia="Arial" w:hAnsi="Arial"/>
          <w:sz w:val="14"/>
          <w:szCs w:val="14"/>
          <w:b w:val="1"/>
          <w:bCs w:val="1"/>
          <w:color w:val="auto"/>
        </w:rPr>
        <w:t>Thomas J. McInerney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4533265</wp:posOffset>
            </wp:positionH>
            <wp:positionV relativeFrom="paragraph">
              <wp:posOffset>-97790</wp:posOffset>
            </wp:positionV>
            <wp:extent cx="2718435"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2718435" cy="8890"/>
                    </a:xfrm>
                    <a:prstGeom prst="rect">
                      <a:avLst/>
                    </a:prstGeom>
                    <a:noFill/>
                  </pic:spPr>
                </pic:pic>
              </a:graphicData>
            </a:graphic>
          </wp:anchor>
        </w:drawing>
      </w:r>
    </w:p>
    <w:p>
      <w:pPr>
        <w:jc w:val="center"/>
        <w:ind w:left="7240"/>
        <w:spacing w:after="0" w:line="221" w:lineRule="auto"/>
        <w:rPr>
          <w:sz w:val="20"/>
          <w:szCs w:val="20"/>
          <w:color w:val="auto"/>
        </w:rPr>
      </w:pPr>
      <w:r>
        <w:rPr>
          <w:rFonts w:ascii="Arial" w:cs="Arial" w:eastAsia="Arial" w:hAnsi="Arial"/>
          <w:sz w:val="14"/>
          <w:szCs w:val="14"/>
          <w:b w:val="1"/>
          <w:bCs w:val="1"/>
          <w:color w:val="auto"/>
        </w:rPr>
        <w:t>President and Chief Executive Officer</w:t>
      </w:r>
    </w:p>
    <w:p>
      <w:pPr>
        <w:jc w:val="center"/>
        <w:ind w:left="7240"/>
        <w:spacing w:after="0"/>
        <w:rPr>
          <w:sz w:val="20"/>
          <w:szCs w:val="20"/>
          <w:color w:val="auto"/>
        </w:rPr>
      </w:pPr>
      <w:r>
        <w:rPr>
          <w:rFonts w:ascii="Arial" w:cs="Arial" w:eastAsia="Arial" w:hAnsi="Arial"/>
          <w:sz w:val="14"/>
          <w:szCs w:val="14"/>
          <w:b w:val="1"/>
          <w:bCs w:val="1"/>
          <w:color w:val="auto"/>
        </w:rPr>
        <w:t>(Principal Executive Officer)</w:t>
      </w:r>
    </w:p>
    <w:p>
      <w:pPr>
        <w:sectPr>
          <w:pgSz w:w="11900" w:h="16838" w:orient="portrait"/>
          <w:cols w:equalWidth="0" w:num="1">
            <w:col w:w="11420"/>
          </w:cols>
          <w:pgMar w:left="240" w:top="121" w:right="239" w:bottom="1440" w:gutter="0" w:footer="0" w:header="0"/>
        </w:sectPr>
      </w:pPr>
    </w:p>
    <w:bookmarkStart w:id="62" w:name="page63"/>
    <w:bookmarkEnd w:id="62"/>
    <w:p>
      <w:pPr>
        <w:jc w:val="right"/>
        <w:spacing w:after="0"/>
        <w:rPr>
          <w:sz w:val="20"/>
          <w:szCs w:val="20"/>
          <w:color w:val="auto"/>
        </w:rPr>
      </w:pPr>
      <w:r>
        <w:rPr>
          <w:rFonts w:ascii="Arial" w:cs="Arial" w:eastAsia="Arial" w:hAnsi="Arial"/>
          <w:sz w:val="18"/>
          <w:szCs w:val="18"/>
          <w:b w:val="1"/>
          <w:bCs w:val="1"/>
          <w:color w:val="auto"/>
        </w:rPr>
        <w:t>Exhibit 31.4</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Kelly L. Groh, certify that:</w:t>
      </w:r>
    </w:p>
    <w:p>
      <w:pPr>
        <w:spacing w:after="0" w:line="225" w:lineRule="exact"/>
        <w:rPr>
          <w:sz w:val="20"/>
          <w:szCs w:val="20"/>
          <w:color w:val="auto"/>
        </w:rPr>
      </w:pPr>
    </w:p>
    <w:p>
      <w:pPr>
        <w:ind w:left="640" w:hanging="176"/>
        <w:spacing w:after="0"/>
        <w:tabs>
          <w:tab w:leader="none" w:pos="640" w:val="left"/>
        </w:tabs>
        <w:numPr>
          <w:ilvl w:val="0"/>
          <w:numId w:val="81"/>
        </w:numPr>
        <w:rPr>
          <w:rFonts w:ascii="Arial" w:cs="Arial" w:eastAsia="Arial" w:hAnsi="Arial"/>
          <w:sz w:val="18"/>
          <w:szCs w:val="18"/>
          <w:color w:val="auto"/>
        </w:rPr>
      </w:pPr>
      <w:r>
        <w:rPr>
          <w:rFonts w:ascii="Arial" w:cs="Arial" w:eastAsia="Arial" w:hAnsi="Arial"/>
          <w:sz w:val="18"/>
          <w:szCs w:val="18"/>
          <w:color w:val="auto"/>
        </w:rPr>
        <w:t>I have reviewed this Amendment No. 1 on Form 10-K/A to the annual report on Form 10-K of Genworth Financial, Inc.; and</w:t>
      </w:r>
    </w:p>
    <w:p>
      <w:pPr>
        <w:spacing w:after="0" w:line="225" w:lineRule="exact"/>
        <w:rPr>
          <w:rFonts w:ascii="Arial" w:cs="Arial" w:eastAsia="Arial" w:hAnsi="Arial"/>
          <w:sz w:val="18"/>
          <w:szCs w:val="18"/>
          <w:color w:val="auto"/>
        </w:rPr>
      </w:pPr>
    </w:p>
    <w:p>
      <w:pPr>
        <w:ind w:right="300" w:firstLine="464"/>
        <w:spacing w:after="0" w:line="342" w:lineRule="auto"/>
        <w:tabs>
          <w:tab w:leader="none" w:pos="636" w:val="left"/>
        </w:tabs>
        <w:numPr>
          <w:ilvl w:val="0"/>
          <w:numId w:val="81"/>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color w:val="auto"/>
        </w:rPr>
        <w:t>Dated: April 3, 2017</w:t>
      </w:r>
    </w:p>
    <w:p>
      <w:pPr>
        <w:spacing w:after="0" w:line="25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Genworth Financial, Inc.</w:t>
      </w:r>
    </w:p>
    <w:p>
      <w:pPr>
        <w:spacing w:after="0" w:line="225" w:lineRule="exact"/>
        <w:rPr>
          <w:sz w:val="20"/>
          <w:szCs w:val="20"/>
          <w:color w:val="auto"/>
        </w:rPr>
      </w:pPr>
    </w:p>
    <w:p>
      <w:pPr>
        <w:ind w:left="6860"/>
        <w:spacing w:after="0"/>
        <w:tabs>
          <w:tab w:leader="none" w:pos="870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Kelly L. Groh</w:t>
      </w:r>
    </w:p>
    <w:p>
      <w:pPr>
        <w:spacing w:after="0" w:line="18" w:lineRule="exact"/>
        <w:rPr>
          <w:sz w:val="20"/>
          <w:szCs w:val="20"/>
          <w:color w:val="auto"/>
        </w:rPr>
      </w:pPr>
    </w:p>
    <w:p>
      <w:pPr>
        <w:jc w:val="center"/>
        <w:ind w:left="7240"/>
        <w:spacing w:after="0"/>
        <w:rPr>
          <w:sz w:val="20"/>
          <w:szCs w:val="20"/>
          <w:color w:val="auto"/>
        </w:rPr>
      </w:pPr>
      <w:r>
        <w:rPr>
          <w:rFonts w:ascii="Arial" w:cs="Arial" w:eastAsia="Arial" w:hAnsi="Arial"/>
          <w:sz w:val="14"/>
          <w:szCs w:val="14"/>
          <w:b w:val="1"/>
          <w:bCs w:val="1"/>
          <w:color w:val="auto"/>
        </w:rPr>
        <w:t>Kelly L. Groh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4533265</wp:posOffset>
            </wp:positionH>
            <wp:positionV relativeFrom="paragraph">
              <wp:posOffset>-97790</wp:posOffset>
            </wp:positionV>
            <wp:extent cx="2718435"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2718435" cy="8890"/>
                    </a:xfrm>
                    <a:prstGeom prst="rect">
                      <a:avLst/>
                    </a:prstGeom>
                    <a:noFill/>
                  </pic:spPr>
                </pic:pic>
              </a:graphicData>
            </a:graphic>
          </wp:anchor>
        </w:drawing>
      </w:r>
    </w:p>
    <w:p>
      <w:pPr>
        <w:jc w:val="center"/>
        <w:ind w:left="7240"/>
        <w:spacing w:after="0" w:line="221" w:lineRule="auto"/>
        <w:rPr>
          <w:sz w:val="20"/>
          <w:szCs w:val="20"/>
          <w:color w:val="auto"/>
        </w:rPr>
      </w:pPr>
      <w:r>
        <w:rPr>
          <w:rFonts w:ascii="Arial" w:cs="Arial" w:eastAsia="Arial" w:hAnsi="Arial"/>
          <w:sz w:val="14"/>
          <w:szCs w:val="14"/>
          <w:b w:val="1"/>
          <w:bCs w:val="1"/>
          <w:color w:val="auto"/>
        </w:rPr>
        <w:t>Executive Vice President and Chief Financial Officer</w:t>
      </w:r>
    </w:p>
    <w:p>
      <w:pPr>
        <w:jc w:val="center"/>
        <w:ind w:left="7240"/>
        <w:spacing w:after="0"/>
        <w:rPr>
          <w:sz w:val="20"/>
          <w:szCs w:val="20"/>
          <w:color w:val="auto"/>
        </w:rPr>
      </w:pPr>
      <w:r>
        <w:rPr>
          <w:rFonts w:ascii="Arial" w:cs="Arial" w:eastAsia="Arial" w:hAnsi="Arial"/>
          <w:sz w:val="14"/>
          <w:szCs w:val="14"/>
          <w:b w:val="1"/>
          <w:bCs w:val="1"/>
          <w:color w:val="auto"/>
        </w:rPr>
        <w:t>(Principal Financial Officer)</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53EA438"/>
    <w:multiLevelType w:val="hybridMultilevel"/>
    <w:lvl w:ilvl="0">
      <w:lvlJc w:val="left"/>
      <w:lvlText w:val="☒"/>
      <w:numFmt w:val="bullet"/>
      <w:start w:val="1"/>
    </w:lvl>
  </w:abstractNum>
  <w:abstractNum w:abstractNumId="1">
    <w:nsid w:val="3855585C"/>
    <w:multiLevelType w:val="hybridMultilevel"/>
    <w:lvl w:ilvl="0">
      <w:lvlJc w:val="left"/>
      <w:lvlText w:val="☐"/>
      <w:numFmt w:val="bullet"/>
      <w:start w:val="1"/>
    </w:lvl>
  </w:abstractNum>
  <w:abstractNum w:abstractNumId="2">
    <w:nsid w:val="70A64E2A"/>
    <w:multiLevelType w:val="hybridMultilevel"/>
    <w:lvl w:ilvl="0">
      <w:lvlJc w:val="left"/>
      <w:lvlText w:val="*"/>
      <w:numFmt w:val="bullet"/>
      <w:start w:val="1"/>
    </w:lvl>
  </w:abstractNum>
  <w:abstractNum w:abstractNumId="3">
    <w:nsid w:val="6A2342EC"/>
    <w:multiLevelType w:val="hybridMultilevel"/>
    <w:lvl w:ilvl="0">
      <w:lvlJc w:val="left"/>
      <w:lvlText w:val="•"/>
      <w:numFmt w:val="bullet"/>
      <w:start w:val="1"/>
    </w:lvl>
  </w:abstractNum>
  <w:abstractNum w:abstractNumId="4">
    <w:nsid w:val="2A487CB0"/>
    <w:multiLevelType w:val="hybridMultilevel"/>
    <w:lvl w:ilvl="0">
      <w:lvlJc w:val="left"/>
      <w:lvlText w:val="•"/>
      <w:numFmt w:val="bullet"/>
      <w:start w:val="1"/>
    </w:lvl>
  </w:abstractNum>
  <w:abstractNum w:abstractNumId="5">
    <w:nsid w:val="1D4ED43B"/>
    <w:multiLevelType w:val="hybridMultilevel"/>
    <w:lvl w:ilvl="0">
      <w:lvlJc w:val="left"/>
      <w:lvlText w:val="•"/>
      <w:numFmt w:val="bullet"/>
      <w:start w:val="1"/>
    </w:lvl>
  </w:abstractNum>
  <w:abstractNum w:abstractNumId="6">
    <w:nsid w:val="725A06FB"/>
    <w:multiLevelType w:val="hybridMultilevel"/>
    <w:lvl w:ilvl="0">
      <w:lvlJc w:val="left"/>
      <w:lvlText w:val="•"/>
      <w:numFmt w:val="bullet"/>
      <w:start w:val="1"/>
    </w:lvl>
  </w:abstractNum>
  <w:abstractNum w:abstractNumId="7">
    <w:nsid w:val="2CD89A32"/>
    <w:multiLevelType w:val="hybridMultilevel"/>
    <w:lvl w:ilvl="0">
      <w:lvlJc w:val="left"/>
      <w:lvlText w:val="•"/>
      <w:numFmt w:val="bullet"/>
      <w:start w:val="1"/>
    </w:lvl>
  </w:abstractNum>
  <w:abstractNum w:abstractNumId="8">
    <w:nsid w:val="57E4CCAF"/>
    <w:multiLevelType w:val="hybridMultilevel"/>
    <w:lvl w:ilvl="0">
      <w:lvlJc w:val="left"/>
      <w:lvlText w:val="•"/>
      <w:numFmt w:val="bullet"/>
      <w:start w:val="1"/>
    </w:lvl>
  </w:abstractNum>
  <w:abstractNum w:abstractNumId="9">
    <w:nsid w:val="7A6D8D3C"/>
    <w:multiLevelType w:val="hybridMultilevel"/>
    <w:lvl w:ilvl="0">
      <w:lvlJc w:val="left"/>
      <w:lvlText w:val="•"/>
      <w:numFmt w:val="bullet"/>
      <w:start w:val="1"/>
    </w:lvl>
  </w:abstractNum>
  <w:abstractNum w:abstractNumId="10">
    <w:nsid w:val="4B588F54"/>
    <w:multiLevelType w:val="hybridMultilevel"/>
    <w:lvl w:ilvl="0">
      <w:lvlJc w:val="left"/>
      <w:lvlText w:val="•"/>
      <w:numFmt w:val="bullet"/>
      <w:start w:val="1"/>
    </w:lvl>
  </w:abstractNum>
  <w:abstractNum w:abstractNumId="11">
    <w:nsid w:val="542289EC"/>
    <w:multiLevelType w:val="hybridMultilevel"/>
    <w:lvl w:ilvl="0">
      <w:lvlJc w:val="left"/>
      <w:lvlText w:val="•"/>
      <w:numFmt w:val="bullet"/>
      <w:start w:val="1"/>
    </w:lvl>
  </w:abstractNum>
  <w:abstractNum w:abstractNumId="12">
    <w:nsid w:val="6DE91B18"/>
    <w:multiLevelType w:val="hybridMultilevel"/>
    <w:lvl w:ilvl="0">
      <w:lvlJc w:val="left"/>
      <w:lvlText w:val="%1"/>
      <w:numFmt w:val="decimal"/>
      <w:start w:val="1"/>
    </w:lvl>
    <w:lvl w:ilvl="1">
      <w:lvlJc w:val="left"/>
      <w:lvlText w:val="•"/>
      <w:numFmt w:val="bullet"/>
      <w:start w:val="1"/>
    </w:lvl>
  </w:abstractNum>
  <w:abstractNum w:abstractNumId="13">
    <w:nsid w:val="38437FDB"/>
    <w:multiLevelType w:val="hybridMultilevel"/>
    <w:lvl w:ilvl="0">
      <w:lvlJc w:val="left"/>
      <w:lvlText w:val="2"/>
      <w:numFmt w:val="bullet"/>
      <w:start w:val="1"/>
    </w:lvl>
  </w:abstractNum>
  <w:abstractNum w:abstractNumId="14">
    <w:nsid w:val="7644A45C"/>
    <w:multiLevelType w:val="hybridMultilevel"/>
    <w:lvl w:ilvl="0">
      <w:lvlJc w:val="left"/>
      <w:lvlText w:val="3"/>
      <w:numFmt w:val="bullet"/>
      <w:start w:val="1"/>
    </w:lvl>
  </w:abstractNum>
  <w:abstractNum w:abstractNumId="15">
    <w:nsid w:val="32FFF902"/>
    <w:multiLevelType w:val="hybridMultilevel"/>
    <w:lvl w:ilvl="0">
      <w:lvlJc w:val="left"/>
      <w:lvlText w:val="•"/>
      <w:numFmt w:val="bullet"/>
      <w:start w:val="1"/>
    </w:lvl>
  </w:abstractNum>
  <w:abstractNum w:abstractNumId="16">
    <w:nsid w:val="684A481A"/>
    <w:multiLevelType w:val="hybridMultilevel"/>
    <w:lvl w:ilvl="0">
      <w:lvlJc w:val="left"/>
      <w:lvlText w:val="•"/>
      <w:numFmt w:val="bullet"/>
      <w:start w:val="1"/>
    </w:lvl>
  </w:abstractNum>
  <w:abstractNum w:abstractNumId="17">
    <w:nsid w:val="579478FE"/>
    <w:multiLevelType w:val="hybridMultilevel"/>
    <w:lvl w:ilvl="0">
      <w:lvlJc w:val="left"/>
      <w:lvlText w:val="•"/>
      <w:numFmt w:val="bullet"/>
      <w:start w:val="1"/>
    </w:lvl>
  </w:abstractNum>
  <w:abstractNum w:abstractNumId="18">
    <w:nsid w:val="749ABB43"/>
    <w:multiLevelType w:val="hybridMultilevel"/>
    <w:lvl w:ilvl="0">
      <w:lvlJc w:val="left"/>
      <w:lvlText w:val="4"/>
      <w:numFmt w:val="bullet"/>
      <w:start w:val="1"/>
    </w:lvl>
  </w:abstractNum>
  <w:abstractNum w:abstractNumId="19">
    <w:nsid w:val="3DC240FB"/>
    <w:multiLevelType w:val="hybridMultilevel"/>
    <w:lvl w:ilvl="0">
      <w:lvlJc w:val="left"/>
      <w:lvlText w:val="(%1)"/>
      <w:numFmt w:val="decimal"/>
      <w:start w:val="1"/>
    </w:lvl>
  </w:abstractNum>
  <w:abstractNum w:abstractNumId="20">
    <w:nsid w:val="1BA026FA"/>
    <w:multiLevelType w:val="hybridMultilevel"/>
    <w:lvl w:ilvl="0">
      <w:lvlJc w:val="left"/>
      <w:lvlText w:val="•"/>
      <w:numFmt w:val="bullet"/>
      <w:start w:val="1"/>
    </w:lvl>
  </w:abstractNum>
  <w:abstractNum w:abstractNumId="21">
    <w:nsid w:val="79A1DEAA"/>
    <w:multiLevelType w:val="hybridMultilevel"/>
    <w:lvl w:ilvl="0">
      <w:lvlJc w:val="left"/>
      <w:lvlText w:val="•"/>
      <w:numFmt w:val="bullet"/>
      <w:start w:val="1"/>
    </w:lvl>
  </w:abstractNum>
  <w:abstractNum w:abstractNumId="22">
    <w:nsid w:val="75C6C33A"/>
    <w:multiLevelType w:val="hybridMultilevel"/>
    <w:lvl w:ilvl="0">
      <w:lvlJc w:val="left"/>
      <w:lvlText w:val="•"/>
      <w:numFmt w:val="bullet"/>
      <w:start w:val="1"/>
    </w:lvl>
  </w:abstractNum>
  <w:abstractNum w:abstractNumId="23">
    <w:nsid w:val="12E685FB"/>
    <w:multiLevelType w:val="hybridMultilevel"/>
    <w:lvl w:ilvl="0">
      <w:lvlJc w:val="left"/>
      <w:lvlText w:val="(%1)"/>
      <w:numFmt w:val="decimal"/>
      <w:start w:val="1"/>
    </w:lvl>
  </w:abstractNum>
  <w:abstractNum w:abstractNumId="24">
    <w:nsid w:val="70C6A529"/>
    <w:multiLevelType w:val="hybridMultilevel"/>
    <w:lvl w:ilvl="0">
      <w:lvlJc w:val="left"/>
      <w:lvlText w:val="(%1)"/>
      <w:numFmt w:val="decimal"/>
      <w:start w:val="7"/>
    </w:lvl>
  </w:abstractNum>
  <w:abstractNum w:abstractNumId="25">
    <w:nsid w:val="520EEDD1"/>
    <w:multiLevelType w:val="hybridMultilevel"/>
    <w:lvl w:ilvl="0">
      <w:lvlJc w:val="left"/>
      <w:lvlText w:val="(%1)"/>
      <w:numFmt w:val="decimal"/>
      <w:start w:val="1"/>
    </w:lvl>
  </w:abstractNum>
  <w:abstractNum w:abstractNumId="26">
    <w:nsid w:val="374A3FE6"/>
    <w:multiLevelType w:val="hybridMultilevel"/>
    <w:lvl w:ilvl="0">
      <w:lvlJc w:val="left"/>
      <w:lvlText w:val="•"/>
      <w:numFmt w:val="bullet"/>
      <w:start w:val="1"/>
    </w:lvl>
  </w:abstractNum>
  <w:abstractNum w:abstractNumId="27">
    <w:nsid w:val="4F4EF005"/>
    <w:multiLevelType w:val="hybridMultilevel"/>
    <w:lvl w:ilvl="0">
      <w:lvlJc w:val="left"/>
      <w:lvlText w:val="•"/>
      <w:numFmt w:val="bullet"/>
      <w:start w:val="1"/>
    </w:lvl>
  </w:abstractNum>
  <w:abstractNum w:abstractNumId="28">
    <w:nsid w:val="23F9C13C"/>
    <w:multiLevelType w:val="hybridMultilevel"/>
    <w:lvl w:ilvl="0">
      <w:lvlJc w:val="left"/>
      <w:lvlText w:val="•"/>
      <w:numFmt w:val="bullet"/>
      <w:start w:val="1"/>
    </w:lvl>
  </w:abstractNum>
  <w:abstractNum w:abstractNumId="29">
    <w:nsid w:val="649BB77C"/>
    <w:multiLevelType w:val="hybridMultilevel"/>
    <w:lvl w:ilvl="0">
      <w:lvlJc w:val="left"/>
      <w:lvlText w:val="•"/>
      <w:numFmt w:val="bullet"/>
      <w:start w:val="1"/>
    </w:lvl>
  </w:abstractNum>
  <w:abstractNum w:abstractNumId="30">
    <w:nsid w:val="275AC794"/>
    <w:multiLevelType w:val="hybridMultilevel"/>
    <w:lvl w:ilvl="0">
      <w:lvlJc w:val="left"/>
      <w:lvlText w:val="•"/>
      <w:numFmt w:val="bullet"/>
      <w:start w:val="1"/>
    </w:lvl>
  </w:abstractNum>
  <w:abstractNum w:abstractNumId="31">
    <w:nsid w:val="39386575"/>
    <w:multiLevelType w:val="hybridMultilevel"/>
    <w:lvl w:ilvl="0">
      <w:lvlJc w:val="left"/>
      <w:lvlText w:val="•"/>
      <w:numFmt w:val="bullet"/>
      <w:start w:val="1"/>
    </w:lvl>
  </w:abstractNum>
  <w:abstractNum w:abstractNumId="32">
    <w:nsid w:val="1CF10FD8"/>
    <w:multiLevelType w:val="hybridMultilevel"/>
    <w:lvl w:ilvl="0">
      <w:lvlJc w:val="left"/>
      <w:lvlText w:val="•"/>
      <w:numFmt w:val="bullet"/>
      <w:start w:val="1"/>
    </w:lvl>
  </w:abstractNum>
  <w:abstractNum w:abstractNumId="33">
    <w:nsid w:val="180115BE"/>
    <w:multiLevelType w:val="hybridMultilevel"/>
    <w:lvl w:ilvl="0">
      <w:lvlJc w:val="left"/>
      <w:lvlText w:val="(%1)"/>
      <w:numFmt w:val="decimal"/>
      <w:start w:val="1"/>
    </w:lvl>
  </w:abstractNum>
  <w:abstractNum w:abstractNumId="34">
    <w:nsid w:val="235BA861"/>
    <w:multiLevelType w:val="hybridMultilevel"/>
    <w:lvl w:ilvl="0">
      <w:lvlJc w:val="left"/>
      <w:lvlText w:val="(%1)"/>
      <w:numFmt w:val="decimal"/>
      <w:start w:val="1"/>
    </w:lvl>
  </w:abstractNum>
  <w:abstractNum w:abstractNumId="35">
    <w:nsid w:val="47398C89"/>
    <w:multiLevelType w:val="hybridMultilevel"/>
    <w:lvl w:ilvl="0">
      <w:lvlJc w:val="left"/>
      <w:lvlText w:val="(%1)"/>
      <w:numFmt w:val="decimal"/>
      <w:start w:val="1"/>
    </w:lvl>
  </w:abstractNum>
  <w:abstractNum w:abstractNumId="36">
    <w:nsid w:val="354FE9F9"/>
    <w:multiLevelType w:val="hybridMultilevel"/>
    <w:lvl w:ilvl="0">
      <w:lvlJc w:val="left"/>
      <w:lvlText w:val="(%1)"/>
      <w:numFmt w:val="decimal"/>
      <w:start w:val="1"/>
    </w:lvl>
  </w:abstractNum>
  <w:abstractNum w:abstractNumId="37">
    <w:nsid w:val="15B5AF5C"/>
    <w:multiLevelType w:val="hybridMultilevel"/>
    <w:lvl w:ilvl="0">
      <w:lvlJc w:val="left"/>
      <w:lvlText w:val="•"/>
      <w:numFmt w:val="bullet"/>
      <w:start w:val="1"/>
    </w:lvl>
  </w:abstractNum>
  <w:abstractNum w:abstractNumId="38">
    <w:nsid w:val="741226BB"/>
    <w:multiLevelType w:val="hybridMultilevel"/>
    <w:lvl w:ilvl="0">
      <w:lvlJc w:val="left"/>
      <w:lvlText w:val="(%1)"/>
      <w:numFmt w:val="decimal"/>
      <w:start w:val="1"/>
    </w:lvl>
  </w:abstractNum>
  <w:abstractNum w:abstractNumId="39">
    <w:nsid w:val="D34B6A8"/>
    <w:multiLevelType w:val="hybridMultilevel"/>
    <w:lvl w:ilvl="0">
      <w:lvlJc w:val="left"/>
      <w:lvlText w:val="(%1)"/>
      <w:numFmt w:val="decimal"/>
      <w:start w:val="1"/>
    </w:lvl>
  </w:abstractNum>
  <w:abstractNum w:abstractNumId="40">
    <w:nsid w:val="10233C99"/>
    <w:multiLevelType w:val="hybridMultilevel"/>
    <w:lvl w:ilvl="0">
      <w:lvlJc w:val="left"/>
      <w:lvlText w:val="(%1)"/>
      <w:numFmt w:val="decimal"/>
      <w:start w:val="7"/>
    </w:lvl>
  </w:abstractNum>
  <w:abstractNum w:abstractNumId="41">
    <w:nsid w:val="3F6AB60F"/>
    <w:multiLevelType w:val="hybridMultilevel"/>
    <w:lvl w:ilvl="0">
      <w:lvlJc w:val="left"/>
      <w:lvlText w:val="(%1)"/>
      <w:numFmt w:val="lowerLetter"/>
      <w:start w:val="1"/>
    </w:lvl>
  </w:abstractNum>
  <w:abstractNum w:abstractNumId="42">
    <w:nsid w:val="61574095"/>
    <w:multiLevelType w:val="hybridMultilevel"/>
    <w:lvl w:ilvl="0">
      <w:lvlJc w:val="left"/>
      <w:lvlText w:val="•"/>
      <w:numFmt w:val="bullet"/>
      <w:start w:val="1"/>
    </w:lvl>
  </w:abstractNum>
  <w:abstractNum w:abstractNumId="43">
    <w:nsid w:val="7E0C57B1"/>
    <w:multiLevelType w:val="hybridMultilevel"/>
    <w:lvl w:ilvl="0">
      <w:lvlJc w:val="left"/>
      <w:lvlText w:val="(%1)"/>
      <w:numFmt w:val="decimal"/>
      <w:start w:val="1"/>
    </w:lvl>
  </w:abstractNum>
  <w:abstractNum w:abstractNumId="44">
    <w:nsid w:val="77AE35EB"/>
    <w:multiLevelType w:val="hybridMultilevel"/>
    <w:lvl w:ilvl="0">
      <w:lvlJc w:val="left"/>
      <w:lvlText w:val="(%1)"/>
      <w:numFmt w:val="decimal"/>
      <w:start w:val="1"/>
    </w:lvl>
  </w:abstractNum>
  <w:abstractNum w:abstractNumId="45">
    <w:nsid w:val="579BE4F1"/>
    <w:multiLevelType w:val="hybridMultilevel"/>
    <w:lvl w:ilvl="0">
      <w:lvlJc w:val="left"/>
      <w:lvlText w:val="(%1)"/>
      <w:numFmt w:val="decimal"/>
      <w:start w:val="10"/>
    </w:lvl>
  </w:abstractNum>
  <w:abstractNum w:abstractNumId="46">
    <w:nsid w:val="310C50B3"/>
    <w:multiLevelType w:val="hybridMultilevel"/>
    <w:lvl w:ilvl="0">
      <w:lvlJc w:val="left"/>
      <w:lvlText w:val="(%1)"/>
      <w:numFmt w:val="decimal"/>
      <w:start w:val="1"/>
    </w:lvl>
  </w:abstractNum>
  <w:abstractNum w:abstractNumId="47">
    <w:nsid w:val="5FF87E05"/>
    <w:multiLevelType w:val="hybridMultilevel"/>
    <w:lvl w:ilvl="0">
      <w:lvlJc w:val="left"/>
      <w:lvlText w:val="•"/>
      <w:numFmt w:val="bullet"/>
      <w:start w:val="1"/>
    </w:lvl>
  </w:abstractNum>
  <w:abstractNum w:abstractNumId="48">
    <w:nsid w:val="2F305DEF"/>
    <w:multiLevelType w:val="hybridMultilevel"/>
    <w:lvl w:ilvl="0">
      <w:lvlJc w:val="left"/>
      <w:lvlText w:val="(%1)"/>
      <w:numFmt w:val="decimal"/>
      <w:start w:val="1"/>
    </w:lvl>
  </w:abstractNum>
  <w:abstractNum w:abstractNumId="49">
    <w:nsid w:val="25A70BF7"/>
    <w:multiLevelType w:val="hybridMultilevel"/>
    <w:lvl w:ilvl="0">
      <w:lvlJc w:val="left"/>
      <w:lvlText w:val="(%1)"/>
      <w:numFmt w:val="decimal"/>
      <w:start w:val="1"/>
    </w:lvl>
  </w:abstractNum>
  <w:abstractNum w:abstractNumId="50">
    <w:nsid w:val="1DBABF00"/>
    <w:multiLevelType w:val="hybridMultilevel"/>
    <w:lvl w:ilvl="0">
      <w:lvlJc w:val="left"/>
      <w:lvlText w:val="•"/>
      <w:numFmt w:val="bullet"/>
      <w:start w:val="1"/>
    </w:lvl>
  </w:abstractNum>
  <w:abstractNum w:abstractNumId="51">
    <w:nsid w:val="4AD084E9"/>
    <w:multiLevelType w:val="hybridMultilevel"/>
    <w:lvl w:ilvl="0">
      <w:lvlJc w:val="left"/>
      <w:lvlText w:val="•"/>
      <w:numFmt w:val="bullet"/>
      <w:start w:val="1"/>
    </w:lvl>
  </w:abstractNum>
  <w:abstractNum w:abstractNumId="52">
    <w:nsid w:val="1F48EAA1"/>
    <w:multiLevelType w:val="hybridMultilevel"/>
    <w:lvl w:ilvl="0">
      <w:lvlJc w:val="left"/>
      <w:lvlText w:val="(%1)"/>
      <w:numFmt w:val="decimal"/>
      <w:start w:val="1"/>
    </w:lvl>
  </w:abstractNum>
  <w:abstractNum w:abstractNumId="53">
    <w:nsid w:val="1381823A"/>
    <w:multiLevelType w:val="hybridMultilevel"/>
    <w:lvl w:ilvl="0">
      <w:lvlJc w:val="left"/>
      <w:lvlText w:val="(%1)"/>
      <w:numFmt w:val="decimal"/>
      <w:start w:val="4"/>
    </w:lvl>
  </w:abstractNum>
  <w:abstractNum w:abstractNumId="54">
    <w:nsid w:val="5DB70AE5"/>
    <w:multiLevelType w:val="hybridMultilevel"/>
    <w:lvl w:ilvl="0">
      <w:lvlJc w:val="left"/>
      <w:lvlText w:val="•"/>
      <w:numFmt w:val="bullet"/>
      <w:start w:val="1"/>
    </w:lvl>
  </w:abstractNum>
  <w:abstractNum w:abstractNumId="55">
    <w:nsid w:val="100F8FCA"/>
    <w:multiLevelType w:val="hybridMultilevel"/>
    <w:lvl w:ilvl="0">
      <w:lvlJc w:val="left"/>
      <w:lvlText w:val="•"/>
      <w:numFmt w:val="bullet"/>
      <w:start w:val="1"/>
    </w:lvl>
  </w:abstractNum>
  <w:abstractNum w:abstractNumId="56">
    <w:nsid w:val="6590700B"/>
    <w:multiLevelType w:val="hybridMultilevel"/>
    <w:lvl w:ilvl="0">
      <w:lvlJc w:val="left"/>
      <w:lvlText w:val="(%1)"/>
      <w:numFmt w:val="decimal"/>
      <w:start w:val="1"/>
    </w:lvl>
  </w:abstractNum>
  <w:abstractNum w:abstractNumId="57">
    <w:nsid w:val="15014ACB"/>
    <w:multiLevelType w:val="hybridMultilevel"/>
    <w:lvl w:ilvl="0">
      <w:lvlJc w:val="left"/>
      <w:lvlText w:val="(%1)"/>
      <w:numFmt w:val="decimal"/>
      <w:start w:val="2"/>
    </w:lvl>
    <w:lvl w:ilvl="1">
      <w:lvlJc w:val="left"/>
      <w:lvlText w:val="•"/>
      <w:numFmt w:val="bullet"/>
      <w:start w:val="1"/>
    </w:lvl>
  </w:abstractNum>
  <w:abstractNum w:abstractNumId="58">
    <w:nsid w:val="5F5E7FD0"/>
    <w:multiLevelType w:val="hybridMultilevel"/>
    <w:lvl w:ilvl="0">
      <w:lvlJc w:val="left"/>
      <w:lvlText w:val="•"/>
      <w:numFmt w:val="bullet"/>
      <w:start w:val="1"/>
    </w:lvl>
  </w:abstractNum>
  <w:abstractNum w:abstractNumId="59">
    <w:nsid w:val="98A3148"/>
    <w:multiLevelType w:val="hybridMultilevel"/>
    <w:lvl w:ilvl="0">
      <w:lvlJc w:val="left"/>
      <w:lvlText w:val="(%1)"/>
      <w:numFmt w:val="decimal"/>
      <w:start w:val="1"/>
    </w:lvl>
  </w:abstractNum>
  <w:abstractNum w:abstractNumId="60">
    <w:nsid w:val="799D0247"/>
    <w:multiLevelType w:val="hybridMultilevel"/>
    <w:lvl w:ilvl="0">
      <w:lvlJc w:val="left"/>
      <w:lvlText w:val="(%1)"/>
      <w:numFmt w:val="decimal"/>
      <w:start w:val="9"/>
    </w:lvl>
  </w:abstractNum>
  <w:abstractNum w:abstractNumId="61">
    <w:nsid w:val="6B94764"/>
    <w:multiLevelType w:val="hybridMultilevel"/>
    <w:lvl w:ilvl="0">
      <w:lvlJc w:val="left"/>
      <w:lvlText w:val="•"/>
      <w:numFmt w:val="bullet"/>
      <w:start w:val="1"/>
    </w:lvl>
  </w:abstractNum>
  <w:abstractNum w:abstractNumId="62">
    <w:nsid w:val="42C296BD"/>
    <w:multiLevelType w:val="hybridMultilevel"/>
    <w:lvl w:ilvl="0">
      <w:lvlJc w:val="left"/>
      <w:lvlText w:val="•"/>
      <w:numFmt w:val="bullet"/>
      <w:start w:val="1"/>
    </w:lvl>
  </w:abstractNum>
  <w:abstractNum w:abstractNumId="63">
    <w:nsid w:val="168E121F"/>
    <w:multiLevelType w:val="hybridMultilevel"/>
    <w:lvl w:ilvl="0">
      <w:lvlJc w:val="left"/>
      <w:lvlText w:val="•"/>
      <w:numFmt w:val="bullet"/>
      <w:start w:val="1"/>
    </w:lvl>
  </w:abstractNum>
  <w:abstractNum w:abstractNumId="64">
    <w:nsid w:val="1EBA5D23"/>
    <w:multiLevelType w:val="hybridMultilevel"/>
    <w:lvl w:ilvl="0">
      <w:lvlJc w:val="left"/>
      <w:lvlText w:val="•"/>
      <w:numFmt w:val="bullet"/>
      <w:start w:val="1"/>
    </w:lvl>
  </w:abstractNum>
  <w:abstractNum w:abstractNumId="65">
    <w:nsid w:val="661E3F1E"/>
    <w:multiLevelType w:val="hybridMultilevel"/>
    <w:lvl w:ilvl="0">
      <w:lvlJc w:val="left"/>
      <w:lvlText w:val="(%1)"/>
      <w:numFmt w:val="decimal"/>
      <w:start w:val="1"/>
    </w:lvl>
  </w:abstractNum>
  <w:abstractNum w:abstractNumId="66">
    <w:nsid w:val="5DC79EA8"/>
    <w:multiLevelType w:val="hybridMultilevel"/>
    <w:lvl w:ilvl="0">
      <w:lvlJc w:val="left"/>
      <w:lvlText w:val="(%1)"/>
      <w:numFmt w:val="decimal"/>
      <w:start w:val="5"/>
    </w:lvl>
  </w:abstractNum>
  <w:abstractNum w:abstractNumId="67">
    <w:nsid w:val="540A471C"/>
    <w:multiLevelType w:val="hybridMultilevel"/>
    <w:lvl w:ilvl="0">
      <w:lvlJc w:val="left"/>
      <w:lvlText w:val="(%1)"/>
      <w:numFmt w:val="decimal"/>
      <w:start w:val="6"/>
    </w:lvl>
  </w:abstractNum>
  <w:abstractNum w:abstractNumId="68">
    <w:nsid w:val="7BD3EE7B"/>
    <w:multiLevelType w:val="hybridMultilevel"/>
    <w:lvl w:ilvl="0">
      <w:lvlJc w:val="left"/>
      <w:lvlText w:val="(%1)"/>
      <w:numFmt w:val="decimal"/>
      <w:start w:val="1"/>
    </w:lvl>
  </w:abstractNum>
  <w:abstractNum w:abstractNumId="69">
    <w:nsid w:val="51D9C564"/>
    <w:multiLevelType w:val="hybridMultilevel"/>
    <w:lvl w:ilvl="0">
      <w:lvlJc w:val="left"/>
      <w:lvlText w:val="•"/>
      <w:numFmt w:val="bullet"/>
      <w:start w:val="1"/>
    </w:lvl>
  </w:abstractNum>
  <w:abstractNum w:abstractNumId="70">
    <w:nsid w:val="613EFDC5"/>
    <w:multiLevelType w:val="hybridMultilevel"/>
    <w:lvl w:ilvl="0">
      <w:lvlJc w:val="left"/>
      <w:lvlText w:val="*"/>
      <w:numFmt w:val="bullet"/>
      <w:start w:val="1"/>
    </w:lvl>
  </w:abstractNum>
  <w:abstractNum w:abstractNumId="71">
    <w:nsid w:val="BF72B14"/>
    <w:multiLevelType w:val="hybridMultilevel"/>
    <w:lvl w:ilvl="0">
      <w:lvlJc w:val="left"/>
      <w:lvlText w:val="(%1)"/>
      <w:numFmt w:val="decimal"/>
      <w:start w:val="1"/>
    </w:lvl>
  </w:abstractNum>
  <w:abstractNum w:abstractNumId="72">
    <w:nsid w:val="11447B73"/>
    <w:multiLevelType w:val="hybridMultilevel"/>
    <w:lvl w:ilvl="0">
      <w:lvlJc w:val="left"/>
      <w:lvlText w:val="*"/>
      <w:numFmt w:val="bullet"/>
      <w:start w:val="1"/>
    </w:lvl>
  </w:abstractNum>
  <w:abstractNum w:abstractNumId="73">
    <w:nsid w:val="42963E5A"/>
    <w:multiLevelType w:val="hybridMultilevel"/>
    <w:lvl w:ilvl="0">
      <w:lvlJc w:val="left"/>
      <w:lvlText w:val="(%1)"/>
      <w:numFmt w:val="decimal"/>
      <w:start w:val="1"/>
    </w:lvl>
  </w:abstractNum>
  <w:abstractNum w:abstractNumId="74">
    <w:nsid w:val="A0382C5"/>
    <w:multiLevelType w:val="hybridMultilevel"/>
    <w:lvl w:ilvl="0">
      <w:lvlJc w:val="left"/>
      <w:lvlText w:val="*"/>
      <w:numFmt w:val="bullet"/>
      <w:start w:val="1"/>
    </w:lvl>
  </w:abstractNum>
  <w:abstractNum w:abstractNumId="75">
    <w:nsid w:val="8F2B15E"/>
    <w:multiLevelType w:val="hybridMultilevel"/>
    <w:lvl w:ilvl="0">
      <w:lvlJc w:val="left"/>
      <w:lvlText w:val="(%1)"/>
      <w:numFmt w:val="decimal"/>
      <w:start w:val="1"/>
    </w:lvl>
  </w:abstractNum>
  <w:abstractNum w:abstractNumId="76">
    <w:nsid w:val="1A32234B"/>
    <w:multiLevelType w:val="hybridMultilevel"/>
    <w:lvl w:ilvl="0">
      <w:lvlJc w:val="left"/>
      <w:lvlText w:val="(%1)"/>
      <w:numFmt w:val="decimal"/>
      <w:start w:val="1"/>
    </w:lvl>
  </w:abstractNum>
  <w:abstractNum w:abstractNumId="77">
    <w:nsid w:val="3B0FD379"/>
    <w:multiLevelType w:val="hybridMultilevel"/>
    <w:lvl w:ilvl="0">
      <w:lvlJc w:val="left"/>
      <w:lvlText w:val="(%1)"/>
      <w:numFmt w:val="decimal"/>
      <w:start w:val="1"/>
    </w:lvl>
  </w:abstractNum>
  <w:abstractNum w:abstractNumId="78">
    <w:nsid w:val="68EB2F63"/>
    <w:multiLevelType w:val="hybridMultilevel"/>
    <w:lvl w:ilvl="0">
      <w:lvlJc w:val="left"/>
      <w:lvlText w:val="(%1)"/>
      <w:numFmt w:val="decimal"/>
      <w:start w:val="3"/>
    </w:lvl>
  </w:abstractNum>
  <w:abstractNum w:abstractNumId="79">
    <w:nsid w:val="4962813B"/>
    <w:multiLevelType w:val="hybridMultilevel"/>
    <w:lvl w:ilvl="0">
      <w:lvlJc w:val="left"/>
      <w:lvlText w:val="%1."/>
      <w:numFmt w:val="decimal"/>
      <w:start w:val="1"/>
    </w:lvl>
  </w:abstractNum>
  <w:abstractNum w:abstractNumId="80">
    <w:nsid w:val="60B6DF70"/>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2020-01-16T20:54:53Z</dcterms:created>
  <dcterms:modified xsi:type="dcterms:W3CDTF">2020-01-16T20:54:53Z</dcterms:modified>
</cp:coreProperties>
</file>