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w:t>
      </w:r>
    </w:p>
    <w:p>
      <w:pPr>
        <w:spacing w:after="0" w:line="226"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spacing w:after="0" w:line="207" w:lineRule="exact"/>
        <w:tabs>
          <w:tab w:leader="none" w:pos="324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400" w:hanging="392"/>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400" w:hanging="392"/>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rFonts w:ascii="MS PGothic" w:cs="MS PGothic" w:eastAsia="MS PGothic" w:hAnsi="MS PGothic"/>
          <w:sz w:val="18"/>
          <w:szCs w:val="18"/>
          <w:color w:val="auto"/>
        </w:rPr>
      </w:pPr>
    </w:p>
    <w:p>
      <w:pPr>
        <w:ind w:left="400" w:hanging="392"/>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00" w:hanging="392"/>
        <w:spacing w:after="0"/>
        <w:tabs>
          <w:tab w:leader="none" w:pos="40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00" w:hanging="392"/>
        <w:spacing w:after="0"/>
        <w:tabs>
          <w:tab w:leader="none" w:pos="40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300" w:lineRule="exact"/>
        <w:rPr>
          <w:sz w:val="24"/>
          <w:szCs w:val="24"/>
          <w:color w:val="auto"/>
        </w:rPr>
      </w:pPr>
    </w:p>
    <w:p>
      <w:pPr>
        <w:jc w:val="center"/>
        <w:ind w:right="-259"/>
        <w:spacing w:after="0"/>
        <w:rPr>
          <w:sz w:val="20"/>
          <w:szCs w:val="20"/>
          <w:color w:val="auto"/>
        </w:rPr>
      </w:pPr>
      <w:r>
        <w:rPr>
          <w:rFonts w:ascii="Arial" w:cs="Arial" w:eastAsia="Arial" w:hAnsi="Arial"/>
          <w:sz w:val="40"/>
          <w:szCs w:val="40"/>
          <w:b w:val="1"/>
          <w:bCs w:val="1"/>
          <w:color w:val="auto"/>
        </w:rPr>
        <w:t>Genworth Financial, Inc.</w:t>
      </w:r>
    </w:p>
    <w:p>
      <w:pPr>
        <w:spacing w:after="0" w:line="27"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Registrant as Specified In Its Charter)</w:t>
      </w:r>
    </w:p>
    <w:p>
      <w:pPr>
        <w:spacing w:after="0" w:line="336"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320"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line="277"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180" w:hanging="472"/>
        <w:spacing w:after="0" w:line="308" w:lineRule="auto"/>
        <w:tabs>
          <w:tab w:leader="none" w:pos="4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rFonts w:ascii="MS PGothic" w:cs="MS PGothic" w:eastAsia="MS PGothic" w:hAnsi="MS PGothic"/>
          <w:sz w:val="17"/>
          <w:szCs w:val="17"/>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-3980815</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-3535045</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-2951480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-2505710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-2059940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-584835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-139065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306705</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180"/>
          </w:cols>
          <w:pgMar w:left="240" w:top="517" w:right="479" w:bottom="221" w:gutter="0" w:footer="0" w:header="0"/>
        </w:sectPr>
      </w:pPr>
    </w:p>
    <w:bookmarkStart w:id="1" w:name="page2"/>
    <w:bookmarkEnd w:id="1"/>
    <w:p>
      <w:pPr>
        <w:ind w:left="439" w:hanging="439"/>
        <w:spacing w:after="0"/>
        <w:tabs>
          <w:tab w:leader="none" w:pos="439" w:val="left"/>
        </w:tabs>
        <w:numPr>
          <w:ilvl w:val="0"/>
          <w:numId w:val="6"/>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321310</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501015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544195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139" w:right="1440" w:bottom="1440" w:gutter="0" w:footer="0" w:header="0"/>
        </w:sectPr>
      </w:pPr>
    </w:p>
    <w:bookmarkStart w:id="2" w:name="page3"/>
    <w:bookmarkEnd w:id="2"/>
    <w:p>
      <w:pPr>
        <w:jc w:val="center"/>
        <w:ind w:right="180"/>
        <w:spacing w:after="0"/>
        <w:rPr>
          <w:sz w:val="20"/>
          <w:szCs w:val="20"/>
          <w:color w:val="auto"/>
        </w:rPr>
      </w:pPr>
      <w:r>
        <w:rPr>
          <w:rFonts w:ascii="Arial" w:cs="Arial" w:eastAsia="Arial" w:hAnsi="Arial"/>
          <w:sz w:val="31"/>
          <w:szCs w:val="31"/>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 Exercise Your </w:t>
      </w:r>
      <w:r>
        <w:rPr>
          <w:rFonts w:ascii="Arial" w:cs="Arial" w:eastAsia="Arial" w:hAnsi="Arial"/>
          <w:sz w:val="31"/>
          <w:szCs w:val="31"/>
          <w:b w:val="1"/>
          <w:bCs w:val="1"/>
          <w:i w:val="1"/>
          <w:iCs w:val="1"/>
          <w:color w:val="auto"/>
        </w:rPr>
        <w:t>Right</w:t>
      </w:r>
      <w:r>
        <w:rPr>
          <w:rFonts w:ascii="Arial" w:cs="Arial" w:eastAsia="Arial" w:hAnsi="Arial"/>
          <w:sz w:val="31"/>
          <w:szCs w:val="31"/>
          <w:b w:val="1"/>
          <w:bCs w:val="1"/>
          <w:color w:val="auto"/>
        </w:rPr>
        <w:t xml:space="preserve"> to Vote ***</w:t>
      </w:r>
    </w:p>
    <w:p>
      <w:pPr>
        <w:spacing w:after="0" w:line="15" w:lineRule="exact"/>
        <w:rPr>
          <w:sz w:val="20"/>
          <w:szCs w:val="20"/>
          <w:color w:val="auto"/>
        </w:rPr>
      </w:pPr>
    </w:p>
    <w:p>
      <w:pPr>
        <w:jc w:val="center"/>
        <w:ind w:right="180"/>
        <w:spacing w:after="0"/>
        <w:rPr>
          <w:sz w:val="20"/>
          <w:szCs w:val="20"/>
          <w:color w:val="auto"/>
        </w:rPr>
      </w:pPr>
      <w:r>
        <w:rPr>
          <w:rFonts w:ascii="Arial" w:cs="Arial" w:eastAsia="Arial" w:hAnsi="Arial"/>
          <w:sz w:val="22"/>
          <w:szCs w:val="22"/>
          <w:b w:val="1"/>
          <w:bCs w:val="1"/>
          <w:color w:val="auto"/>
        </w:rPr>
        <w:t>Important Notice Regarding the Availability of Proxy Materials for the</w:t>
      </w:r>
    </w:p>
    <w:p>
      <w:pPr>
        <w:jc w:val="center"/>
        <w:ind w:right="180"/>
        <w:spacing w:after="0"/>
        <w:rPr>
          <w:sz w:val="20"/>
          <w:szCs w:val="20"/>
          <w:color w:val="auto"/>
        </w:rPr>
      </w:pPr>
      <w:r>
        <w:rPr>
          <w:rFonts w:ascii="Arial" w:cs="Arial" w:eastAsia="Arial" w:hAnsi="Arial"/>
          <w:sz w:val="22"/>
          <w:szCs w:val="22"/>
          <w:b w:val="1"/>
          <w:bCs w:val="1"/>
          <w:color w:val="auto"/>
        </w:rPr>
        <w:t>Stockholder Meeting to Be Held on December 13, 2017.</w:t>
      </w:r>
    </w:p>
    <w:p>
      <w:pPr>
        <w:spacing w:after="0" w:line="149" w:lineRule="exact"/>
        <w:rPr>
          <w:sz w:val="20"/>
          <w:szCs w:val="20"/>
          <w:color w:val="auto"/>
        </w:rPr>
      </w:pPr>
    </w:p>
    <w:tbl>
      <w:tblPr>
        <w:tblLayout w:type="fixed"/>
        <w:tblInd w:w="1280" w:type="dxa"/>
        <w:tblCellMar>
          <w:top w:w="0" w:type="dxa"/>
          <w:left w:w="0" w:type="dxa"/>
          <w:bottom w:w="0" w:type="dxa"/>
          <w:right w:w="0" w:type="dxa"/>
        </w:tblCellMar>
      </w:tblPr>
      <w:tr>
        <w:trPr>
          <w:trHeight w:val="246"/>
        </w:trPr>
        <w:tc>
          <w:tcPr>
            <w:tcW w:w="4380" w:type="dxa"/>
            <w:vAlign w:val="bottom"/>
            <w:tcBorders>
              <w:right w:val="single" w:sz="8" w:color="auto"/>
            </w:tcBorders>
            <w:vMerge w:val="restart"/>
          </w:tcPr>
          <w:p>
            <w:pPr>
              <w:spacing w:after="0"/>
              <w:rPr>
                <w:sz w:val="20"/>
                <w:szCs w:val="20"/>
                <w:color w:val="auto"/>
              </w:rPr>
            </w:pPr>
            <w:r>
              <w:rPr>
                <w:rFonts w:ascii="Arial" w:cs="Arial" w:eastAsia="Arial" w:hAnsi="Arial"/>
                <w:sz w:val="22"/>
                <w:szCs w:val="22"/>
                <w:b w:val="1"/>
                <w:bCs w:val="1"/>
                <w:color w:val="auto"/>
              </w:rPr>
              <w:t>GENWORTH FINANCIAL, INC.</w:t>
            </w:r>
          </w:p>
        </w:tc>
        <w:tc>
          <w:tcPr>
            <w:tcW w:w="1840" w:type="dxa"/>
            <w:vAlign w:val="bottom"/>
            <w:tcBorders>
              <w:top w:val="single" w:sz="8" w:color="auto"/>
            </w:tcBorders>
          </w:tcPr>
          <w:p>
            <w:pPr>
              <w:spacing w:after="0"/>
              <w:rPr>
                <w:sz w:val="21"/>
                <w:szCs w:val="21"/>
                <w:color w:val="auto"/>
              </w:rPr>
            </w:pPr>
          </w:p>
        </w:tc>
        <w:tc>
          <w:tcPr>
            <w:tcW w:w="3740" w:type="dxa"/>
            <w:vAlign w:val="bottom"/>
            <w:tcBorders>
              <w:top w:val="single" w:sz="8" w:color="auto"/>
              <w:right w:val="single" w:sz="8" w:color="auto"/>
            </w:tcBorders>
            <w:gridSpan w:val="3"/>
          </w:tcPr>
          <w:p>
            <w:pPr>
              <w:spacing w:after="0"/>
              <w:rPr>
                <w:sz w:val="20"/>
                <w:szCs w:val="20"/>
                <w:color w:val="auto"/>
              </w:rPr>
            </w:pPr>
            <w:r>
              <w:rPr>
                <w:rFonts w:ascii="Arial" w:cs="Arial" w:eastAsia="Arial" w:hAnsi="Arial"/>
                <w:sz w:val="20"/>
                <w:szCs w:val="20"/>
                <w:b w:val="1"/>
                <w:bCs w:val="1"/>
                <w:color w:val="auto"/>
              </w:rPr>
              <w:t>Meeting Information</w:t>
            </w:r>
          </w:p>
        </w:tc>
        <w:tc>
          <w:tcPr>
            <w:tcW w:w="0" w:type="dxa"/>
            <w:vAlign w:val="bottom"/>
          </w:tcPr>
          <w:p>
            <w:pPr>
              <w:spacing w:after="0"/>
              <w:rPr>
                <w:sz w:val="1"/>
                <w:szCs w:val="1"/>
                <w:color w:val="auto"/>
              </w:rPr>
            </w:pPr>
          </w:p>
        </w:tc>
      </w:tr>
      <w:tr>
        <w:trPr>
          <w:trHeight w:val="206"/>
        </w:trPr>
        <w:tc>
          <w:tcPr>
            <w:tcW w:w="4380" w:type="dxa"/>
            <w:vAlign w:val="bottom"/>
            <w:tcBorders>
              <w:right w:val="single" w:sz="8" w:color="auto"/>
            </w:tcBorders>
            <w:vMerge w:val="continue"/>
          </w:tcPr>
          <w:p>
            <w:pPr>
              <w:spacing w:after="0"/>
              <w:rPr>
                <w:sz w:val="17"/>
                <w:szCs w:val="17"/>
                <w:color w:val="auto"/>
              </w:rPr>
            </w:pPr>
          </w:p>
        </w:tc>
        <w:tc>
          <w:tcPr>
            <w:tcW w:w="1840" w:type="dxa"/>
            <w:vAlign w:val="bottom"/>
            <w:vMerge w:val="restart"/>
          </w:tcPr>
          <w:p>
            <w:pPr>
              <w:ind w:left="60"/>
              <w:spacing w:after="0"/>
              <w:rPr>
                <w:sz w:val="20"/>
                <w:szCs w:val="20"/>
                <w:color w:val="auto"/>
              </w:rPr>
            </w:pPr>
            <w:r>
              <w:rPr>
                <w:rFonts w:ascii="Arial" w:cs="Arial" w:eastAsia="Arial" w:hAnsi="Arial"/>
                <w:sz w:val="16"/>
                <w:szCs w:val="16"/>
                <w:b w:val="1"/>
                <w:bCs w:val="1"/>
                <w:color w:val="auto"/>
              </w:rPr>
              <w:t>Meeting Type:</w:t>
            </w:r>
          </w:p>
        </w:tc>
        <w:tc>
          <w:tcPr>
            <w:tcW w:w="1880" w:type="dxa"/>
            <w:vAlign w:val="bottom"/>
            <w:tcBorders>
              <w:top w:val="single" w:sz="8" w:color="auto"/>
            </w:tcBorders>
            <w:gridSpan w:val="2"/>
            <w:vMerge w:val="restart"/>
          </w:tcPr>
          <w:p>
            <w:pPr>
              <w:ind w:left="20"/>
              <w:spacing w:after="0"/>
              <w:rPr>
                <w:sz w:val="20"/>
                <w:szCs w:val="20"/>
                <w:color w:val="auto"/>
              </w:rPr>
            </w:pPr>
            <w:r>
              <w:rPr>
                <w:rFonts w:ascii="Arial" w:cs="Arial" w:eastAsia="Arial" w:hAnsi="Arial"/>
                <w:sz w:val="16"/>
                <w:szCs w:val="16"/>
                <w:color w:val="auto"/>
              </w:rPr>
              <w:t>Annual Meeting</w:t>
            </w:r>
          </w:p>
        </w:tc>
        <w:tc>
          <w:tcPr>
            <w:tcW w:w="1860" w:type="dxa"/>
            <w:vAlign w:val="bottom"/>
            <w:tcBorders>
              <w:right w:val="single" w:sz="8" w:color="auto"/>
            </w:tcBorders>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92"/>
        </w:trPr>
        <w:tc>
          <w:tcPr>
            <w:tcW w:w="4380" w:type="dxa"/>
            <w:vAlign w:val="bottom"/>
            <w:tcBorders>
              <w:right w:val="single" w:sz="8" w:color="auto"/>
            </w:tcBorders>
          </w:tcPr>
          <w:p>
            <w:pPr>
              <w:spacing w:after="0"/>
              <w:rPr>
                <w:sz w:val="8"/>
                <w:szCs w:val="8"/>
                <w:color w:val="auto"/>
              </w:rPr>
            </w:pPr>
          </w:p>
        </w:tc>
        <w:tc>
          <w:tcPr>
            <w:tcW w:w="1840" w:type="dxa"/>
            <w:vAlign w:val="bottom"/>
            <w:vMerge w:val="continue"/>
          </w:tcPr>
          <w:p>
            <w:pPr>
              <w:spacing w:after="0"/>
              <w:rPr>
                <w:sz w:val="8"/>
                <w:szCs w:val="8"/>
                <w:color w:val="auto"/>
              </w:rPr>
            </w:pPr>
          </w:p>
        </w:tc>
        <w:tc>
          <w:tcPr>
            <w:tcW w:w="1880" w:type="dxa"/>
            <w:vAlign w:val="bottom"/>
            <w:gridSpan w:val="2"/>
            <w:vMerge w:val="continue"/>
          </w:tcPr>
          <w:p>
            <w:pPr>
              <w:spacing w:after="0"/>
              <w:rPr>
                <w:sz w:val="8"/>
                <w:szCs w:val="8"/>
                <w:color w:val="auto"/>
              </w:rPr>
            </w:pPr>
          </w:p>
        </w:tc>
        <w:tc>
          <w:tcPr>
            <w:tcW w:w="1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3"/>
        </w:trPr>
        <w:tc>
          <w:tcPr>
            <w:tcW w:w="4380" w:type="dxa"/>
            <w:vAlign w:val="bottom"/>
            <w:tcBorders>
              <w:right w:val="single" w:sz="8" w:color="auto"/>
            </w:tcBorders>
          </w:tcPr>
          <w:p>
            <w:pPr>
              <w:spacing w:after="0"/>
              <w:rPr>
                <w:sz w:val="21"/>
                <w:szCs w:val="21"/>
                <w:color w:val="auto"/>
              </w:rPr>
            </w:pPr>
          </w:p>
        </w:tc>
        <w:tc>
          <w:tcPr>
            <w:tcW w:w="1840" w:type="dxa"/>
            <w:vAlign w:val="bottom"/>
          </w:tcPr>
          <w:p>
            <w:pPr>
              <w:ind w:left="60"/>
              <w:spacing w:after="0"/>
              <w:rPr>
                <w:sz w:val="20"/>
                <w:szCs w:val="20"/>
                <w:color w:val="auto"/>
              </w:rPr>
            </w:pPr>
            <w:r>
              <w:rPr>
                <w:rFonts w:ascii="Arial" w:cs="Arial" w:eastAsia="Arial" w:hAnsi="Arial"/>
                <w:sz w:val="16"/>
                <w:szCs w:val="16"/>
                <w:b w:val="1"/>
                <w:bCs w:val="1"/>
                <w:color w:val="auto"/>
              </w:rPr>
              <w:t>For holders as of:</w:t>
            </w:r>
          </w:p>
        </w:tc>
        <w:tc>
          <w:tcPr>
            <w:tcW w:w="37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October 20, 2017</w:t>
            </w:r>
          </w:p>
        </w:tc>
        <w:tc>
          <w:tcPr>
            <w:tcW w:w="0" w:type="dxa"/>
            <w:vAlign w:val="bottom"/>
          </w:tcPr>
          <w:p>
            <w:pPr>
              <w:spacing w:after="0"/>
              <w:rPr>
                <w:sz w:val="1"/>
                <w:szCs w:val="1"/>
                <w:color w:val="auto"/>
              </w:rPr>
            </w:pPr>
          </w:p>
        </w:tc>
      </w:tr>
      <w:tr>
        <w:trPr>
          <w:trHeight w:val="243"/>
        </w:trPr>
        <w:tc>
          <w:tcPr>
            <w:tcW w:w="4380" w:type="dxa"/>
            <w:vAlign w:val="bottom"/>
            <w:tcBorders>
              <w:right w:val="single" w:sz="8" w:color="auto"/>
            </w:tcBorders>
          </w:tcPr>
          <w:p>
            <w:pPr>
              <w:spacing w:after="0"/>
              <w:rPr>
                <w:sz w:val="21"/>
                <w:szCs w:val="21"/>
                <w:color w:val="auto"/>
              </w:rPr>
            </w:pPr>
          </w:p>
        </w:tc>
        <w:tc>
          <w:tcPr>
            <w:tcW w:w="2720" w:type="dxa"/>
            <w:vAlign w:val="bottom"/>
            <w:gridSpan w:val="2"/>
          </w:tcPr>
          <w:p>
            <w:pPr>
              <w:ind w:left="60"/>
              <w:spacing w:after="0"/>
              <w:rPr>
                <w:sz w:val="20"/>
                <w:szCs w:val="20"/>
                <w:color w:val="auto"/>
              </w:rPr>
            </w:pPr>
            <w:r>
              <w:rPr>
                <w:rFonts w:ascii="Arial" w:cs="Arial" w:eastAsia="Arial" w:hAnsi="Arial"/>
                <w:sz w:val="16"/>
                <w:szCs w:val="16"/>
                <w:b w:val="1"/>
                <w:bCs w:val="1"/>
                <w:color w:val="auto"/>
              </w:rPr>
              <w:t xml:space="preserve">Date:  </w:t>
            </w:r>
            <w:r>
              <w:rPr>
                <w:rFonts w:ascii="Arial" w:cs="Arial" w:eastAsia="Arial" w:hAnsi="Arial"/>
                <w:sz w:val="16"/>
                <w:szCs w:val="16"/>
                <w:color w:val="auto"/>
              </w:rPr>
              <w:t>December 13, 2017</w:t>
            </w:r>
          </w:p>
        </w:tc>
        <w:tc>
          <w:tcPr>
            <w:tcW w:w="2860" w:type="dxa"/>
            <w:vAlign w:val="bottom"/>
            <w:tcBorders>
              <w:right w:val="single" w:sz="8" w:color="auto"/>
            </w:tcBorders>
            <w:gridSpan w:val="2"/>
          </w:tcPr>
          <w:p>
            <w:pPr>
              <w:ind w:left="20"/>
              <w:spacing w:after="0"/>
              <w:rPr>
                <w:sz w:val="20"/>
                <w:szCs w:val="20"/>
                <w:color w:val="auto"/>
              </w:rPr>
            </w:pPr>
            <w:r>
              <w:rPr>
                <w:rFonts w:ascii="Arial" w:cs="Arial" w:eastAsia="Arial" w:hAnsi="Arial"/>
                <w:sz w:val="16"/>
                <w:szCs w:val="16"/>
                <w:b w:val="1"/>
                <w:bCs w:val="1"/>
                <w:color w:val="auto"/>
              </w:rPr>
              <w:t xml:space="preserve">Time: </w:t>
            </w:r>
            <w:r>
              <w:rPr>
                <w:rFonts w:ascii="Arial" w:cs="Arial" w:eastAsia="Arial" w:hAnsi="Arial"/>
                <w:sz w:val="16"/>
                <w:szCs w:val="16"/>
                <w:color w:val="auto"/>
              </w:rPr>
              <w:t>9:00 AM Local Time</w:t>
            </w:r>
          </w:p>
        </w:tc>
        <w:tc>
          <w:tcPr>
            <w:tcW w:w="0" w:type="dxa"/>
            <w:vAlign w:val="bottom"/>
          </w:tcPr>
          <w:p>
            <w:pPr>
              <w:spacing w:after="0"/>
              <w:rPr>
                <w:sz w:val="1"/>
                <w:szCs w:val="1"/>
                <w:color w:val="auto"/>
              </w:rPr>
            </w:pPr>
          </w:p>
        </w:tc>
      </w:tr>
      <w:tr>
        <w:trPr>
          <w:trHeight w:val="265"/>
        </w:trPr>
        <w:tc>
          <w:tcPr>
            <w:tcW w:w="4380" w:type="dxa"/>
            <w:vAlign w:val="bottom"/>
            <w:tcBorders>
              <w:right w:val="single" w:sz="8" w:color="auto"/>
            </w:tcBorders>
          </w:tcPr>
          <w:p>
            <w:pPr>
              <w:spacing w:after="0"/>
              <w:rPr>
                <w:sz w:val="23"/>
                <w:szCs w:val="23"/>
                <w:color w:val="auto"/>
              </w:rPr>
            </w:pPr>
          </w:p>
        </w:tc>
        <w:tc>
          <w:tcPr>
            <w:tcW w:w="2720" w:type="dxa"/>
            <w:vAlign w:val="bottom"/>
            <w:gridSpan w:val="2"/>
          </w:tcPr>
          <w:p>
            <w:pPr>
              <w:ind w:left="60"/>
              <w:spacing w:after="0"/>
              <w:rPr>
                <w:sz w:val="20"/>
                <w:szCs w:val="20"/>
                <w:color w:val="auto"/>
              </w:rPr>
            </w:pPr>
            <w:r>
              <w:rPr>
                <w:rFonts w:ascii="Arial" w:cs="Arial" w:eastAsia="Arial" w:hAnsi="Arial"/>
                <w:sz w:val="16"/>
                <w:szCs w:val="16"/>
                <w:b w:val="1"/>
                <w:bCs w:val="1"/>
                <w:color w:val="auto"/>
              </w:rPr>
              <w:t xml:space="preserve">Location:   </w:t>
            </w:r>
            <w:r>
              <w:rPr>
                <w:rFonts w:ascii="Arial" w:cs="Arial" w:eastAsia="Arial" w:hAnsi="Arial"/>
                <w:sz w:val="16"/>
                <w:szCs w:val="16"/>
                <w:color w:val="auto"/>
              </w:rPr>
              <w:t>The Westin Richmond</w:t>
            </w:r>
          </w:p>
        </w:tc>
        <w:tc>
          <w:tcPr>
            <w:tcW w:w="1000" w:type="dxa"/>
            <w:vAlign w:val="bottom"/>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89"/>
        </w:trPr>
        <w:tc>
          <w:tcPr>
            <w:tcW w:w="4380" w:type="dxa"/>
            <w:vAlign w:val="bottom"/>
            <w:tcBorders>
              <w:right w:val="single" w:sz="8" w:color="auto"/>
            </w:tcBorders>
          </w:tcPr>
          <w:p>
            <w:pPr>
              <w:spacing w:after="0"/>
              <w:rPr>
                <w:sz w:val="16"/>
                <w:szCs w:val="16"/>
                <w:color w:val="auto"/>
              </w:rPr>
            </w:pPr>
          </w:p>
        </w:tc>
        <w:tc>
          <w:tcPr>
            <w:tcW w:w="2720" w:type="dxa"/>
            <w:vAlign w:val="bottom"/>
            <w:gridSpan w:val="2"/>
          </w:tcPr>
          <w:p>
            <w:pPr>
              <w:ind w:left="1000"/>
              <w:spacing w:after="0"/>
              <w:rPr>
                <w:sz w:val="20"/>
                <w:szCs w:val="20"/>
                <w:color w:val="auto"/>
              </w:rPr>
            </w:pPr>
            <w:r>
              <w:rPr>
                <w:rFonts w:ascii="Arial" w:cs="Arial" w:eastAsia="Arial" w:hAnsi="Arial"/>
                <w:sz w:val="16"/>
                <w:szCs w:val="16"/>
                <w:color w:val="auto"/>
                <w:w w:val="99"/>
              </w:rPr>
              <w:t>6631 West Broad Street</w:t>
            </w:r>
          </w:p>
        </w:tc>
        <w:tc>
          <w:tcPr>
            <w:tcW w:w="1000" w:type="dxa"/>
            <w:vAlign w:val="bottom"/>
          </w:tcPr>
          <w:p>
            <w:pPr>
              <w:spacing w:after="0"/>
              <w:rPr>
                <w:sz w:val="16"/>
                <w:szCs w:val="16"/>
                <w:color w:val="auto"/>
              </w:rPr>
            </w:pPr>
          </w:p>
        </w:tc>
        <w:tc>
          <w:tcPr>
            <w:tcW w:w="18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4380" w:type="dxa"/>
            <w:vAlign w:val="bottom"/>
            <w:tcBorders>
              <w:right w:val="single" w:sz="8" w:color="auto"/>
            </w:tcBorders>
          </w:tcPr>
          <w:p>
            <w:pPr>
              <w:spacing w:after="0"/>
              <w:rPr>
                <w:sz w:val="16"/>
                <w:szCs w:val="16"/>
                <w:color w:val="auto"/>
              </w:rPr>
            </w:pPr>
          </w:p>
        </w:tc>
        <w:tc>
          <w:tcPr>
            <w:tcW w:w="2720" w:type="dxa"/>
            <w:vAlign w:val="bottom"/>
            <w:gridSpan w:val="2"/>
          </w:tcPr>
          <w:p>
            <w:pPr>
              <w:ind w:left="1000"/>
              <w:spacing w:after="0"/>
              <w:rPr>
                <w:sz w:val="20"/>
                <w:szCs w:val="20"/>
                <w:color w:val="auto"/>
              </w:rPr>
            </w:pPr>
            <w:r>
              <w:rPr>
                <w:rFonts w:ascii="Arial" w:cs="Arial" w:eastAsia="Arial" w:hAnsi="Arial"/>
                <w:sz w:val="16"/>
                <w:szCs w:val="16"/>
                <w:color w:val="auto"/>
              </w:rPr>
              <w:t>Richmond, VA 23230</w:t>
            </w:r>
          </w:p>
        </w:tc>
        <w:tc>
          <w:tcPr>
            <w:tcW w:w="1000" w:type="dxa"/>
            <w:vAlign w:val="bottom"/>
          </w:tcPr>
          <w:p>
            <w:pPr>
              <w:spacing w:after="0"/>
              <w:rPr>
                <w:sz w:val="16"/>
                <w:szCs w:val="16"/>
                <w:color w:val="auto"/>
              </w:rPr>
            </w:pPr>
          </w:p>
        </w:tc>
        <w:tc>
          <w:tcPr>
            <w:tcW w:w="18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6"/>
        </w:trPr>
        <w:tc>
          <w:tcPr>
            <w:tcW w:w="4380" w:type="dxa"/>
            <w:vAlign w:val="bottom"/>
            <w:tcBorders>
              <w:right w:val="single" w:sz="8" w:color="auto"/>
            </w:tcBorders>
          </w:tcPr>
          <w:p>
            <w:pPr>
              <w:spacing w:after="0"/>
              <w:rPr>
                <w:sz w:val="21"/>
                <w:szCs w:val="21"/>
                <w:color w:val="auto"/>
              </w:rPr>
            </w:pPr>
          </w:p>
        </w:tc>
        <w:tc>
          <w:tcPr>
            <w:tcW w:w="18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spacing w:after="0"/>
              <w:rPr>
                <w:sz w:val="21"/>
                <w:szCs w:val="21"/>
                <w:color w:val="auto"/>
              </w:rPr>
            </w:pPr>
          </w:p>
        </w:tc>
        <w:tc>
          <w:tcPr>
            <w:tcW w:w="18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49530</wp:posOffset>
            </wp:positionV>
            <wp:extent cx="1166495" cy="3003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166495" cy="300355"/>
                    </a:xfrm>
                    <a:prstGeom prst="rect">
                      <a:avLst/>
                    </a:prstGeom>
                    <a:noFill/>
                  </pic:spPr>
                </pic:pic>
              </a:graphicData>
            </a:graphic>
          </wp:anchor>
        </w:drawing>
      </w:r>
    </w:p>
    <w:p>
      <w:pPr>
        <w:sectPr>
          <w:pgSz w:w="11900" w:h="16838" w:orient="portrait"/>
          <w:cols w:equalWidth="0" w:num="1">
            <w:col w:w="11240"/>
          </w:cols>
          <w:pgMar w:left="420" w:top="25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9"/>
          <w:szCs w:val="9"/>
          <w:i w:val="1"/>
          <w:iCs w:val="1"/>
          <w:color w:val="auto"/>
        </w:rPr>
        <w:t>GENWORTH FINANCIAL, INC.</w:t>
      </w:r>
    </w:p>
    <w:p>
      <w:pPr>
        <w:spacing w:after="0"/>
        <w:rPr>
          <w:sz w:val="20"/>
          <w:szCs w:val="20"/>
          <w:color w:val="auto"/>
        </w:rPr>
      </w:pPr>
      <w:r>
        <w:rPr>
          <w:rFonts w:ascii="Arial" w:cs="Arial" w:eastAsia="Arial" w:hAnsi="Arial"/>
          <w:sz w:val="8"/>
          <w:szCs w:val="8"/>
          <w:i w:val="1"/>
          <w:iCs w:val="1"/>
          <w:color w:val="auto"/>
        </w:rPr>
        <w:t>C/O CORPORATE SECRETARY</w:t>
      </w:r>
    </w:p>
    <w:p>
      <w:pPr>
        <w:spacing w:after="0" w:line="225" w:lineRule="auto"/>
        <w:rPr>
          <w:sz w:val="20"/>
          <w:szCs w:val="20"/>
          <w:color w:val="auto"/>
        </w:rPr>
      </w:pPr>
      <w:r>
        <w:rPr>
          <w:rFonts w:ascii="Arial" w:cs="Arial" w:eastAsia="Arial" w:hAnsi="Arial"/>
          <w:sz w:val="9"/>
          <w:szCs w:val="9"/>
          <w:i w:val="1"/>
          <w:iCs w:val="1"/>
          <w:color w:val="auto"/>
        </w:rPr>
        <w:t>6620 WEST BROAD STREET</w:t>
      </w:r>
    </w:p>
    <w:p>
      <w:pPr>
        <w:spacing w:after="0"/>
        <w:rPr>
          <w:sz w:val="20"/>
          <w:szCs w:val="20"/>
          <w:color w:val="auto"/>
        </w:rPr>
      </w:pPr>
      <w:r>
        <w:rPr>
          <w:rFonts w:ascii="Arial" w:cs="Arial" w:eastAsia="Arial" w:hAnsi="Arial"/>
          <w:sz w:val="9"/>
          <w:szCs w:val="9"/>
          <w:i w:val="1"/>
          <w:iCs w:val="1"/>
          <w:color w:val="auto"/>
        </w:rPr>
        <w:t>RICHMOND, VA 23230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-108585</wp:posOffset>
            </wp:positionH>
            <wp:positionV relativeFrom="paragraph">
              <wp:posOffset>706120</wp:posOffset>
            </wp:positionV>
            <wp:extent cx="77470" cy="8750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7470" cy="87503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92" w:lineRule="exact"/>
        <w:rPr>
          <w:sz w:val="20"/>
          <w:szCs w:val="20"/>
          <w:color w:val="auto"/>
        </w:rPr>
      </w:pPr>
    </w:p>
    <w:p>
      <w:pPr>
        <w:jc w:val="both"/>
        <w:spacing w:after="0" w:line="243" w:lineRule="auto"/>
        <w:rPr>
          <w:sz w:val="20"/>
          <w:szCs w:val="20"/>
          <w:color w:val="auto"/>
        </w:rPr>
      </w:pPr>
      <w:r>
        <w:rPr>
          <w:rFonts w:ascii="Arial" w:cs="Arial" w:eastAsia="Arial" w:hAnsi="Arial"/>
          <w:sz w:val="17"/>
          <w:szCs w:val="17"/>
          <w:color w:val="auto"/>
        </w:rPr>
        <w:t>You are receiving this communication because you hold shares in the company named above.</w:t>
      </w:r>
    </w:p>
    <w:p>
      <w:pPr>
        <w:spacing w:after="0" w:line="90" w:lineRule="exact"/>
        <w:rPr>
          <w:sz w:val="20"/>
          <w:szCs w:val="20"/>
          <w:color w:val="auto"/>
        </w:rPr>
      </w:pPr>
    </w:p>
    <w:p>
      <w:pPr>
        <w:jc w:val="both"/>
        <w:spacing w:after="0" w:line="235" w:lineRule="auto"/>
        <w:rPr>
          <w:sz w:val="20"/>
          <w:szCs w:val="20"/>
          <w:color w:val="auto"/>
        </w:rPr>
      </w:pPr>
      <w:r>
        <w:rPr>
          <w:rFonts w:ascii="Arial" w:cs="Arial" w:eastAsia="Arial" w:hAnsi="Arial"/>
          <w:sz w:val="17"/>
          <w:szCs w:val="17"/>
          <w:color w:val="auto"/>
        </w:rPr>
        <w:t xml:space="preserve">This is not a ballot. You cannot use this notice to vote these shares. This communication presents only an overview of the more complete proxy materials that are available to you on the Internet. You may view the proxy materials online at </w:t>
      </w:r>
      <w:r>
        <w:rPr>
          <w:rFonts w:ascii="Arial" w:cs="Arial" w:eastAsia="Arial" w:hAnsi="Arial"/>
          <w:sz w:val="17"/>
          <w:szCs w:val="17"/>
          <w:i w:val="1"/>
          <w:iCs w:val="1"/>
          <w:color w:val="auto"/>
        </w:rPr>
        <w:t>www.proxyvote.com</w:t>
      </w:r>
      <w:r>
        <w:rPr>
          <w:rFonts w:ascii="Arial" w:cs="Arial" w:eastAsia="Arial" w:hAnsi="Arial"/>
          <w:sz w:val="17"/>
          <w:szCs w:val="17"/>
          <w:color w:val="auto"/>
        </w:rPr>
        <w:t xml:space="preserve"> or easily request a paper copy (see reverse side).</w:t>
      </w:r>
    </w:p>
    <w:p>
      <w:pPr>
        <w:spacing w:after="0" w:line="96" w:lineRule="exact"/>
        <w:rPr>
          <w:sz w:val="20"/>
          <w:szCs w:val="20"/>
          <w:color w:val="auto"/>
        </w:rPr>
      </w:pPr>
    </w:p>
    <w:p>
      <w:pPr>
        <w:jc w:val="both"/>
        <w:spacing w:after="0" w:line="243" w:lineRule="auto"/>
        <w:rPr>
          <w:sz w:val="20"/>
          <w:szCs w:val="20"/>
          <w:color w:val="auto"/>
        </w:rPr>
      </w:pPr>
      <w:r>
        <w:rPr>
          <w:rFonts w:ascii="Arial" w:cs="Arial" w:eastAsia="Arial" w:hAnsi="Arial"/>
          <w:sz w:val="17"/>
          <w:szCs w:val="17"/>
          <w:color w:val="auto"/>
        </w:rPr>
        <w:t>We encourage you to access and review all of the important information contained in the proxy materials before voting.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147320</wp:posOffset>
            </wp:positionV>
            <wp:extent cx="3550285" cy="3346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550285" cy="334645"/>
                    </a:xfrm>
                    <a:prstGeom prst="rect">
                      <a:avLst/>
                    </a:prstGeom>
                    <a:noFill/>
                  </pic:spPr>
                </pic:pic>
              </a:graphicData>
            </a:graphic>
          </wp:anchor>
        </w:drawing>
      </w:r>
    </w:p>
    <w:p>
      <w:pPr>
        <w:spacing w:after="0" w:line="224" w:lineRule="exact"/>
        <w:rPr>
          <w:sz w:val="20"/>
          <w:szCs w:val="20"/>
          <w:color w:val="auto"/>
        </w:rPr>
      </w:pPr>
    </w:p>
    <w:p>
      <w:pPr>
        <w:ind w:left="80" w:right="60"/>
        <w:spacing w:after="0" w:line="258" w:lineRule="auto"/>
        <w:rPr>
          <w:sz w:val="20"/>
          <w:szCs w:val="20"/>
          <w:color w:val="auto"/>
        </w:rPr>
      </w:pPr>
      <w:r>
        <w:rPr>
          <w:rFonts w:ascii="Arial" w:cs="Arial" w:eastAsia="Arial" w:hAnsi="Arial"/>
          <w:sz w:val="20"/>
          <w:szCs w:val="20"/>
          <w:b w:val="1"/>
          <w:bCs w:val="1"/>
          <w:color w:val="FFFFFF"/>
        </w:rPr>
        <w:t>See the reverse side of this notice to obtain proxy materials and voting instructions.</w:t>
      </w:r>
    </w:p>
    <w:p>
      <w:pPr>
        <w:sectPr>
          <w:pgSz w:w="11900" w:h="16838" w:orient="portrait"/>
          <w:cols w:equalWidth="0" w:num="2">
            <w:col w:w="4920" w:space="720"/>
            <w:col w:w="5600"/>
          </w:cols>
          <w:pgMar w:left="420" w:top="251" w:right="239" w:bottom="1440" w:gutter="0" w:footer="0" w:header="0"/>
          <w:type w:val="continuous"/>
        </w:sectPr>
      </w:pPr>
    </w:p>
    <w:bookmarkStart w:id="3" w:name="page4"/>
    <w:bookmarkEnd w:id="3"/>
    <w:p>
      <w:pPr>
        <w:jc w:val="center"/>
        <w:ind w:right="331"/>
        <w:spacing w:after="0"/>
        <w:rPr>
          <w:sz w:val="20"/>
          <w:szCs w:val="20"/>
          <w:color w:val="auto"/>
        </w:rPr>
      </w:pPr>
      <w:r>
        <w:rPr>
          <w:rFonts w:ascii="Arial" w:cs="Arial" w:eastAsia="Arial" w:hAnsi="Arial"/>
          <w:sz w:val="32"/>
          <w:szCs w:val="32"/>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 </w:t>
      </w:r>
      <w:r>
        <w:rPr>
          <w:rFonts w:ascii="Arial" w:cs="Arial" w:eastAsia="Arial" w:hAnsi="Arial"/>
          <w:sz w:val="32"/>
          <w:szCs w:val="32"/>
          <w:b w:val="1"/>
          <w:bCs w:val="1"/>
          <w:color w:val="auto"/>
        </w:rPr>
        <w:t>Before You Vote</w:t>
      </w:r>
      <w:r>
        <w:rPr>
          <w:rFonts w:ascii="Arial" w:cs="Arial" w:eastAsia="Arial" w:hAnsi="Arial"/>
          <w:sz w:val="32"/>
          <w:szCs w:val="32"/>
          <w:color w:val="auto"/>
        </w:rPr>
        <w:t xml:space="preserve"> —</w:t>
      </w:r>
    </w:p>
    <w:p>
      <w:pPr>
        <w:spacing w:after="0" w:line="31" w:lineRule="exact"/>
        <w:rPr>
          <w:sz w:val="20"/>
          <w:szCs w:val="20"/>
          <w:color w:val="auto"/>
        </w:rPr>
      </w:pPr>
    </w:p>
    <w:p>
      <w:pPr>
        <w:ind w:left="3469"/>
        <w:spacing w:after="0"/>
        <w:rPr>
          <w:sz w:val="20"/>
          <w:szCs w:val="20"/>
          <w:color w:val="auto"/>
        </w:rPr>
      </w:pPr>
      <w:r>
        <w:rPr>
          <w:rFonts w:ascii="Arial" w:cs="Arial" w:eastAsia="Arial" w:hAnsi="Arial"/>
          <w:sz w:val="22"/>
          <w:szCs w:val="22"/>
          <w:color w:val="auto"/>
        </w:rPr>
        <w:t>How to Access the Proxy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-133350</wp:posOffset>
            </wp:positionH>
            <wp:positionV relativeFrom="paragraph">
              <wp:posOffset>40640</wp:posOffset>
            </wp:positionV>
            <wp:extent cx="7031990" cy="22809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031990" cy="2280920"/>
                    </a:xfrm>
                    <a:prstGeom prst="rect">
                      <a:avLst/>
                    </a:prstGeom>
                    <a:noFill/>
                  </pic:spPr>
                </pic:pic>
              </a:graphicData>
            </a:graphic>
          </wp:anchor>
        </w:drawing>
      </w:r>
    </w:p>
    <w:p>
      <w:pPr>
        <w:spacing w:after="0" w:line="102" w:lineRule="exact"/>
        <w:rPr>
          <w:sz w:val="20"/>
          <w:szCs w:val="20"/>
          <w:color w:val="auto"/>
        </w:rPr>
      </w:pPr>
    </w:p>
    <w:p>
      <w:pPr>
        <w:ind w:left="9"/>
        <w:spacing w:after="0"/>
        <w:rPr>
          <w:sz w:val="20"/>
          <w:szCs w:val="20"/>
          <w:color w:val="auto"/>
        </w:rPr>
      </w:pPr>
      <w:r>
        <w:rPr>
          <w:rFonts w:ascii="Arial" w:cs="Arial" w:eastAsia="Arial" w:hAnsi="Arial"/>
          <w:sz w:val="18"/>
          <w:szCs w:val="18"/>
          <w:b w:val="1"/>
          <w:bCs w:val="1"/>
          <w:color w:val="auto"/>
        </w:rPr>
        <w:t>Proxy Materials Available to VIEW or RECEIVE:</w:t>
      </w:r>
    </w:p>
    <w:p>
      <w:pPr>
        <w:spacing w:after="0" w:line="72" w:lineRule="exact"/>
        <w:rPr>
          <w:sz w:val="20"/>
          <w:szCs w:val="20"/>
          <w:color w:val="auto"/>
        </w:rPr>
      </w:pPr>
    </w:p>
    <w:p>
      <w:pPr>
        <w:ind w:left="9"/>
        <w:spacing w:after="0"/>
        <w:tabs>
          <w:tab w:leader="none" w:pos="3489" w:val="left"/>
        </w:tabs>
        <w:rPr>
          <w:sz w:val="20"/>
          <w:szCs w:val="20"/>
          <w:color w:val="auto"/>
        </w:rPr>
      </w:pPr>
      <w:r>
        <w:rPr>
          <w:rFonts w:ascii="Arial" w:cs="Arial" w:eastAsia="Arial" w:hAnsi="Arial"/>
          <w:sz w:val="18"/>
          <w:szCs w:val="18"/>
          <w:color w:val="auto"/>
        </w:rPr>
        <w:t>GENWORTH’S PROXY STATEMENT</w:t>
      </w:r>
      <w:r>
        <w:rPr>
          <w:sz w:val="20"/>
          <w:szCs w:val="20"/>
          <w:color w:val="auto"/>
        </w:rPr>
        <w:tab/>
      </w:r>
      <w:r>
        <w:rPr>
          <w:rFonts w:ascii="Arial" w:cs="Arial" w:eastAsia="Arial" w:hAnsi="Arial"/>
          <w:sz w:val="17"/>
          <w:szCs w:val="17"/>
          <w:color w:val="auto"/>
        </w:rPr>
        <w:t>ANNUAL REPORT TO STOCKHOLDERS</w:t>
      </w:r>
    </w:p>
    <w:p>
      <w:pPr>
        <w:spacing w:after="0" w:line="28" w:lineRule="exact"/>
        <w:rPr>
          <w:sz w:val="20"/>
          <w:szCs w:val="20"/>
          <w:color w:val="auto"/>
        </w:rPr>
      </w:pPr>
    </w:p>
    <w:p>
      <w:pPr>
        <w:ind w:left="9"/>
        <w:spacing w:after="0"/>
        <w:rPr>
          <w:sz w:val="20"/>
          <w:szCs w:val="20"/>
          <w:color w:val="auto"/>
        </w:rPr>
      </w:pPr>
      <w:r>
        <w:rPr>
          <w:rFonts w:ascii="Arial" w:cs="Arial" w:eastAsia="Arial" w:hAnsi="Arial"/>
          <w:sz w:val="18"/>
          <w:szCs w:val="18"/>
          <w:b w:val="1"/>
          <w:bCs w:val="1"/>
          <w:color w:val="auto"/>
        </w:rPr>
        <w:t>How to View Online:</w:t>
      </w:r>
    </w:p>
    <w:p>
      <w:pPr>
        <w:spacing w:after="0" w:line="32" w:lineRule="exact"/>
        <w:rPr>
          <w:sz w:val="20"/>
          <w:szCs w:val="20"/>
          <w:color w:val="auto"/>
        </w:rPr>
      </w:pPr>
    </w:p>
    <w:p>
      <w:pPr>
        <w:ind w:left="9"/>
        <w:spacing w:after="0" w:line="249" w:lineRule="auto"/>
        <w:rPr>
          <w:sz w:val="20"/>
          <w:szCs w:val="20"/>
          <w:color w:val="auto"/>
        </w:rPr>
      </w:pPr>
      <w:r>
        <w:rPr>
          <w:rFonts w:ascii="Arial" w:cs="Arial" w:eastAsia="Arial" w:hAnsi="Arial"/>
          <w:sz w:val="18"/>
          <w:szCs w:val="18"/>
          <w:color w:val="auto"/>
        </w:rPr>
        <w:t xml:space="preserve">Have the information that is printed in the box marked by the arrow </w:t>
      </w:r>
      <w:r>
        <w:rPr>
          <w:sz w:val="1"/>
          <w:szCs w:val="1"/>
          <w:color w:val="auto"/>
        </w:rPr>
        <w:drawing>
          <wp:inline distT="0" distB="0" distL="0" distR="0">
            <wp:extent cx="1346200" cy="1117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346200" cy="111760"/>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and visit: </w:t>
      </w:r>
      <w:r>
        <w:rPr>
          <w:rFonts w:ascii="Arial" w:cs="Arial" w:eastAsia="Arial" w:hAnsi="Arial"/>
          <w:sz w:val="18"/>
          <w:szCs w:val="18"/>
          <w:i w:val="1"/>
          <w:iCs w:val="1"/>
          <w:color w:val="auto"/>
        </w:rPr>
        <w:t>www.proxyvote.com.</w:t>
      </w:r>
    </w:p>
    <w:p>
      <w:pPr>
        <w:ind w:left="9"/>
        <w:spacing w:after="0"/>
        <w:rPr>
          <w:sz w:val="20"/>
          <w:szCs w:val="20"/>
          <w:color w:val="auto"/>
        </w:rPr>
      </w:pPr>
      <w:r>
        <w:rPr>
          <w:rFonts w:ascii="Arial" w:cs="Arial" w:eastAsia="Arial" w:hAnsi="Arial"/>
          <w:sz w:val="18"/>
          <w:szCs w:val="18"/>
          <w:b w:val="1"/>
          <w:bCs w:val="1"/>
          <w:color w:val="auto"/>
        </w:rPr>
        <w:t>How to Request and Receive a PAPER or E-MAIL Copy:</w:t>
      </w:r>
    </w:p>
    <w:p>
      <w:pPr>
        <w:spacing w:after="0" w:line="27" w:lineRule="exact"/>
        <w:rPr>
          <w:sz w:val="20"/>
          <w:szCs w:val="20"/>
          <w:color w:val="auto"/>
        </w:rPr>
      </w:pPr>
    </w:p>
    <w:p>
      <w:pPr>
        <w:ind w:left="9"/>
        <w:spacing w:after="0"/>
        <w:rPr>
          <w:sz w:val="20"/>
          <w:szCs w:val="20"/>
          <w:color w:val="auto"/>
        </w:rPr>
      </w:pPr>
      <w:r>
        <w:rPr>
          <w:rFonts w:ascii="Arial" w:cs="Arial" w:eastAsia="Arial" w:hAnsi="Arial"/>
          <w:sz w:val="18"/>
          <w:szCs w:val="18"/>
          <w:color w:val="auto"/>
        </w:rPr>
        <w:t>If you want to receive a paper or e-mail copy of these documents, you must request one. There is NO charge for requesting a copy.</w:t>
      </w:r>
    </w:p>
    <w:p>
      <w:pPr>
        <w:ind w:left="9"/>
        <w:spacing w:after="0" w:line="234" w:lineRule="auto"/>
        <w:rPr>
          <w:sz w:val="20"/>
          <w:szCs w:val="20"/>
          <w:color w:val="auto"/>
        </w:rPr>
      </w:pPr>
      <w:r>
        <w:rPr>
          <w:rFonts w:ascii="Arial" w:cs="Arial" w:eastAsia="Arial" w:hAnsi="Arial"/>
          <w:sz w:val="18"/>
          <w:szCs w:val="18"/>
          <w:color w:val="auto"/>
        </w:rPr>
        <w:t>Please choose one of the following methods to make your request:</w:t>
      </w:r>
    </w:p>
    <w:tbl>
      <w:tblPr>
        <w:tblLayout w:type="fixed"/>
        <w:tblInd w:w="1849" w:type="dxa"/>
        <w:tblCellMar>
          <w:top w:w="0" w:type="dxa"/>
          <w:left w:w="0" w:type="dxa"/>
          <w:bottom w:w="0" w:type="dxa"/>
          <w:right w:w="0" w:type="dxa"/>
        </w:tblCellMar>
      </w:tblPr>
      <w:tr>
        <w:trPr>
          <w:trHeight w:val="185"/>
        </w:trPr>
        <w:tc>
          <w:tcPr>
            <w:tcW w:w="200" w:type="dxa"/>
            <w:vAlign w:val="bottom"/>
          </w:tcPr>
          <w:p>
            <w:pPr>
              <w:jc w:val="right"/>
              <w:spacing w:after="0" w:line="185" w:lineRule="exact"/>
              <w:rPr>
                <w:sz w:val="20"/>
                <w:szCs w:val="20"/>
                <w:color w:val="auto"/>
              </w:rPr>
            </w:pPr>
            <w:r>
              <w:rPr>
                <w:rFonts w:ascii="Arial" w:cs="Arial" w:eastAsia="Arial" w:hAnsi="Arial"/>
                <w:sz w:val="18"/>
                <w:szCs w:val="18"/>
                <w:color w:val="auto"/>
                <w:w w:val="87"/>
              </w:rPr>
              <w:t>1)</w:t>
            </w:r>
          </w:p>
        </w:tc>
        <w:tc>
          <w:tcPr>
            <w:tcW w:w="1700" w:type="dxa"/>
            <w:vAlign w:val="bottom"/>
          </w:tcPr>
          <w:p>
            <w:pPr>
              <w:ind w:left="20"/>
              <w:spacing w:after="0" w:line="185" w:lineRule="exact"/>
              <w:rPr>
                <w:sz w:val="20"/>
                <w:szCs w:val="20"/>
                <w:color w:val="auto"/>
              </w:rPr>
            </w:pPr>
            <w:r>
              <w:rPr>
                <w:rFonts w:ascii="Arial" w:cs="Arial" w:eastAsia="Arial" w:hAnsi="Arial"/>
                <w:sz w:val="18"/>
                <w:szCs w:val="18"/>
                <w:i w:val="1"/>
                <w:iCs w:val="1"/>
                <w:color w:val="auto"/>
              </w:rPr>
              <w:t>BY INTERNET</w:t>
            </w:r>
            <w:r>
              <w:rPr>
                <w:rFonts w:ascii="Arial" w:cs="Arial" w:eastAsia="Arial" w:hAnsi="Arial"/>
                <w:sz w:val="18"/>
                <w:szCs w:val="18"/>
                <w:color w:val="auto"/>
              </w:rPr>
              <w:t>:</w:t>
            </w:r>
          </w:p>
        </w:tc>
        <w:tc>
          <w:tcPr>
            <w:tcW w:w="2660" w:type="dxa"/>
            <w:vAlign w:val="bottom"/>
          </w:tcPr>
          <w:p>
            <w:pPr>
              <w:ind w:left="260"/>
              <w:spacing w:after="0" w:line="185" w:lineRule="exact"/>
              <w:rPr>
                <w:sz w:val="20"/>
                <w:szCs w:val="20"/>
                <w:color w:val="auto"/>
              </w:rPr>
            </w:pPr>
            <w:r>
              <w:rPr>
                <w:rFonts w:ascii="Arial" w:cs="Arial" w:eastAsia="Arial" w:hAnsi="Arial"/>
                <w:sz w:val="18"/>
                <w:szCs w:val="18"/>
                <w:color w:val="auto"/>
              </w:rPr>
              <w:t>www.proxyvote.com</w:t>
            </w:r>
          </w:p>
        </w:tc>
      </w:tr>
      <w:tr>
        <w:trPr>
          <w:trHeight w:val="203"/>
        </w:trPr>
        <w:tc>
          <w:tcPr>
            <w:tcW w:w="200" w:type="dxa"/>
            <w:vAlign w:val="bottom"/>
          </w:tcPr>
          <w:p>
            <w:pPr>
              <w:jc w:val="right"/>
              <w:spacing w:after="0" w:line="202" w:lineRule="exact"/>
              <w:rPr>
                <w:sz w:val="20"/>
                <w:szCs w:val="20"/>
                <w:color w:val="auto"/>
              </w:rPr>
            </w:pPr>
            <w:r>
              <w:rPr>
                <w:rFonts w:ascii="Arial" w:cs="Arial" w:eastAsia="Arial" w:hAnsi="Arial"/>
                <w:sz w:val="18"/>
                <w:szCs w:val="18"/>
                <w:color w:val="auto"/>
                <w:w w:val="87"/>
              </w:rPr>
              <w:t>2)</w:t>
            </w:r>
          </w:p>
        </w:tc>
        <w:tc>
          <w:tcPr>
            <w:tcW w:w="1700" w:type="dxa"/>
            <w:vAlign w:val="bottom"/>
          </w:tcPr>
          <w:p>
            <w:pPr>
              <w:ind w:left="20"/>
              <w:spacing w:after="0" w:line="202" w:lineRule="exact"/>
              <w:rPr>
                <w:sz w:val="20"/>
                <w:szCs w:val="20"/>
                <w:color w:val="auto"/>
              </w:rPr>
            </w:pPr>
            <w:r>
              <w:rPr>
                <w:rFonts w:ascii="Arial" w:cs="Arial" w:eastAsia="Arial" w:hAnsi="Arial"/>
                <w:sz w:val="18"/>
                <w:szCs w:val="18"/>
                <w:i w:val="1"/>
                <w:iCs w:val="1"/>
                <w:color w:val="auto"/>
              </w:rPr>
              <w:t>BY TELEPHONE</w:t>
            </w:r>
            <w:r>
              <w:rPr>
                <w:rFonts w:ascii="Arial" w:cs="Arial" w:eastAsia="Arial" w:hAnsi="Arial"/>
                <w:sz w:val="18"/>
                <w:szCs w:val="18"/>
                <w:color w:val="auto"/>
              </w:rPr>
              <w:t>:</w:t>
            </w:r>
          </w:p>
        </w:tc>
        <w:tc>
          <w:tcPr>
            <w:tcW w:w="2660" w:type="dxa"/>
            <w:vAlign w:val="bottom"/>
          </w:tcPr>
          <w:p>
            <w:pPr>
              <w:ind w:left="260"/>
              <w:spacing w:after="0" w:line="202" w:lineRule="exact"/>
              <w:rPr>
                <w:sz w:val="20"/>
                <w:szCs w:val="20"/>
                <w:color w:val="auto"/>
              </w:rPr>
            </w:pPr>
            <w:r>
              <w:rPr>
                <w:rFonts w:ascii="Arial" w:cs="Arial" w:eastAsia="Arial" w:hAnsi="Arial"/>
                <w:sz w:val="18"/>
                <w:szCs w:val="18"/>
                <w:color w:val="auto"/>
              </w:rPr>
              <w:t>1-800-579-1639</w:t>
            </w:r>
          </w:p>
        </w:tc>
      </w:tr>
      <w:tr>
        <w:trPr>
          <w:trHeight w:val="235"/>
        </w:trPr>
        <w:tc>
          <w:tcPr>
            <w:tcW w:w="200" w:type="dxa"/>
            <w:vAlign w:val="bottom"/>
          </w:tcPr>
          <w:p>
            <w:pPr>
              <w:jc w:val="right"/>
              <w:spacing w:after="0"/>
              <w:rPr>
                <w:sz w:val="20"/>
                <w:szCs w:val="20"/>
                <w:color w:val="auto"/>
              </w:rPr>
            </w:pPr>
            <w:r>
              <w:rPr>
                <w:rFonts w:ascii="Arial" w:cs="Arial" w:eastAsia="Arial" w:hAnsi="Arial"/>
                <w:sz w:val="18"/>
                <w:szCs w:val="18"/>
                <w:color w:val="auto"/>
                <w:w w:val="87"/>
              </w:rPr>
              <w:t>3)</w:t>
            </w:r>
          </w:p>
        </w:tc>
        <w:tc>
          <w:tcPr>
            <w:tcW w:w="1700" w:type="dxa"/>
            <w:vAlign w:val="bottom"/>
          </w:tcPr>
          <w:p>
            <w:pPr>
              <w:ind w:left="20"/>
              <w:spacing w:after="0"/>
              <w:rPr>
                <w:sz w:val="20"/>
                <w:szCs w:val="20"/>
                <w:color w:val="auto"/>
              </w:rPr>
            </w:pPr>
            <w:r>
              <w:rPr>
                <w:rFonts w:ascii="Arial" w:cs="Arial" w:eastAsia="Arial" w:hAnsi="Arial"/>
                <w:sz w:val="18"/>
                <w:szCs w:val="18"/>
                <w:i w:val="1"/>
                <w:iCs w:val="1"/>
                <w:color w:val="auto"/>
              </w:rPr>
              <w:t>BY E-MAIL</w:t>
            </w:r>
            <w:r>
              <w:rPr>
                <w:rFonts w:ascii="Arial" w:cs="Arial" w:eastAsia="Arial" w:hAnsi="Arial"/>
                <w:sz w:val="18"/>
                <w:szCs w:val="18"/>
                <w:color w:val="auto"/>
              </w:rPr>
              <w:t>*:</w:t>
            </w:r>
          </w:p>
        </w:tc>
        <w:tc>
          <w:tcPr>
            <w:tcW w:w="2660" w:type="dxa"/>
            <w:vAlign w:val="bottom"/>
          </w:tcPr>
          <w:p>
            <w:pPr>
              <w:ind w:left="260"/>
              <w:spacing w:after="0"/>
              <w:rPr>
                <w:sz w:val="20"/>
                <w:szCs w:val="20"/>
                <w:color w:val="auto"/>
              </w:rPr>
            </w:pPr>
            <w:r>
              <w:rPr>
                <w:rFonts w:ascii="Arial" w:cs="Arial" w:eastAsia="Arial" w:hAnsi="Arial"/>
                <w:sz w:val="18"/>
                <w:szCs w:val="18"/>
                <w:color w:val="auto"/>
                <w:w w:val="99"/>
              </w:rPr>
              <w:t>sendmaterial@proxyvote.com</w:t>
            </w:r>
          </w:p>
        </w:tc>
      </w:tr>
    </w:tbl>
    <w:p>
      <w:pPr>
        <w:spacing w:after="0" w:line="94" w:lineRule="exact"/>
        <w:rPr>
          <w:sz w:val="20"/>
          <w:szCs w:val="20"/>
          <w:color w:val="auto"/>
        </w:rPr>
      </w:pPr>
    </w:p>
    <w:p>
      <w:pPr>
        <w:ind w:left="9" w:hanging="9"/>
        <w:spacing w:after="0" w:line="254" w:lineRule="auto"/>
        <w:tabs>
          <w:tab w:leader="none" w:pos="209"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If requesting materials by e-mail, please send a blank e-mail with the information that is printed in the box marked by the arrow </w:t>
      </w:r>
      <w:r>
        <w:rPr>
          <w:rFonts w:ascii="Arial" w:cs="Arial" w:eastAsia="Arial" w:hAnsi="Arial"/>
          <w:sz w:val="1"/>
          <w:szCs w:val="1"/>
          <w:color w:val="auto"/>
        </w:rPr>
        <w:drawing>
          <wp:inline distT="0" distB="0" distL="0" distR="0">
            <wp:extent cx="1346200" cy="111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346200" cy="111760"/>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in the subject line.</w:t>
      </w:r>
    </w:p>
    <w:p>
      <w:pPr>
        <w:spacing w:after="0" w:line="41" w:lineRule="exact"/>
        <w:rPr>
          <w:sz w:val="20"/>
          <w:szCs w:val="20"/>
          <w:color w:val="auto"/>
        </w:rPr>
      </w:pPr>
    </w:p>
    <w:p>
      <w:pPr>
        <w:jc w:val="both"/>
        <w:ind w:left="9"/>
        <w:spacing w:after="0" w:line="246" w:lineRule="auto"/>
        <w:rPr>
          <w:sz w:val="20"/>
          <w:szCs w:val="20"/>
          <w:color w:val="auto"/>
        </w:rPr>
      </w:pPr>
      <w:r>
        <w:rPr>
          <w:rFonts w:ascii="Arial" w:cs="Arial" w:eastAsia="Arial" w:hAnsi="Arial"/>
          <w:sz w:val="18"/>
          <w:szCs w:val="18"/>
          <w:color w:val="auto"/>
        </w:rPr>
        <w:t>Requests, instructions and other inquiries sent to this e-mail address will NOT be forwarded to your investment advisor. Please make the request as instructed above on or before November 29, 2017 to facilitate timely delivery.</w:t>
      </w:r>
    </w:p>
    <w:p>
      <w:pPr>
        <w:spacing w:after="0" w:line="251" w:lineRule="exact"/>
        <w:rPr>
          <w:sz w:val="20"/>
          <w:szCs w:val="20"/>
          <w:color w:val="auto"/>
        </w:rPr>
      </w:pPr>
    </w:p>
    <w:p>
      <w:pPr>
        <w:jc w:val="center"/>
        <w:ind w:right="331"/>
        <w:spacing w:after="0"/>
        <w:rPr>
          <w:sz w:val="20"/>
          <w:szCs w:val="20"/>
          <w:color w:val="auto"/>
        </w:rPr>
      </w:pPr>
      <w:r>
        <w:rPr>
          <w:rFonts w:ascii="Arial" w:cs="Arial" w:eastAsia="Arial" w:hAnsi="Arial"/>
          <w:sz w:val="32"/>
          <w:szCs w:val="32"/>
          <w:color w:val="auto"/>
        </w:rPr>
        <w:t xml:space="preserve">— </w:t>
      </w:r>
      <w:r>
        <w:rPr>
          <w:rFonts w:ascii="Arial" w:cs="Arial" w:eastAsia="Arial" w:hAnsi="Arial"/>
          <w:sz w:val="32"/>
          <w:szCs w:val="32"/>
          <w:b w:val="1"/>
          <w:bCs w:val="1"/>
          <w:color w:val="auto"/>
        </w:rPr>
        <w:t>How To Vote</w:t>
      </w:r>
      <w:r>
        <w:rPr>
          <w:rFonts w:ascii="Arial" w:cs="Arial" w:eastAsia="Arial" w:hAnsi="Arial"/>
          <w:sz w:val="32"/>
          <w:szCs w:val="32"/>
          <w:color w:val="auto"/>
        </w:rPr>
        <w:t xml:space="preserve"> —</w:t>
      </w:r>
    </w:p>
    <w:p>
      <w:pPr>
        <w:spacing w:after="0" w:line="31" w:lineRule="exact"/>
        <w:rPr>
          <w:sz w:val="20"/>
          <w:szCs w:val="20"/>
          <w:color w:val="auto"/>
        </w:rPr>
      </w:pPr>
    </w:p>
    <w:p>
      <w:pPr>
        <w:ind w:left="2609"/>
        <w:spacing w:after="0"/>
        <w:rPr>
          <w:sz w:val="20"/>
          <w:szCs w:val="20"/>
          <w:color w:val="auto"/>
        </w:rPr>
      </w:pPr>
      <w:r>
        <w:rPr>
          <w:rFonts w:ascii="Arial" w:cs="Arial" w:eastAsia="Arial" w:hAnsi="Arial"/>
          <w:sz w:val="22"/>
          <w:szCs w:val="22"/>
          <w:color w:val="auto"/>
        </w:rPr>
        <w:t>Please Choose One of the Following Voting Methods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-356870</wp:posOffset>
            </wp:positionH>
            <wp:positionV relativeFrom="paragraph">
              <wp:posOffset>40640</wp:posOffset>
            </wp:positionV>
            <wp:extent cx="7254875" cy="10121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4875" cy="1012190"/>
                    </a:xfrm>
                    <a:prstGeom prst="rect">
                      <a:avLst/>
                    </a:prstGeom>
                    <a:noFill/>
                  </pic:spPr>
                </pic:pic>
              </a:graphicData>
            </a:graphic>
          </wp:anchor>
        </w:drawing>
      </w:r>
    </w:p>
    <w:p>
      <w:pPr>
        <w:spacing w:after="0" w:line="156" w:lineRule="exact"/>
        <w:rPr>
          <w:sz w:val="20"/>
          <w:szCs w:val="20"/>
          <w:color w:val="auto"/>
        </w:rPr>
      </w:pPr>
    </w:p>
    <w:p>
      <w:pPr>
        <w:jc w:val="both"/>
        <w:ind w:left="9"/>
        <w:spacing w:after="0" w:line="253" w:lineRule="auto"/>
        <w:rPr>
          <w:sz w:val="20"/>
          <w:szCs w:val="20"/>
          <w:color w:val="auto"/>
        </w:rPr>
      </w:pPr>
      <w:r>
        <w:rPr>
          <w:rFonts w:ascii="Arial" w:cs="Arial" w:eastAsia="Arial" w:hAnsi="Arial"/>
          <w:sz w:val="18"/>
          <w:szCs w:val="18"/>
          <w:b w:val="1"/>
          <w:bCs w:val="1"/>
          <w:color w:val="auto"/>
        </w:rPr>
        <w:t xml:space="preserve">Vote In Person: </w:t>
      </w:r>
      <w:r>
        <w:rPr>
          <w:rFonts w:ascii="Arial" w:cs="Arial" w:eastAsia="Arial" w:hAnsi="Arial"/>
          <w:sz w:val="18"/>
          <w:szCs w:val="18"/>
          <w:color w:val="auto"/>
        </w:rPr>
        <w:t>Many stockholder meetings have attendance requirements including, but not limited to, the possession of an</w:t>
      </w:r>
      <w:r>
        <w:rPr>
          <w:rFonts w:ascii="Arial" w:cs="Arial" w:eastAsia="Arial" w:hAnsi="Arial"/>
          <w:sz w:val="18"/>
          <w:szCs w:val="18"/>
          <w:b w:val="1"/>
          <w:bCs w:val="1"/>
          <w:color w:val="auto"/>
        </w:rPr>
        <w:t xml:space="preserve"> </w:t>
      </w:r>
      <w:r>
        <w:rPr>
          <w:rFonts w:ascii="Arial" w:cs="Arial" w:eastAsia="Arial" w:hAnsi="Arial"/>
          <w:sz w:val="18"/>
          <w:szCs w:val="18"/>
          <w:color w:val="auto"/>
        </w:rPr>
        <w:t>attendance ticket issued by the entity holding the meeting. Please check the meeting materials for any special requirements for meeting attendance. At the meeting, you will need to request a ballot to vote these shares.</w:t>
      </w:r>
    </w:p>
    <w:p>
      <w:pPr>
        <w:spacing w:after="0" w:line="21" w:lineRule="exact"/>
        <w:rPr>
          <w:sz w:val="20"/>
          <w:szCs w:val="20"/>
          <w:color w:val="auto"/>
        </w:rPr>
      </w:pPr>
    </w:p>
    <w:p>
      <w:pPr>
        <w:ind w:left="9"/>
        <w:spacing w:after="0"/>
        <w:rPr>
          <w:sz w:val="20"/>
          <w:szCs w:val="20"/>
          <w:color w:val="auto"/>
        </w:rPr>
      </w:pPr>
      <w:r>
        <w:rPr>
          <w:rFonts w:ascii="Arial" w:cs="Arial" w:eastAsia="Arial" w:hAnsi="Arial"/>
          <w:sz w:val="18"/>
          <w:szCs w:val="18"/>
          <w:b w:val="1"/>
          <w:bCs w:val="1"/>
          <w:color w:val="auto"/>
        </w:rPr>
        <w:t xml:space="preserve">Vote By Internet: </w:t>
      </w:r>
      <w:r>
        <w:rPr>
          <w:rFonts w:ascii="Arial" w:cs="Arial" w:eastAsia="Arial" w:hAnsi="Arial"/>
          <w:sz w:val="18"/>
          <w:szCs w:val="18"/>
          <w:color w:val="auto"/>
        </w:rPr>
        <w:t>To vote now by Internet, go to</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www.proxyvote.com.</w:t>
      </w:r>
      <w:r>
        <w:rPr>
          <w:rFonts w:ascii="Arial" w:cs="Arial" w:eastAsia="Arial" w:hAnsi="Arial"/>
          <w:sz w:val="18"/>
          <w:szCs w:val="18"/>
          <w:b w:val="1"/>
          <w:bCs w:val="1"/>
          <w:color w:val="auto"/>
        </w:rPr>
        <w:t xml:space="preserve"> </w:t>
      </w:r>
      <w:r>
        <w:rPr>
          <w:rFonts w:ascii="Arial" w:cs="Arial" w:eastAsia="Arial" w:hAnsi="Arial"/>
          <w:sz w:val="18"/>
          <w:szCs w:val="18"/>
          <w:color w:val="auto"/>
        </w:rPr>
        <w:t>Have the information that is printed in the box marked by the</w:t>
      </w:r>
    </w:p>
    <w:p>
      <w:pPr>
        <w:spacing w:after="0" w:line="18" w:lineRule="exact"/>
        <w:rPr>
          <w:sz w:val="20"/>
          <w:szCs w:val="20"/>
          <w:color w:val="auto"/>
        </w:rPr>
      </w:pPr>
    </w:p>
    <w:p>
      <w:pPr>
        <w:ind w:left="9"/>
        <w:spacing w:after="0"/>
        <w:rPr>
          <w:sz w:val="20"/>
          <w:szCs w:val="20"/>
          <w:color w:val="auto"/>
        </w:rPr>
      </w:pPr>
      <w:r>
        <w:rPr>
          <w:rFonts w:ascii="Arial" w:cs="Arial" w:eastAsia="Arial" w:hAnsi="Arial"/>
          <w:sz w:val="18"/>
          <w:szCs w:val="18"/>
          <w:color w:val="auto"/>
        </w:rPr>
        <w:t xml:space="preserve">arrow </w:t>
      </w:r>
      <w:r>
        <w:rPr>
          <w:sz w:val="1"/>
          <w:szCs w:val="1"/>
          <w:color w:val="auto"/>
        </w:rPr>
        <w:drawing>
          <wp:inline distT="0" distB="0" distL="0" distR="0">
            <wp:extent cx="1346200" cy="111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346200" cy="111760"/>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available and follow the instructions.</w:t>
      </w:r>
    </w:p>
    <w:p>
      <w:pPr>
        <w:spacing w:after="0" w:line="47" w:lineRule="exact"/>
        <w:rPr>
          <w:sz w:val="20"/>
          <w:szCs w:val="20"/>
          <w:color w:val="auto"/>
        </w:rPr>
      </w:pPr>
    </w:p>
    <w:p>
      <w:pPr>
        <w:ind w:left="9"/>
        <w:spacing w:after="0"/>
        <w:rPr>
          <w:sz w:val="20"/>
          <w:szCs w:val="20"/>
          <w:color w:val="auto"/>
        </w:rPr>
      </w:pPr>
      <w:r>
        <w:rPr>
          <w:rFonts w:ascii="Arial" w:cs="Arial" w:eastAsia="Arial" w:hAnsi="Arial"/>
          <w:sz w:val="18"/>
          <w:szCs w:val="18"/>
          <w:b w:val="1"/>
          <w:bCs w:val="1"/>
          <w:color w:val="auto"/>
        </w:rPr>
        <w:t xml:space="preserve">Vote By Mail: </w:t>
      </w:r>
      <w:r>
        <w:rPr>
          <w:rFonts w:ascii="Arial" w:cs="Arial" w:eastAsia="Arial" w:hAnsi="Arial"/>
          <w:sz w:val="18"/>
          <w:szCs w:val="18"/>
          <w:color w:val="auto"/>
        </w:rPr>
        <w:t>You can vote by mail by requesting a paper copy of the materials, which will include a proxy card.</w:t>
      </w:r>
    </w:p>
    <w:p>
      <w:pPr>
        <w:sectPr>
          <w:pgSz w:w="11900" w:h="16838" w:orient="portrait"/>
          <w:cols w:equalWidth="0" w:num="1">
            <w:col w:w="10629"/>
          </w:cols>
          <w:pgMar w:left="811" w:top="247" w:right="459" w:bottom="1440" w:gutter="0" w:footer="0" w:header="0"/>
        </w:sectPr>
      </w:pPr>
    </w:p>
    <w:bookmarkStart w:id="4" w:name="page5"/>
    <w:bookmarkEnd w:id="4"/>
    <w:p>
      <w:pPr>
        <w:ind w:left="1085"/>
        <w:spacing w:after="0"/>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286385</wp:posOffset>
            </wp:positionH>
            <wp:positionV relativeFrom="page">
              <wp:posOffset>183515</wp:posOffset>
            </wp:positionV>
            <wp:extent cx="1903730" cy="1631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903730" cy="163195"/>
                    </a:xfrm>
                    <a:prstGeom prst="rect">
                      <a:avLst/>
                    </a:prstGeom>
                    <a:noFill/>
                  </pic:spPr>
                </pic:pic>
              </a:graphicData>
            </a:graphic>
          </wp:anchor>
        </w:drawing>
        <w:t>Voting Items</w:t>
      </w:r>
    </w:p>
    <w:p>
      <w:pPr>
        <w:spacing w:after="0" w:line="222" w:lineRule="exact"/>
        <w:rPr>
          <w:sz w:val="20"/>
          <w:szCs w:val="20"/>
          <w:color w:val="auto"/>
        </w:rPr>
      </w:pPr>
    </w:p>
    <w:p>
      <w:pPr>
        <w:jc w:val="both"/>
        <w:ind w:left="5" w:right="1411"/>
        <w:spacing w:after="0" w:line="230" w:lineRule="auto"/>
        <w:rPr>
          <w:sz w:val="20"/>
          <w:szCs w:val="20"/>
          <w:color w:val="auto"/>
        </w:rPr>
      </w:pPr>
      <w:r>
        <w:rPr>
          <w:rFonts w:ascii="Arial" w:cs="Arial" w:eastAsia="Arial" w:hAnsi="Arial"/>
          <w:sz w:val="13"/>
          <w:szCs w:val="13"/>
          <w:b w:val="1"/>
          <w:bCs w:val="1"/>
          <w:color w:val="auto"/>
        </w:rPr>
        <w:t>THE BOARD OF DIRECTORS RECOMMENDS A VOTE “FOR” EACH NOMINEE IN PROPOSAL 1 BELOW, “FOR” PROPOSALS 2, 4 AND 5 AND FOR “ONE YEAR” ON PROPOSAL 3.</w:t>
      </w:r>
    </w:p>
    <w:p>
      <w:pPr>
        <w:spacing w:after="0" w:line="105" w:lineRule="exact"/>
        <w:rPr>
          <w:sz w:val="20"/>
          <w:szCs w:val="20"/>
          <w:color w:val="auto"/>
        </w:rPr>
      </w:pPr>
    </w:p>
    <w:p>
      <w:pPr>
        <w:ind w:left="425" w:hanging="425"/>
        <w:spacing w:after="0"/>
        <w:tabs>
          <w:tab w:leader="none" w:pos="425" w:val="left"/>
        </w:tabs>
        <w:numPr>
          <w:ilvl w:val="0"/>
          <w:numId w:val="8"/>
        </w:numPr>
        <w:rPr>
          <w:rFonts w:ascii="Arial" w:cs="Arial" w:eastAsia="Arial" w:hAnsi="Arial"/>
          <w:sz w:val="13"/>
          <w:szCs w:val="13"/>
          <w:color w:val="auto"/>
        </w:rPr>
      </w:pPr>
      <w:r>
        <w:rPr>
          <w:rFonts w:ascii="Arial" w:cs="Arial" w:eastAsia="Arial" w:hAnsi="Arial"/>
          <w:sz w:val="13"/>
          <w:szCs w:val="13"/>
          <w:color w:val="auto"/>
        </w:rPr>
        <w:t>Election of Directors</w:t>
      </w:r>
    </w:p>
    <w:p>
      <w:pPr>
        <w:spacing w:after="0" w:line="77"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b w:val="1"/>
          <w:bCs w:val="1"/>
          <w:color w:val="auto"/>
        </w:rPr>
        <w:t>Nominees:</w:t>
      </w:r>
    </w:p>
    <w:p>
      <w:pPr>
        <w:spacing w:after="0" w:line="109"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1a.</w:t>
      </w:r>
      <w:r>
        <w:rPr>
          <w:rFonts w:ascii="Arial" w:cs="Arial" w:eastAsia="Arial" w:hAnsi="Arial"/>
          <w:sz w:val="12"/>
          <w:szCs w:val="12"/>
          <w:color w:val="auto"/>
        </w:rPr>
        <w:t>William H. Bolinder</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1b.</w:t>
      </w:r>
      <w:r>
        <w:rPr>
          <w:rFonts w:ascii="Arial" w:cs="Arial" w:eastAsia="Arial" w:hAnsi="Arial"/>
          <w:sz w:val="12"/>
          <w:szCs w:val="12"/>
          <w:color w:val="auto"/>
        </w:rPr>
        <w:t>G. Kent Conrad</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1c.</w:t>
      </w:r>
      <w:r>
        <w:rPr>
          <w:rFonts w:ascii="Arial" w:cs="Arial" w:eastAsia="Arial" w:hAnsi="Arial"/>
          <w:sz w:val="12"/>
          <w:szCs w:val="12"/>
          <w:color w:val="auto"/>
        </w:rPr>
        <w:t>Melina E. Higgins</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1d.</w:t>
      </w:r>
      <w:r>
        <w:rPr>
          <w:rFonts w:ascii="Arial" w:cs="Arial" w:eastAsia="Arial" w:hAnsi="Arial"/>
          <w:sz w:val="12"/>
          <w:szCs w:val="12"/>
          <w:color w:val="auto"/>
        </w:rPr>
        <w:t>Thomas J. McInerney</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1e.</w:t>
      </w:r>
      <w:r>
        <w:rPr>
          <w:rFonts w:ascii="Arial" w:cs="Arial" w:eastAsia="Arial" w:hAnsi="Arial"/>
          <w:sz w:val="12"/>
          <w:szCs w:val="12"/>
          <w:color w:val="auto"/>
        </w:rPr>
        <w:t>David M. Moffett</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1f.</w:t>
      </w:r>
      <w:r>
        <w:rPr>
          <w:rFonts w:ascii="Arial" w:cs="Arial" w:eastAsia="Arial" w:hAnsi="Arial"/>
          <w:sz w:val="12"/>
          <w:szCs w:val="12"/>
          <w:color w:val="auto"/>
        </w:rPr>
        <w:t>Thomas E. Moloney</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1g.</w:t>
      </w:r>
      <w:r>
        <w:rPr>
          <w:rFonts w:ascii="Arial" w:cs="Arial" w:eastAsia="Arial" w:hAnsi="Arial"/>
          <w:sz w:val="12"/>
          <w:szCs w:val="12"/>
          <w:color w:val="auto"/>
        </w:rPr>
        <w:t>James A. Parke</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1h.</w:t>
      </w:r>
      <w:r>
        <w:rPr>
          <w:rFonts w:ascii="Arial" w:cs="Arial" w:eastAsia="Arial" w:hAnsi="Arial"/>
          <w:sz w:val="12"/>
          <w:szCs w:val="12"/>
          <w:color w:val="auto"/>
        </w:rPr>
        <w:t>Debra J. Perry</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1i.</w:t>
      </w:r>
      <w:r>
        <w:rPr>
          <w:rFonts w:ascii="Arial" w:cs="Arial" w:eastAsia="Arial" w:hAnsi="Arial"/>
          <w:sz w:val="12"/>
          <w:szCs w:val="12"/>
          <w:color w:val="auto"/>
        </w:rPr>
        <w:t>Robert P. Restrepo Jr.</w:t>
      </w:r>
    </w:p>
    <w:p>
      <w:pPr>
        <w:spacing w:after="0" w:line="201" w:lineRule="exact"/>
        <w:rPr>
          <w:rFonts w:ascii="Arial" w:cs="Arial" w:eastAsia="Arial" w:hAnsi="Arial"/>
          <w:sz w:val="13"/>
          <w:szCs w:val="13"/>
          <w:color w:val="auto"/>
        </w:rPr>
      </w:pPr>
    </w:p>
    <w:p>
      <w:pPr>
        <w:ind w:left="425"/>
        <w:spacing w:after="0"/>
        <w:rPr>
          <w:rFonts w:ascii="Arial" w:cs="Arial" w:eastAsia="Arial" w:hAnsi="Arial"/>
          <w:sz w:val="13"/>
          <w:szCs w:val="13"/>
          <w:color w:val="auto"/>
        </w:rPr>
      </w:pPr>
      <w:r>
        <w:rPr>
          <w:rFonts w:ascii="Arial" w:cs="Arial" w:eastAsia="Arial" w:hAnsi="Arial"/>
          <w:sz w:val="13"/>
          <w:szCs w:val="13"/>
          <w:color w:val="auto"/>
        </w:rPr>
        <w:t>1j.</w:t>
      </w:r>
      <w:r>
        <w:rPr>
          <w:rFonts w:ascii="Arial" w:cs="Arial" w:eastAsia="Arial" w:hAnsi="Arial"/>
          <w:sz w:val="12"/>
          <w:szCs w:val="12"/>
          <w:color w:val="auto"/>
        </w:rPr>
        <w:t>James S. Riepe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-156210</wp:posOffset>
            </wp:positionH>
            <wp:positionV relativeFrom="paragraph">
              <wp:posOffset>-4445</wp:posOffset>
            </wp:positionV>
            <wp:extent cx="77470" cy="8750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7470" cy="87503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689" w:right="359" w:hanging="689"/>
        <w:spacing w:after="0" w:line="230" w:lineRule="auto"/>
        <w:tabs>
          <w:tab w:leader="none" w:pos="689" w:val="left"/>
        </w:tabs>
        <w:numPr>
          <w:ilvl w:val="0"/>
          <w:numId w:val="9"/>
        </w:numPr>
        <w:rPr>
          <w:rFonts w:ascii="Arial" w:cs="Arial" w:eastAsia="Arial" w:hAnsi="Arial"/>
          <w:sz w:val="13"/>
          <w:szCs w:val="13"/>
          <w:color w:val="auto"/>
        </w:rPr>
      </w:pPr>
      <w:r>
        <w:rPr>
          <w:rFonts w:ascii="Arial" w:cs="Arial" w:eastAsia="Arial" w:hAnsi="Arial"/>
          <w:sz w:val="13"/>
          <w:szCs w:val="13"/>
          <w:color w:val="auto"/>
        </w:rPr>
        <w:t>Advisory vote to approve named executive officer compensation.</w:t>
      </w:r>
    </w:p>
    <w:p>
      <w:pPr>
        <w:spacing w:after="0" w:line="213" w:lineRule="exact"/>
        <w:rPr>
          <w:rFonts w:ascii="Arial" w:cs="Arial" w:eastAsia="Arial" w:hAnsi="Arial"/>
          <w:sz w:val="13"/>
          <w:szCs w:val="13"/>
          <w:color w:val="auto"/>
        </w:rPr>
      </w:pPr>
    </w:p>
    <w:p>
      <w:pPr>
        <w:ind w:left="689" w:right="359" w:hanging="689"/>
        <w:spacing w:after="0" w:line="230" w:lineRule="auto"/>
        <w:tabs>
          <w:tab w:leader="none" w:pos="689" w:val="left"/>
        </w:tabs>
        <w:numPr>
          <w:ilvl w:val="0"/>
          <w:numId w:val="9"/>
        </w:numPr>
        <w:rPr>
          <w:rFonts w:ascii="Arial" w:cs="Arial" w:eastAsia="Arial" w:hAnsi="Arial"/>
          <w:sz w:val="13"/>
          <w:szCs w:val="13"/>
          <w:color w:val="auto"/>
        </w:rPr>
      </w:pPr>
      <w:r>
        <w:rPr>
          <w:rFonts w:ascii="Arial" w:cs="Arial" w:eastAsia="Arial" w:hAnsi="Arial"/>
          <w:sz w:val="13"/>
          <w:szCs w:val="13"/>
          <w:color w:val="auto"/>
        </w:rPr>
        <w:t>Advisory vote to approve frequency of advisory vote on named executive officer compensation.</w:t>
      </w:r>
    </w:p>
    <w:p>
      <w:pPr>
        <w:spacing w:after="0" w:line="213" w:lineRule="exact"/>
        <w:rPr>
          <w:rFonts w:ascii="Arial" w:cs="Arial" w:eastAsia="Arial" w:hAnsi="Arial"/>
          <w:sz w:val="13"/>
          <w:szCs w:val="13"/>
          <w:color w:val="auto"/>
        </w:rPr>
      </w:pPr>
    </w:p>
    <w:p>
      <w:pPr>
        <w:jc w:val="both"/>
        <w:ind w:left="689" w:right="359" w:hanging="689"/>
        <w:spacing w:after="0" w:line="225" w:lineRule="auto"/>
        <w:tabs>
          <w:tab w:leader="none" w:pos="689" w:val="left"/>
        </w:tabs>
        <w:numPr>
          <w:ilvl w:val="0"/>
          <w:numId w:val="9"/>
        </w:numPr>
        <w:rPr>
          <w:rFonts w:ascii="Arial" w:cs="Arial" w:eastAsia="Arial" w:hAnsi="Arial"/>
          <w:sz w:val="13"/>
          <w:szCs w:val="13"/>
          <w:color w:val="auto"/>
        </w:rPr>
      </w:pPr>
      <w:r>
        <w:rPr>
          <w:rFonts w:ascii="Arial" w:cs="Arial" w:eastAsia="Arial" w:hAnsi="Arial"/>
          <w:sz w:val="13"/>
          <w:szCs w:val="13"/>
          <w:color w:val="auto"/>
        </w:rPr>
        <w:t>Re-approve material terms of performance goals for qualified performance-based awards under the 2012 Genworth Financial, Inc. Omnibus Incentive Plan.</w:t>
      </w:r>
    </w:p>
    <w:p>
      <w:pPr>
        <w:spacing w:after="0" w:line="214" w:lineRule="exact"/>
        <w:rPr>
          <w:rFonts w:ascii="Arial" w:cs="Arial" w:eastAsia="Arial" w:hAnsi="Arial"/>
          <w:sz w:val="13"/>
          <w:szCs w:val="13"/>
          <w:color w:val="auto"/>
        </w:rPr>
      </w:pPr>
    </w:p>
    <w:p>
      <w:pPr>
        <w:jc w:val="both"/>
        <w:ind w:left="689" w:right="359" w:hanging="689"/>
        <w:spacing w:after="0" w:line="259" w:lineRule="auto"/>
        <w:tabs>
          <w:tab w:leader="none" w:pos="689" w:val="left"/>
        </w:tabs>
        <w:numPr>
          <w:ilvl w:val="0"/>
          <w:numId w:val="9"/>
        </w:numPr>
        <w:rPr>
          <w:rFonts w:ascii="Arial" w:cs="Arial" w:eastAsia="Arial" w:hAnsi="Arial"/>
          <w:sz w:val="12"/>
          <w:szCs w:val="12"/>
          <w:color w:val="auto"/>
        </w:rPr>
      </w:pPr>
      <w:r>
        <w:rPr>
          <w:rFonts w:ascii="Arial" w:cs="Arial" w:eastAsia="Arial" w:hAnsi="Arial"/>
          <w:sz w:val="12"/>
          <w:szCs w:val="12"/>
          <w:color w:val="auto"/>
        </w:rPr>
        <w:t>Ratification of the selection of KPMG LLP as the independent registered public accounting firm for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-3862070</wp:posOffset>
            </wp:positionH>
            <wp:positionV relativeFrom="paragraph">
              <wp:posOffset>-2362835</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ectPr>
          <w:pgSz w:w="11900" w:h="16838" w:orient="portrait"/>
          <w:cols w:equalWidth="0" w:num="2">
            <w:col w:w="5096" w:space="720"/>
            <w:col w:w="4148"/>
          </w:cols>
          <w:pgMar w:left="495" w:top="315" w:right="1440" w:bottom="1440" w:gutter="0" w:footer="0" w:header="0"/>
        </w:sectPr>
      </w:pPr>
    </w:p>
    <w:bookmarkStart w:id="5" w:name="page6"/>
    <w:bookmarkEnd w:id="5"/>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2713355</wp:posOffset>
            </wp:positionV>
            <wp:extent cx="724662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2773045</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4067810</wp:posOffset>
            </wp:positionV>
            <wp:extent cx="77470" cy="8750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clrChange>
                        <a:clrFrom>
                          <a:srgbClr val="FFFFFF"/>
                        </a:clrFrom>
                        <a:clrTo>
                          <a:srgbClr val="FFFFFF">
                            <a:alpha val="0"/>
                          </a:srgbClr>
                        </a:clrTo>
                      </a:clrChange>
                      <a:extLst>
                        <a:ext uri="{28A0092B-C50C-407E-A947-70E740481C1C}"/>
                      </a:extLst>
                    </a:blip>
                    <a:srcRect/>
                    <a:stretch>
                      <a:fillRect/>
                    </a:stretch>
                  </pic:blipFill>
                  <pic:spPr bwMode="auto">
                    <a:xfrm>
                      <a:off x="0" y="0"/>
                      <a:ext cx="77470" cy="87503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
      <w:numFmt w:val="bullet"/>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
      <w:numFmt w:val="bullet"/>
      <w:start w:val="1"/>
    </w:lvl>
    <w:lvl w:ilvl="1">
      <w:lvlJc w:val="left"/>
      <w:lvlText w:val="(%2)"/>
      <w:numFmt w:val="decimal"/>
      <w:start w:val="1"/>
    </w:lvl>
  </w:abstractNum>
  <w:abstractNum w:abstractNumId="5">
    <w:nsid w:val="79E2A9E3"/>
    <w:multiLevelType w:val="hybridMultilevel"/>
    <w:lvl w:ilvl="0">
      <w:lvlJc w:val="left"/>
      <w:lvlText w:val="(%1)"/>
      <w:numFmt w:val="decimal"/>
      <w:start w:val="4"/>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1."/>
      <w:numFmt w:val="decimal"/>
      <w:start w:val="1"/>
    </w:lvl>
  </w:abstractNum>
  <w:abstractNum w:abstractNumId="8">
    <w:nsid w:val="5BD062C2"/>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2020-01-18T16:40:33Z</dcterms:created>
  <dcterms:modified xsi:type="dcterms:W3CDTF">2020-01-18T16:40:33Z</dcterms:modified>
</cp:coreProperties>
</file>