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9"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GENWORTH FINANCIAL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37247D106</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October 31, 2017</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37247D106</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51831163</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747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 53021739</w:t>
      </w:r>
    </w:p>
    <w:p>
      <w:pPr>
        <w:sectPr>
          <w:pgSz w:w="11900" w:h="16848" w:orient="portrait"/>
          <w:cols w:equalWidth="0" w:num="1">
            <w:col w:w="10219"/>
          </w:cols>
          <w:pgMar w:left="240" w:top="244" w:right="1440" w:bottom="0" w:gutter="0" w:footer="0" w:header="0"/>
        </w:sectPr>
      </w:pPr>
    </w:p>
    <w:bookmarkStart w:id="1" w:name="page2"/>
    <w:bookmarkEnd w:id="1"/>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NONE</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53021739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GENWORTH FINANCIAL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6620 WEST BROAD STREET</w:t>
      </w:r>
    </w:p>
    <w:p>
      <w:pPr>
        <w:spacing w:after="0" w:line="238" w:lineRule="auto"/>
        <w:rPr>
          <w:sz w:val="20"/>
          <w:szCs w:val="20"/>
          <w:color w:val="auto"/>
        </w:rPr>
      </w:pPr>
      <w:r>
        <w:rPr>
          <w:rFonts w:ascii="Courier New" w:cs="Courier New" w:eastAsia="Courier New" w:hAnsi="Courier New"/>
          <w:sz w:val="18"/>
          <w:szCs w:val="18"/>
          <w:color w:val="auto"/>
        </w:rPr>
        <w:t>RICHMOND VA 23230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Class A 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pacing w:after="0" w:line="4" w:lineRule="exact"/>
        <w:rPr>
          <w:rFonts w:ascii="Courier New" w:cs="Courier New" w:eastAsia="Courier New" w:hAnsi="Courier New"/>
          <w:sz w:val="18"/>
          <w:szCs w:val="18"/>
          <w:color w:val="auto"/>
        </w:rPr>
      </w:pPr>
    </w:p>
    <w:p>
      <w:pPr>
        <w:ind w:left="1280" w:right="3359" w:hanging="1272"/>
        <w:spacing w:after="0" w:line="235" w:lineRule="auto"/>
        <w:tabs>
          <w:tab w:leader="none" w:pos="227"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43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53021739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10.6%</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51831163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53021739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right="24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Various persons have the right to receive or the power to direct</w:t>
      </w:r>
    </w:p>
    <w:p>
      <w:pPr>
        <w:spacing w:after="0" w:line="238" w:lineRule="auto"/>
        <w:rPr>
          <w:sz w:val="20"/>
          <w:szCs w:val="20"/>
          <w:color w:val="auto"/>
        </w:rPr>
      </w:pPr>
      <w:r>
        <w:rPr>
          <w:rFonts w:ascii="Courier New" w:cs="Courier New" w:eastAsia="Courier New" w:hAnsi="Courier New"/>
          <w:sz w:val="18"/>
          <w:szCs w:val="18"/>
          <w:color w:val="auto"/>
        </w:rPr>
        <w:t>the receipt of dividends from, or the proceeds from the sale of</w:t>
      </w:r>
    </w:p>
    <w:p>
      <w:pPr>
        <w:spacing w:after="0"/>
        <w:rPr>
          <w:sz w:val="20"/>
          <w:szCs w:val="20"/>
          <w:color w:val="auto"/>
        </w:rPr>
      </w:pPr>
      <w:r>
        <w:rPr>
          <w:rFonts w:ascii="Courier New" w:cs="Courier New" w:eastAsia="Courier New" w:hAnsi="Courier New"/>
          <w:sz w:val="18"/>
          <w:szCs w:val="18"/>
          <w:color w:val="auto"/>
        </w:rPr>
        <w:t>the common stock of</w:t>
      </w:r>
    </w:p>
    <w:p>
      <w:pPr>
        <w:spacing w:after="0" w:line="237" w:lineRule="auto"/>
        <w:rPr>
          <w:sz w:val="20"/>
          <w:szCs w:val="20"/>
          <w:color w:val="auto"/>
        </w:rPr>
      </w:pPr>
      <w:r>
        <w:rPr>
          <w:rFonts w:ascii="Courier New" w:cs="Courier New" w:eastAsia="Courier New" w:hAnsi="Courier New"/>
          <w:sz w:val="18"/>
          <w:szCs w:val="18"/>
          <w:color w:val="auto"/>
        </w:rPr>
        <w:t>GENWORTH FINANCIAL INC.</w:t>
      </w:r>
    </w:p>
    <w:p>
      <w:pPr>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pacing w:after="0"/>
        <w:rPr>
          <w:sz w:val="20"/>
          <w:szCs w:val="20"/>
          <w:color w:val="auto"/>
        </w:rPr>
      </w:pPr>
      <w:r>
        <w:rPr>
          <w:rFonts w:ascii="Courier New" w:cs="Courier New" w:eastAsia="Courier New" w:hAnsi="Courier New"/>
          <w:sz w:val="18"/>
          <w:szCs w:val="18"/>
          <w:color w:val="auto"/>
        </w:rPr>
        <w:t>GENWORTH FINANCIAL INC</w:t>
      </w:r>
    </w:p>
    <w:p>
      <w:pPr>
        <w:spacing w:after="0" w:line="237"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November 8, 2017</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750" w:right="1440" w:bottom="537" w:gutter="0" w:footer="0" w:header="0"/>
        </w:sectPr>
      </w:pPr>
    </w:p>
    <w:bookmarkStart w:id="4" w:name="page5"/>
    <w:bookmarkEnd w:id="4"/>
    <w:p>
      <w:pPr>
        <w:spacing w:after="0"/>
        <w:rPr>
          <w:sz w:val="20"/>
          <w:szCs w:val="20"/>
          <w:color w:val="auto"/>
        </w:rPr>
      </w:pPr>
      <w:r>
        <w:rPr>
          <w:rFonts w:ascii="Courier New" w:cs="Courier New" w:eastAsia="Courier New" w:hAnsi="Courier New"/>
          <w:sz w:val="18"/>
          <w:szCs w:val="18"/>
          <w:color w:val="auto"/>
        </w:rPr>
        <w:t>Subsidiary</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(Netherlands) B.V.</w:t>
      </w:r>
    </w:p>
    <w:p>
      <w:pPr>
        <w:spacing w:after="0" w:line="238" w:lineRule="auto"/>
        <w:rPr>
          <w:sz w:val="20"/>
          <w:szCs w:val="20"/>
          <w:color w:val="auto"/>
        </w:rPr>
      </w:pPr>
      <w:r>
        <w:rPr>
          <w:rFonts w:ascii="Courier New" w:cs="Courier New" w:eastAsia="Courier New" w:hAnsi="Courier New"/>
          <w:sz w:val="18"/>
          <w:szCs w:val="18"/>
          <w:color w:val="auto"/>
        </w:rPr>
        <w:t>BlackRock Advisors, LLC</w:t>
      </w:r>
    </w:p>
    <w:p>
      <w:pPr>
        <w:spacing w:after="0"/>
        <w:rPr>
          <w:sz w:val="20"/>
          <w:szCs w:val="20"/>
          <w:color w:val="auto"/>
        </w:rPr>
      </w:pPr>
      <w:r>
        <w:rPr>
          <w:rFonts w:ascii="Courier New" w:cs="Courier New" w:eastAsia="Courier New" w:hAnsi="Courier New"/>
          <w:sz w:val="18"/>
          <w:szCs w:val="18"/>
          <w:color w:val="auto"/>
        </w:rPr>
        <w:t>BlackRock Asset Management Canada Limited</w:t>
      </w:r>
    </w:p>
    <w:p>
      <w:pPr>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spacing w:after="0" w:line="238" w:lineRule="auto"/>
        <w:rPr>
          <w:sz w:val="20"/>
          <w:szCs w:val="20"/>
          <w:color w:val="auto"/>
        </w:rPr>
      </w:pPr>
      <w:r>
        <w:rPr>
          <w:rFonts w:ascii="Courier New" w:cs="Courier New" w:eastAsia="Courier New" w:hAnsi="Courier New"/>
          <w:sz w:val="18"/>
          <w:szCs w:val="18"/>
          <w:color w:val="auto"/>
        </w:rPr>
        <w:t>BlackRock Asset Management Schweiz AG</w:t>
      </w:r>
    </w:p>
    <w:p>
      <w:pPr>
        <w:spacing w:after="0"/>
        <w:rPr>
          <w:sz w:val="20"/>
          <w:szCs w:val="20"/>
          <w:color w:val="auto"/>
        </w:rPr>
      </w:pPr>
      <w:r>
        <w:rPr>
          <w:rFonts w:ascii="Courier New" w:cs="Courier New" w:eastAsia="Courier New" w:hAnsi="Courier New"/>
          <w:sz w:val="18"/>
          <w:szCs w:val="18"/>
          <w:color w:val="auto"/>
        </w:rPr>
        <w:t>BlackRock Financial Management, Inc.</w:t>
      </w:r>
    </w:p>
    <w:p>
      <w:pPr>
        <w:spacing w:after="0" w:line="237" w:lineRule="auto"/>
        <w:rPr>
          <w:sz w:val="20"/>
          <w:szCs w:val="20"/>
          <w:color w:val="auto"/>
        </w:rPr>
      </w:pPr>
      <w:r>
        <w:rPr>
          <w:rFonts w:ascii="Courier New" w:cs="Courier New" w:eastAsia="Courier New" w:hAnsi="Courier New"/>
          <w:sz w:val="18"/>
          <w:szCs w:val="18"/>
          <w:color w:val="auto"/>
        </w:rPr>
        <w:t>BlackRock Fund Advisors*</w:t>
      </w:r>
    </w:p>
    <w:p>
      <w:pPr>
        <w:spacing w:after="0"/>
        <w:rPr>
          <w:sz w:val="20"/>
          <w:szCs w:val="20"/>
          <w:color w:val="auto"/>
        </w:rPr>
      </w:pPr>
      <w:r>
        <w:rPr>
          <w:rFonts w:ascii="Courier New" w:cs="Courier New" w:eastAsia="Courier New" w:hAnsi="Courier New"/>
          <w:sz w:val="18"/>
          <w:szCs w:val="18"/>
          <w:color w:val="auto"/>
        </w:rPr>
        <w:t>BlackRock Institutional Trust Company, N.A.</w:t>
      </w:r>
    </w:p>
    <w:p>
      <w:pPr>
        <w:spacing w:after="0" w:line="237" w:lineRule="auto"/>
        <w:rPr>
          <w:sz w:val="20"/>
          <w:szCs w:val="20"/>
          <w:color w:val="auto"/>
        </w:rPr>
      </w:pPr>
      <w:r>
        <w:rPr>
          <w:rFonts w:ascii="Courier New" w:cs="Courier New" w:eastAsia="Courier New" w:hAnsi="Courier New"/>
          <w:sz w:val="18"/>
          <w:szCs w:val="18"/>
          <w:color w:val="auto"/>
        </w:rPr>
        <w:t>BlackRock International Limited</w:t>
      </w:r>
    </w:p>
    <w:p>
      <w:pPr>
        <w:spacing w:after="0"/>
        <w:rPr>
          <w:sz w:val="20"/>
          <w:szCs w:val="20"/>
          <w:color w:val="auto"/>
        </w:rPr>
      </w:pPr>
      <w:r>
        <w:rPr>
          <w:rFonts w:ascii="Courier New" w:cs="Courier New" w:eastAsia="Courier New" w:hAnsi="Courier New"/>
          <w:sz w:val="18"/>
          <w:szCs w:val="18"/>
          <w:color w:val="auto"/>
        </w:rPr>
        <w:t>BlackRock Investment Management (Australia) Limited</w:t>
      </w:r>
    </w:p>
    <w:p>
      <w:pPr>
        <w:spacing w:after="0" w:line="237" w:lineRule="auto"/>
        <w:rPr>
          <w:sz w:val="20"/>
          <w:szCs w:val="20"/>
          <w:color w:val="auto"/>
        </w:rPr>
      </w:pPr>
      <w:r>
        <w:rPr>
          <w:rFonts w:ascii="Courier New" w:cs="Courier New" w:eastAsia="Courier New" w:hAnsi="Courier New"/>
          <w:sz w:val="18"/>
          <w:szCs w:val="18"/>
          <w:color w:val="auto"/>
        </w:rPr>
        <w:t>BlackRock Investment Management (UK) Ltd</w:t>
      </w:r>
    </w:p>
    <w:p>
      <w:pPr>
        <w:spacing w:after="0" w:line="238" w:lineRule="auto"/>
        <w:rPr>
          <w:sz w:val="20"/>
          <w:szCs w:val="20"/>
          <w:color w:val="auto"/>
        </w:rPr>
      </w:pPr>
      <w:r>
        <w:rPr>
          <w:rFonts w:ascii="Courier New" w:cs="Courier New" w:eastAsia="Courier New" w:hAnsi="Courier New"/>
          <w:sz w:val="18"/>
          <w:szCs w:val="18"/>
          <w:color w:val="auto"/>
        </w:rPr>
        <w:t>BlackRock Investment Management, LLC</w:t>
      </w:r>
    </w:p>
    <w:p>
      <w:pPr>
        <w:spacing w:after="0"/>
        <w:rPr>
          <w:sz w:val="20"/>
          <w:szCs w:val="20"/>
          <w:color w:val="auto"/>
        </w:rPr>
      </w:pPr>
      <w:r>
        <w:rPr>
          <w:rFonts w:ascii="Courier New" w:cs="Courier New" w:eastAsia="Courier New" w:hAnsi="Courier New"/>
          <w:sz w:val="18"/>
          <w:szCs w:val="18"/>
          <w:color w:val="auto"/>
        </w:rPr>
        <w:t>BlackRock Life Limited</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1]"/>
      <w:numFmt w:val="upperLetter"/>
      <w:start w:val="24"/>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2020-01-18T19:20:06Z</dcterms:created>
  <dcterms:modified xsi:type="dcterms:W3CDTF">2020-01-18T19:20:06Z</dcterms:modified>
</cp:coreProperties>
</file>