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79"/>
        <w:spacing w:after="0"/>
        <w:rPr>
          <w:sz w:val="20"/>
          <w:szCs w:val="20"/>
          <w:color w:val="auto"/>
        </w:rPr>
      </w:pPr>
      <w:r>
        <w:rPr>
          <w:rFonts w:ascii="Arial" w:cs="Arial" w:eastAsia="Arial" w:hAnsi="Arial"/>
          <w:sz w:val="17"/>
          <w:szCs w:val="17"/>
          <w:b w:val="1"/>
          <w:bCs w:val="1"/>
          <w:color w:val="auto"/>
        </w:rPr>
        <w:t>UNITED STATES</w:t>
      </w:r>
    </w:p>
    <w:p>
      <w:pPr>
        <w:spacing w:after="0" w:line="52" w:lineRule="exact"/>
        <w:rPr>
          <w:sz w:val="24"/>
          <w:szCs w:val="24"/>
          <w:color w:val="auto"/>
        </w:rPr>
      </w:pPr>
    </w:p>
    <w:p>
      <w:pPr>
        <w:jc w:val="center"/>
        <w:ind w:right="-179"/>
        <w:spacing w:after="0"/>
        <w:rPr>
          <w:sz w:val="20"/>
          <w:szCs w:val="20"/>
          <w:color w:val="auto"/>
        </w:rPr>
      </w:pPr>
      <w:r>
        <w:rPr>
          <w:rFonts w:ascii="Arial" w:cs="Arial" w:eastAsia="Arial" w:hAnsi="Arial"/>
          <w:sz w:val="17"/>
          <w:szCs w:val="17"/>
          <w:b w:val="1"/>
          <w:bCs w:val="1"/>
          <w:color w:val="auto"/>
        </w:rPr>
        <w:t>SECURITIES AND EXCHANGE COMMISSION</w:t>
      </w:r>
    </w:p>
    <w:p>
      <w:pPr>
        <w:spacing w:after="0" w:line="52" w:lineRule="exact"/>
        <w:rPr>
          <w:sz w:val="24"/>
          <w:szCs w:val="24"/>
          <w:color w:val="auto"/>
        </w:rPr>
      </w:pPr>
    </w:p>
    <w:p>
      <w:pPr>
        <w:jc w:val="center"/>
        <w:ind w:right="-179"/>
        <w:spacing w:after="0"/>
        <w:rPr>
          <w:sz w:val="20"/>
          <w:szCs w:val="20"/>
          <w:color w:val="auto"/>
        </w:rPr>
      </w:pPr>
      <w:r>
        <w:rPr>
          <w:rFonts w:ascii="Arial" w:cs="Arial" w:eastAsia="Arial" w:hAnsi="Arial"/>
          <w:sz w:val="17"/>
          <w:szCs w:val="17"/>
          <w:b w:val="1"/>
          <w:bCs w:val="1"/>
          <w:color w:val="auto"/>
        </w:rPr>
        <w:t>Washington, D.C. 20549</w:t>
      </w:r>
    </w:p>
    <w:p>
      <w:pPr>
        <w:spacing w:after="0" w:line="139" w:lineRule="exact"/>
        <w:rPr>
          <w:sz w:val="24"/>
          <w:szCs w:val="24"/>
          <w:color w:val="auto"/>
        </w:rPr>
      </w:pPr>
    </w:p>
    <w:p>
      <w:pPr>
        <w:ind w:left="5320"/>
        <w:spacing w:after="0"/>
        <w:rPr>
          <w:sz w:val="20"/>
          <w:szCs w:val="20"/>
          <w:color w:val="auto"/>
        </w:rPr>
      </w:pPr>
      <w:r>
        <w:rPr>
          <w:rFonts w:ascii="Arial" w:cs="Arial" w:eastAsia="Arial" w:hAnsi="Arial"/>
          <w:sz w:val="17"/>
          <w:szCs w:val="17"/>
          <w:b w:val="1"/>
          <w:bCs w:val="1"/>
          <w:color w:val="auto"/>
        </w:rPr>
        <w:t>FORM 8-K</w:t>
      </w:r>
    </w:p>
    <w:p>
      <w:pPr>
        <w:spacing w:after="0" w:line="139" w:lineRule="exact"/>
        <w:rPr>
          <w:sz w:val="24"/>
          <w:szCs w:val="24"/>
          <w:color w:val="auto"/>
        </w:rPr>
      </w:pPr>
    </w:p>
    <w:p>
      <w:pPr>
        <w:ind w:left="4940"/>
        <w:spacing w:after="0"/>
        <w:rPr>
          <w:sz w:val="20"/>
          <w:szCs w:val="20"/>
          <w:color w:val="auto"/>
        </w:rPr>
      </w:pPr>
      <w:r>
        <w:rPr>
          <w:rFonts w:ascii="Arial" w:cs="Arial" w:eastAsia="Arial" w:hAnsi="Arial"/>
          <w:sz w:val="17"/>
          <w:szCs w:val="17"/>
          <w:b w:val="1"/>
          <w:bCs w:val="1"/>
          <w:color w:val="auto"/>
        </w:rPr>
        <w:t>CURRENT REPORT</w:t>
      </w:r>
    </w:p>
    <w:p>
      <w:pPr>
        <w:spacing w:after="0" w:line="95" w:lineRule="exact"/>
        <w:rPr>
          <w:sz w:val="24"/>
          <w:szCs w:val="24"/>
          <w:color w:val="auto"/>
        </w:rPr>
      </w:pPr>
    </w:p>
    <w:p>
      <w:pPr>
        <w:jc w:val="center"/>
        <w:ind w:right="-179"/>
        <w:spacing w:after="0"/>
        <w:rPr>
          <w:sz w:val="20"/>
          <w:szCs w:val="20"/>
          <w:color w:val="auto"/>
        </w:rPr>
      </w:pPr>
      <w:r>
        <w:rPr>
          <w:rFonts w:ascii="Arial" w:cs="Arial" w:eastAsia="Arial" w:hAnsi="Arial"/>
          <w:sz w:val="17"/>
          <w:szCs w:val="17"/>
          <w:b w:val="1"/>
          <w:bCs w:val="1"/>
          <w:color w:val="auto"/>
        </w:rPr>
        <w:t>Pursuant to Section 13 or 15(d) of the Securities Exchange Act of 1934</w:t>
      </w:r>
    </w:p>
    <w:p>
      <w:pPr>
        <w:spacing w:after="0" w:line="265" w:lineRule="exact"/>
        <w:rPr>
          <w:sz w:val="24"/>
          <w:szCs w:val="24"/>
          <w:color w:val="auto"/>
        </w:rPr>
      </w:pPr>
    </w:p>
    <w:p>
      <w:pPr>
        <w:jc w:val="center"/>
        <w:ind w:right="-179"/>
        <w:spacing w:after="0"/>
        <w:rPr>
          <w:sz w:val="20"/>
          <w:szCs w:val="20"/>
          <w:color w:val="auto"/>
        </w:rPr>
      </w:pPr>
      <w:r>
        <w:rPr>
          <w:rFonts w:ascii="Arial" w:cs="Arial" w:eastAsia="Arial" w:hAnsi="Arial"/>
          <w:sz w:val="16"/>
          <w:szCs w:val="16"/>
          <w:color w:val="auto"/>
        </w:rPr>
        <w:t>Date of Report (Date of earliest event reported)</w:t>
      </w:r>
    </w:p>
    <w:p>
      <w:pPr>
        <w:spacing w:after="0" w:line="13" w:lineRule="exact"/>
        <w:rPr>
          <w:sz w:val="24"/>
          <w:szCs w:val="24"/>
          <w:color w:val="auto"/>
        </w:rPr>
      </w:pPr>
    </w:p>
    <w:p>
      <w:pPr>
        <w:jc w:val="center"/>
        <w:ind w:right="-179"/>
        <w:spacing w:after="0"/>
        <w:rPr>
          <w:sz w:val="20"/>
          <w:szCs w:val="20"/>
          <w:color w:val="auto"/>
        </w:rPr>
      </w:pPr>
      <w:r>
        <w:rPr>
          <w:rFonts w:ascii="Arial" w:cs="Arial" w:eastAsia="Arial" w:hAnsi="Arial"/>
          <w:sz w:val="16"/>
          <w:szCs w:val="16"/>
          <w:b w:val="1"/>
          <w:bCs w:val="1"/>
          <w:color w:val="auto"/>
        </w:rPr>
        <w:t>November 25, 2019</w:t>
      </w:r>
    </w:p>
    <w:p>
      <w:pPr>
        <w:spacing w:after="0" w:line="182" w:lineRule="exact"/>
        <w:rPr>
          <w:sz w:val="24"/>
          <w:szCs w:val="24"/>
          <w:color w:val="auto"/>
        </w:rPr>
      </w:pPr>
    </w:p>
    <w:p>
      <w:pPr>
        <w:jc w:val="center"/>
        <w:ind w:right="-179"/>
        <w:spacing w:after="0"/>
        <w:rPr>
          <w:sz w:val="20"/>
          <w:szCs w:val="20"/>
          <w:color w:val="auto"/>
        </w:rPr>
      </w:pPr>
      <w:r>
        <w:rPr>
          <w:rFonts w:ascii="Arial" w:cs="Arial" w:eastAsia="Arial" w:hAnsi="Arial"/>
          <w:sz w:val="17"/>
          <w:szCs w:val="17"/>
          <w:b w:val="1"/>
          <w:bCs w:val="1"/>
          <w:color w:val="auto"/>
        </w:rPr>
        <w:t>NELNET, INC.</w:t>
      </w:r>
    </w:p>
    <w:p>
      <w:pPr>
        <w:spacing w:after="0" w:line="21" w:lineRule="exact"/>
        <w:rPr>
          <w:sz w:val="24"/>
          <w:szCs w:val="24"/>
          <w:color w:val="auto"/>
        </w:rPr>
      </w:pPr>
    </w:p>
    <w:p>
      <w:pPr>
        <w:jc w:val="center"/>
        <w:ind w:right="-179"/>
        <w:spacing w:after="0"/>
        <w:rPr>
          <w:sz w:val="20"/>
          <w:szCs w:val="20"/>
          <w:color w:val="auto"/>
        </w:rPr>
      </w:pPr>
      <w:r>
        <w:rPr>
          <w:rFonts w:ascii="Arial" w:cs="Arial" w:eastAsia="Arial" w:hAnsi="Arial"/>
          <w:sz w:val="16"/>
          <w:szCs w:val="16"/>
          <w:color w:val="auto"/>
        </w:rPr>
        <w:t>(Exact name of registrant as specified in its charter)</w:t>
      </w:r>
    </w:p>
    <w:p>
      <w:pPr>
        <w:spacing w:after="0" w:line="24" w:lineRule="exact"/>
        <w:rPr>
          <w:sz w:val="24"/>
          <w:szCs w:val="24"/>
          <w:color w:val="auto"/>
        </w:rPr>
      </w:pPr>
    </w:p>
    <w:tbl>
      <w:tblPr>
        <w:tblLayout w:type="fixed"/>
        <w:tblInd w:w="1220" w:type="dxa"/>
        <w:tblCellMar>
          <w:top w:w="0" w:type="dxa"/>
          <w:left w:w="0" w:type="dxa"/>
          <w:bottom w:w="0" w:type="dxa"/>
          <w:right w:w="0" w:type="dxa"/>
        </w:tblCellMar>
      </w:tblPr>
      <w:tr>
        <w:trPr>
          <w:trHeight w:val="214"/>
        </w:trPr>
        <w:tc>
          <w:tcPr>
            <w:tcW w:w="20" w:type="dxa"/>
            <w:vAlign w:val="bottom"/>
          </w:tcPr>
          <w:p>
            <w:pPr>
              <w:spacing w:after="0"/>
              <w:rPr>
                <w:sz w:val="18"/>
                <w:szCs w:val="18"/>
                <w:color w:val="auto"/>
              </w:rPr>
            </w:pPr>
          </w:p>
        </w:tc>
        <w:tc>
          <w:tcPr>
            <w:tcW w:w="362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91"/>
              </w:rPr>
              <w:t>Nebraska</w:t>
            </w:r>
          </w:p>
        </w:tc>
        <w:tc>
          <w:tcPr>
            <w:tcW w:w="100" w:type="dxa"/>
            <w:vAlign w:val="bottom"/>
          </w:tcPr>
          <w:p>
            <w:pPr>
              <w:spacing w:after="0"/>
              <w:rPr>
                <w:sz w:val="18"/>
                <w:szCs w:val="18"/>
                <w:color w:val="auto"/>
              </w:rPr>
            </w:pPr>
          </w:p>
        </w:tc>
        <w:tc>
          <w:tcPr>
            <w:tcW w:w="2160" w:type="dxa"/>
            <w:vAlign w:val="bottom"/>
            <w:tcBorders>
              <w:bottom w:val="single" w:sz="8" w:color="auto"/>
            </w:tcBorders>
          </w:tcPr>
          <w:p>
            <w:pPr>
              <w:jc w:val="right"/>
              <w:ind w:right="661"/>
              <w:spacing w:after="0"/>
              <w:rPr>
                <w:sz w:val="20"/>
                <w:szCs w:val="20"/>
                <w:color w:val="auto"/>
              </w:rPr>
            </w:pPr>
            <w:r>
              <w:rPr>
                <w:rFonts w:ascii="Arial" w:cs="Arial" w:eastAsia="Arial" w:hAnsi="Arial"/>
                <w:sz w:val="16"/>
                <w:szCs w:val="16"/>
                <w:b w:val="1"/>
                <w:bCs w:val="1"/>
                <w:color w:val="auto"/>
              </w:rPr>
              <w:t>001-31924</w:t>
            </w:r>
          </w:p>
        </w:tc>
        <w:tc>
          <w:tcPr>
            <w:tcW w:w="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3000" w:type="dxa"/>
            <w:vAlign w:val="bottom"/>
            <w:tcBorders>
              <w:bottom w:val="single" w:sz="8" w:color="auto"/>
            </w:tcBorders>
            <w:gridSpan w:val="2"/>
          </w:tcPr>
          <w:p>
            <w:pPr>
              <w:jc w:val="right"/>
              <w:ind w:right="1041"/>
              <w:spacing w:after="0"/>
              <w:rPr>
                <w:sz w:val="20"/>
                <w:szCs w:val="20"/>
                <w:color w:val="auto"/>
              </w:rPr>
            </w:pPr>
            <w:r>
              <w:rPr>
                <w:rFonts w:ascii="Arial" w:cs="Arial" w:eastAsia="Arial" w:hAnsi="Arial"/>
                <w:sz w:val="16"/>
                <w:szCs w:val="16"/>
                <w:b w:val="1"/>
                <w:bCs w:val="1"/>
                <w:color w:val="auto"/>
              </w:rPr>
              <w:t>84-0748903</w:t>
            </w:r>
          </w:p>
        </w:tc>
        <w:tc>
          <w:tcPr>
            <w:tcW w:w="20" w:type="dxa"/>
            <w:vAlign w:val="bottom"/>
          </w:tcPr>
          <w:p>
            <w:pPr>
              <w:spacing w:after="0"/>
              <w:rPr>
                <w:sz w:val="18"/>
                <w:szCs w:val="18"/>
                <w:color w:val="auto"/>
              </w:rPr>
            </w:pPr>
          </w:p>
        </w:tc>
      </w:tr>
      <w:tr>
        <w:trPr>
          <w:trHeight w:val="208"/>
        </w:trPr>
        <w:tc>
          <w:tcPr>
            <w:tcW w:w="20" w:type="dxa"/>
            <w:vAlign w:val="bottom"/>
          </w:tcPr>
          <w:p>
            <w:pPr>
              <w:spacing w:after="0"/>
              <w:rPr>
                <w:sz w:val="18"/>
                <w:szCs w:val="18"/>
                <w:color w:val="auto"/>
              </w:rPr>
            </w:pPr>
          </w:p>
        </w:tc>
        <w:tc>
          <w:tcPr>
            <w:tcW w:w="3720" w:type="dxa"/>
            <w:vAlign w:val="bottom"/>
            <w:gridSpan w:val="2"/>
          </w:tcPr>
          <w:p>
            <w:pPr>
              <w:jc w:val="center"/>
              <w:ind w:right="100"/>
              <w:spacing w:after="0"/>
              <w:rPr>
                <w:sz w:val="20"/>
                <w:szCs w:val="20"/>
                <w:color w:val="auto"/>
              </w:rPr>
            </w:pPr>
            <w:r>
              <w:rPr>
                <w:rFonts w:ascii="Arial" w:cs="Arial" w:eastAsia="Arial" w:hAnsi="Arial"/>
                <w:sz w:val="16"/>
                <w:szCs w:val="16"/>
                <w:color w:val="auto"/>
                <w:w w:val="91"/>
              </w:rPr>
              <w:t>(State or other jurisdiction of incorporation)</w:t>
            </w:r>
          </w:p>
        </w:tc>
        <w:tc>
          <w:tcPr>
            <w:tcW w:w="2280" w:type="dxa"/>
            <w:vAlign w:val="bottom"/>
            <w:gridSpan w:val="3"/>
          </w:tcPr>
          <w:p>
            <w:pPr>
              <w:jc w:val="center"/>
              <w:ind w:right="100"/>
              <w:spacing w:after="0"/>
              <w:rPr>
                <w:sz w:val="20"/>
                <w:szCs w:val="20"/>
                <w:color w:val="auto"/>
              </w:rPr>
            </w:pPr>
            <w:r>
              <w:rPr>
                <w:rFonts w:ascii="Arial" w:cs="Arial" w:eastAsia="Arial" w:hAnsi="Arial"/>
                <w:sz w:val="16"/>
                <w:szCs w:val="16"/>
                <w:color w:val="auto"/>
                <w:w w:val="91"/>
              </w:rPr>
              <w:t>(Commission File Number)</w:t>
            </w:r>
          </w:p>
        </w:tc>
        <w:tc>
          <w:tcPr>
            <w:tcW w:w="40" w:type="dxa"/>
            <w:vAlign w:val="bottom"/>
          </w:tcPr>
          <w:p>
            <w:pPr>
              <w:spacing w:after="0"/>
              <w:rPr>
                <w:sz w:val="18"/>
                <w:szCs w:val="18"/>
                <w:color w:val="auto"/>
              </w:rPr>
            </w:pPr>
          </w:p>
        </w:tc>
        <w:tc>
          <w:tcPr>
            <w:tcW w:w="2960" w:type="dxa"/>
            <w:vAlign w:val="bottom"/>
          </w:tcPr>
          <w:p>
            <w:pPr>
              <w:jc w:val="right"/>
              <w:ind w:right="281"/>
              <w:spacing w:after="0"/>
              <w:rPr>
                <w:sz w:val="20"/>
                <w:szCs w:val="20"/>
                <w:color w:val="auto"/>
              </w:rPr>
            </w:pPr>
            <w:r>
              <w:rPr>
                <w:rFonts w:ascii="Arial" w:cs="Arial" w:eastAsia="Arial" w:hAnsi="Arial"/>
                <w:sz w:val="16"/>
                <w:szCs w:val="16"/>
                <w:color w:val="auto"/>
              </w:rPr>
              <w:t>(I.R.S. Employer Identification No.)</w:t>
            </w:r>
          </w:p>
        </w:tc>
        <w:tc>
          <w:tcPr>
            <w:tcW w:w="20" w:type="dxa"/>
            <w:vAlign w:val="bottom"/>
          </w:tcPr>
          <w:p>
            <w:pPr>
              <w:spacing w:after="0"/>
              <w:rPr>
                <w:sz w:val="18"/>
                <w:szCs w:val="18"/>
                <w:color w:val="auto"/>
              </w:rPr>
            </w:pPr>
          </w:p>
        </w:tc>
      </w:tr>
      <w:tr>
        <w:trPr>
          <w:trHeight w:val="517"/>
        </w:trPr>
        <w:tc>
          <w:tcPr>
            <w:tcW w:w="20" w:type="dxa"/>
            <w:vAlign w:val="bottom"/>
          </w:tcPr>
          <w:p>
            <w:pPr>
              <w:spacing w:after="0"/>
              <w:rPr>
                <w:sz w:val="24"/>
                <w:szCs w:val="24"/>
                <w:color w:val="auto"/>
              </w:rPr>
            </w:pPr>
          </w:p>
        </w:tc>
        <w:tc>
          <w:tcPr>
            <w:tcW w:w="6000" w:type="dxa"/>
            <w:vAlign w:val="bottom"/>
            <w:gridSpan w:val="5"/>
          </w:tcPr>
          <w:p>
            <w:pPr>
              <w:jc w:val="center"/>
              <w:ind w:right="60"/>
              <w:spacing w:after="0"/>
              <w:rPr>
                <w:sz w:val="20"/>
                <w:szCs w:val="20"/>
                <w:color w:val="auto"/>
              </w:rPr>
            </w:pPr>
            <w:r>
              <w:rPr>
                <w:rFonts w:ascii="Arial" w:cs="Arial" w:eastAsia="Arial" w:hAnsi="Arial"/>
                <w:sz w:val="16"/>
                <w:szCs w:val="16"/>
                <w:b w:val="1"/>
                <w:bCs w:val="1"/>
                <w:color w:val="auto"/>
                <w:w w:val="88"/>
              </w:rPr>
              <w:t>121 South 13th Street, Suite 100</w:t>
            </w:r>
          </w:p>
        </w:tc>
        <w:tc>
          <w:tcPr>
            <w:tcW w:w="40" w:type="dxa"/>
            <w:vAlign w:val="bottom"/>
          </w:tcPr>
          <w:p>
            <w:pPr>
              <w:spacing w:after="0"/>
              <w:rPr>
                <w:sz w:val="24"/>
                <w:szCs w:val="24"/>
                <w:color w:val="auto"/>
              </w:rPr>
            </w:pPr>
          </w:p>
        </w:tc>
        <w:tc>
          <w:tcPr>
            <w:tcW w:w="296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14"/>
        </w:trPr>
        <w:tc>
          <w:tcPr>
            <w:tcW w:w="20" w:type="dxa"/>
            <w:vAlign w:val="bottom"/>
            <w:tcBorders>
              <w:bottom w:val="single" w:sz="8" w:color="auto"/>
            </w:tcBorders>
          </w:tcPr>
          <w:p>
            <w:pPr>
              <w:spacing w:after="0"/>
              <w:rPr>
                <w:sz w:val="18"/>
                <w:szCs w:val="18"/>
                <w:color w:val="auto"/>
              </w:rPr>
            </w:pPr>
          </w:p>
        </w:tc>
        <w:tc>
          <w:tcPr>
            <w:tcW w:w="3720" w:type="dxa"/>
            <w:vAlign w:val="bottom"/>
            <w:tcBorders>
              <w:bottom w:val="single" w:sz="8" w:color="auto"/>
            </w:tcBorders>
            <w:gridSpan w:val="2"/>
          </w:tcPr>
          <w:p>
            <w:pPr>
              <w:ind w:left="2400"/>
              <w:spacing w:after="0"/>
              <w:rPr>
                <w:sz w:val="20"/>
                <w:szCs w:val="20"/>
                <w:color w:val="auto"/>
              </w:rPr>
            </w:pPr>
            <w:r>
              <w:rPr>
                <w:rFonts w:ascii="Arial" w:cs="Arial" w:eastAsia="Arial" w:hAnsi="Arial"/>
                <w:sz w:val="16"/>
                <w:szCs w:val="16"/>
                <w:b w:val="1"/>
                <w:bCs w:val="1"/>
                <w:color w:val="auto"/>
                <w:w w:val="94"/>
              </w:rPr>
              <w:t>Lincoln, Nebraska</w:t>
            </w:r>
          </w:p>
        </w:tc>
        <w:tc>
          <w:tcPr>
            <w:tcW w:w="216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960" w:type="dxa"/>
            <w:vAlign w:val="bottom"/>
            <w:tcBorders>
              <w:bottom w:val="single" w:sz="8" w:color="auto"/>
            </w:tcBorders>
          </w:tcPr>
          <w:p>
            <w:pPr>
              <w:jc w:val="right"/>
              <w:ind w:right="1261"/>
              <w:spacing w:after="0"/>
              <w:rPr>
                <w:sz w:val="20"/>
                <w:szCs w:val="20"/>
                <w:color w:val="auto"/>
              </w:rPr>
            </w:pPr>
            <w:r>
              <w:rPr>
                <w:rFonts w:ascii="Arial" w:cs="Arial" w:eastAsia="Arial" w:hAnsi="Arial"/>
                <w:sz w:val="16"/>
                <w:szCs w:val="16"/>
                <w:b w:val="1"/>
                <w:bCs w:val="1"/>
                <w:color w:val="auto"/>
              </w:rPr>
              <w:t>68508</w:t>
            </w:r>
          </w:p>
        </w:tc>
        <w:tc>
          <w:tcPr>
            <w:tcW w:w="20" w:type="dxa"/>
            <w:vAlign w:val="bottom"/>
            <w:tcBorders>
              <w:bottom w:val="single" w:sz="8" w:color="auto"/>
            </w:tcBorders>
          </w:tcPr>
          <w:p>
            <w:pPr>
              <w:spacing w:after="0"/>
              <w:rPr>
                <w:sz w:val="18"/>
                <w:szCs w:val="18"/>
                <w:color w:val="auto"/>
              </w:rPr>
            </w:pPr>
          </w:p>
        </w:tc>
      </w:tr>
      <w:tr>
        <w:trPr>
          <w:trHeight w:val="208"/>
        </w:trPr>
        <w:tc>
          <w:tcPr>
            <w:tcW w:w="20" w:type="dxa"/>
            <w:vAlign w:val="bottom"/>
          </w:tcPr>
          <w:p>
            <w:pPr>
              <w:spacing w:after="0"/>
              <w:rPr>
                <w:sz w:val="18"/>
                <w:szCs w:val="18"/>
                <w:color w:val="auto"/>
              </w:rPr>
            </w:pPr>
          </w:p>
        </w:tc>
        <w:tc>
          <w:tcPr>
            <w:tcW w:w="6000" w:type="dxa"/>
            <w:vAlign w:val="bottom"/>
            <w:gridSpan w:val="5"/>
          </w:tcPr>
          <w:p>
            <w:pPr>
              <w:jc w:val="center"/>
              <w:ind w:right="60"/>
              <w:spacing w:after="0"/>
              <w:rPr>
                <w:sz w:val="20"/>
                <w:szCs w:val="20"/>
                <w:color w:val="auto"/>
              </w:rPr>
            </w:pPr>
            <w:r>
              <w:rPr>
                <w:rFonts w:ascii="Arial" w:cs="Arial" w:eastAsia="Arial" w:hAnsi="Arial"/>
                <w:sz w:val="16"/>
                <w:szCs w:val="16"/>
                <w:color w:val="auto"/>
                <w:w w:val="91"/>
              </w:rPr>
              <w:t>(Address of principal executive offices)</w:t>
            </w:r>
          </w:p>
        </w:tc>
        <w:tc>
          <w:tcPr>
            <w:tcW w:w="40" w:type="dxa"/>
            <w:vAlign w:val="bottom"/>
          </w:tcPr>
          <w:p>
            <w:pPr>
              <w:spacing w:after="0"/>
              <w:rPr>
                <w:sz w:val="18"/>
                <w:szCs w:val="18"/>
                <w:color w:val="auto"/>
              </w:rPr>
            </w:pPr>
          </w:p>
        </w:tc>
        <w:tc>
          <w:tcPr>
            <w:tcW w:w="2960" w:type="dxa"/>
            <w:vAlign w:val="bottom"/>
          </w:tcPr>
          <w:p>
            <w:pPr>
              <w:jc w:val="right"/>
              <w:ind w:right="1041"/>
              <w:spacing w:after="0"/>
              <w:rPr>
                <w:sz w:val="20"/>
                <w:szCs w:val="20"/>
                <w:color w:val="auto"/>
              </w:rPr>
            </w:pPr>
            <w:r>
              <w:rPr>
                <w:rFonts w:ascii="Arial" w:cs="Arial" w:eastAsia="Arial" w:hAnsi="Arial"/>
                <w:sz w:val="16"/>
                <w:szCs w:val="16"/>
                <w:color w:val="auto"/>
              </w:rPr>
              <w:t>(Zip Code)</w:t>
            </w:r>
          </w:p>
        </w:tc>
        <w:tc>
          <w:tcPr>
            <w:tcW w:w="20" w:type="dxa"/>
            <w:vAlign w:val="bottom"/>
          </w:tcPr>
          <w:p>
            <w:pPr>
              <w:spacing w:after="0"/>
              <w:rPr>
                <w:sz w:val="18"/>
                <w:szCs w:val="18"/>
                <w:color w:val="auto"/>
              </w:rPr>
            </w:pPr>
          </w:p>
        </w:tc>
      </w:tr>
    </w:tbl>
    <w:p>
      <w:pPr>
        <w:spacing w:after="0" w:line="179" w:lineRule="exact"/>
        <w:rPr>
          <w:sz w:val="24"/>
          <w:szCs w:val="24"/>
          <w:color w:val="auto"/>
        </w:rPr>
      </w:pPr>
    </w:p>
    <w:p>
      <w:pPr>
        <w:spacing w:after="0"/>
        <w:rPr>
          <w:sz w:val="20"/>
          <w:szCs w:val="20"/>
          <w:color w:val="auto"/>
        </w:rPr>
      </w:pPr>
      <w:r>
        <w:rPr>
          <w:rFonts w:ascii="Arial" w:cs="Arial" w:eastAsia="Arial" w:hAnsi="Arial"/>
          <w:sz w:val="17"/>
          <w:szCs w:val="17"/>
          <w:color w:val="auto"/>
        </w:rPr>
        <w:t xml:space="preserve">Registrant's telephone number, including area code </w:t>
      </w:r>
      <w:r>
        <w:rPr>
          <w:rFonts w:ascii="Arial" w:cs="Arial" w:eastAsia="Arial" w:hAnsi="Arial"/>
          <w:sz w:val="17"/>
          <w:szCs w:val="17"/>
          <w:b w:val="1"/>
          <w:bCs w:val="1"/>
          <w:color w:val="auto"/>
        </w:rPr>
        <w:t>(402) 458-2370</w:t>
      </w:r>
    </w:p>
    <w:p>
      <w:pPr>
        <w:spacing w:after="0" w:line="222" w:lineRule="exact"/>
        <w:rPr>
          <w:sz w:val="24"/>
          <w:szCs w:val="24"/>
          <w:color w:val="auto"/>
        </w:rPr>
      </w:pPr>
    </w:p>
    <w:p>
      <w:pPr>
        <w:spacing w:after="0"/>
        <w:rPr>
          <w:sz w:val="20"/>
          <w:szCs w:val="20"/>
          <w:color w:val="auto"/>
        </w:rPr>
      </w:pPr>
      <w:r>
        <w:rPr>
          <w:rFonts w:ascii="Arial" w:cs="Arial" w:eastAsia="Arial" w:hAnsi="Arial"/>
          <w:sz w:val="15"/>
          <w:szCs w:val="15"/>
          <w:color w:val="auto"/>
        </w:rPr>
        <w:t>Check the appropriate box below if the Form 8-K filing is intended to simultaneously satisfy the filing obligation of the registrant under any of the following provisions:</w:t>
      </w:r>
    </w:p>
    <w:p>
      <w:pPr>
        <w:spacing w:after="0" w:line="140" w:lineRule="exact"/>
        <w:rPr>
          <w:sz w:val="24"/>
          <w:szCs w:val="24"/>
          <w:color w:val="auto"/>
        </w:rPr>
      </w:pPr>
    </w:p>
    <w:p>
      <w:pPr>
        <w:ind w:left="180" w:hanging="174"/>
        <w:spacing w:after="0"/>
        <w:tabs>
          <w:tab w:leader="none" w:pos="180" w:val="left"/>
        </w:tabs>
        <w:numPr>
          <w:ilvl w:val="0"/>
          <w:numId w:val="1"/>
        </w:numPr>
        <w:rPr>
          <w:rFonts w:ascii="MS PGothic" w:cs="MS PGothic" w:eastAsia="MS PGothic" w:hAnsi="MS PGothic"/>
          <w:sz w:val="14"/>
          <w:szCs w:val="14"/>
          <w:color w:val="auto"/>
        </w:rPr>
      </w:pPr>
      <w:r>
        <w:rPr>
          <w:rFonts w:ascii="Arial" w:cs="Arial" w:eastAsia="Arial" w:hAnsi="Arial"/>
          <w:sz w:val="16"/>
          <w:szCs w:val="16"/>
          <w:color w:val="auto"/>
        </w:rPr>
        <w:t>Written communications pursuant to Rule 425 under the Securities Act (17 CFR 230.425)</w:t>
      </w:r>
    </w:p>
    <w:p>
      <w:pPr>
        <w:spacing w:after="0" w:line="128" w:lineRule="exact"/>
        <w:rPr>
          <w:rFonts w:ascii="MS PGothic" w:cs="MS PGothic" w:eastAsia="MS PGothic" w:hAnsi="MS PGothic"/>
          <w:sz w:val="14"/>
          <w:szCs w:val="14"/>
          <w:color w:val="auto"/>
        </w:rPr>
      </w:pPr>
    </w:p>
    <w:p>
      <w:pPr>
        <w:ind w:left="180" w:hanging="174"/>
        <w:spacing w:after="0"/>
        <w:tabs>
          <w:tab w:leader="none" w:pos="180" w:val="left"/>
        </w:tabs>
        <w:numPr>
          <w:ilvl w:val="0"/>
          <w:numId w:val="1"/>
        </w:numPr>
        <w:rPr>
          <w:rFonts w:ascii="MS PGothic" w:cs="MS PGothic" w:eastAsia="MS PGothic" w:hAnsi="MS PGothic"/>
          <w:sz w:val="14"/>
          <w:szCs w:val="14"/>
          <w:color w:val="auto"/>
        </w:rPr>
      </w:pPr>
      <w:r>
        <w:rPr>
          <w:rFonts w:ascii="Arial" w:cs="Arial" w:eastAsia="Arial" w:hAnsi="Arial"/>
          <w:sz w:val="16"/>
          <w:szCs w:val="16"/>
          <w:color w:val="auto"/>
        </w:rPr>
        <w:t>Soliciting material pursuant to Rule 14a-12 under the Exchange Act (17 CFR 240.14a-12)</w:t>
      </w:r>
    </w:p>
    <w:p>
      <w:pPr>
        <w:spacing w:after="0" w:line="128" w:lineRule="exact"/>
        <w:rPr>
          <w:rFonts w:ascii="MS PGothic" w:cs="MS PGothic" w:eastAsia="MS PGothic" w:hAnsi="MS PGothic"/>
          <w:sz w:val="14"/>
          <w:szCs w:val="14"/>
          <w:color w:val="auto"/>
        </w:rPr>
      </w:pPr>
    </w:p>
    <w:p>
      <w:pPr>
        <w:ind w:left="260" w:right="5540" w:hanging="254"/>
        <w:spacing w:after="0" w:line="399" w:lineRule="auto"/>
        <w:tabs>
          <w:tab w:leader="none" w:pos="170" w:val="left"/>
        </w:tabs>
        <w:numPr>
          <w:ilvl w:val="0"/>
          <w:numId w:val="1"/>
        </w:numPr>
        <w:rPr>
          <w:rFonts w:ascii="MS PGothic" w:cs="MS PGothic" w:eastAsia="MS PGothic" w:hAnsi="MS PGothic"/>
          <w:sz w:val="14"/>
          <w:szCs w:val="14"/>
          <w:color w:val="auto"/>
        </w:rPr>
      </w:pPr>
      <w:r>
        <w:rPr>
          <w:rFonts w:ascii="Arial" w:cs="Arial" w:eastAsia="Arial" w:hAnsi="Arial"/>
          <w:sz w:val="16"/>
          <w:szCs w:val="16"/>
          <w:color w:val="auto"/>
        </w:rPr>
        <w:t>Pre-commencement communications pursuant to Rule 14d-2(b) under the Exchange Act (17 CFR 240.14d-2(b))</w:t>
      </w:r>
    </w:p>
    <w:p>
      <w:pPr>
        <w:spacing w:after="0" w:line="13" w:lineRule="exact"/>
        <w:rPr>
          <w:rFonts w:ascii="MS PGothic" w:cs="MS PGothic" w:eastAsia="MS PGothic" w:hAnsi="MS PGothic"/>
          <w:sz w:val="14"/>
          <w:szCs w:val="14"/>
          <w:color w:val="auto"/>
        </w:rPr>
      </w:pPr>
    </w:p>
    <w:p>
      <w:pPr>
        <w:ind w:left="260" w:right="5560" w:hanging="254"/>
        <w:spacing w:after="0" w:line="429" w:lineRule="auto"/>
        <w:tabs>
          <w:tab w:leader="none" w:pos="170" w:val="left"/>
        </w:tabs>
        <w:numPr>
          <w:ilvl w:val="0"/>
          <w:numId w:val="1"/>
        </w:numPr>
        <w:rPr>
          <w:rFonts w:ascii="MS PGothic" w:cs="MS PGothic" w:eastAsia="MS PGothic" w:hAnsi="MS PGothic"/>
          <w:sz w:val="14"/>
          <w:szCs w:val="14"/>
          <w:color w:val="auto"/>
        </w:rPr>
      </w:pPr>
      <w:r>
        <w:rPr>
          <w:rFonts w:ascii="Arial" w:cs="Arial" w:eastAsia="Arial" w:hAnsi="Arial"/>
          <w:sz w:val="16"/>
          <w:szCs w:val="16"/>
          <w:color w:val="auto"/>
        </w:rPr>
        <w:t>Pre-commencement communications pursuant to Rule 13e-4(c) under the Exchange Act (17 CFR 240.13e-4(c))</w:t>
      </w:r>
    </w:p>
    <w:p>
      <w:pPr>
        <w:spacing w:after="0" w:line="54" w:lineRule="exact"/>
        <w:rPr>
          <w:sz w:val="24"/>
          <w:szCs w:val="24"/>
          <w:color w:val="auto"/>
        </w:rPr>
      </w:pPr>
    </w:p>
    <w:p>
      <w:pPr>
        <w:spacing w:after="0"/>
        <w:rPr>
          <w:sz w:val="20"/>
          <w:szCs w:val="20"/>
          <w:color w:val="auto"/>
        </w:rPr>
      </w:pPr>
      <w:r>
        <w:rPr>
          <w:rFonts w:ascii="Arial" w:cs="Arial" w:eastAsia="Arial" w:hAnsi="Arial"/>
          <w:sz w:val="16"/>
          <w:szCs w:val="16"/>
          <w:color w:val="auto"/>
        </w:rPr>
        <w:t>Securities registered pursuant to Section 12(b) of the Act:</w:t>
      </w:r>
    </w:p>
    <w:p>
      <w:pPr>
        <w:spacing w:after="0" w:line="145" w:lineRule="exact"/>
        <w:rPr>
          <w:sz w:val="24"/>
          <w:szCs w:val="24"/>
          <w:color w:val="auto"/>
        </w:rPr>
      </w:pPr>
    </w:p>
    <w:tbl>
      <w:tblPr>
        <w:tblLayout w:type="fixed"/>
        <w:tblInd w:w="290" w:type="dxa"/>
        <w:tblCellMar>
          <w:top w:w="0" w:type="dxa"/>
          <w:left w:w="0" w:type="dxa"/>
          <w:bottom w:w="0" w:type="dxa"/>
          <w:right w:w="0" w:type="dxa"/>
        </w:tblCellMar>
      </w:tblPr>
      <w:tr>
        <w:trPr>
          <w:trHeight w:val="189"/>
        </w:trPr>
        <w:tc>
          <w:tcPr>
            <w:tcW w:w="4420" w:type="dxa"/>
            <w:vAlign w:val="bottom"/>
            <w:tcBorders>
              <w:top w:val="single" w:sz="8" w:color="auto"/>
              <w:left w:val="single" w:sz="8" w:color="auto"/>
              <w:right w:val="single" w:sz="8" w:color="auto"/>
            </w:tcBorders>
          </w:tcPr>
          <w:p>
            <w:pPr>
              <w:jc w:val="center"/>
              <w:spacing w:after="0"/>
              <w:rPr>
                <w:sz w:val="20"/>
                <w:szCs w:val="20"/>
                <w:color w:val="auto"/>
              </w:rPr>
            </w:pPr>
            <w:r>
              <w:rPr>
                <w:rFonts w:ascii="Arial" w:cs="Arial" w:eastAsia="Arial" w:hAnsi="Arial"/>
                <w:sz w:val="13"/>
                <w:szCs w:val="13"/>
                <w:color w:val="auto"/>
                <w:w w:val="90"/>
              </w:rPr>
              <w:t>Title of each class</w:t>
            </w:r>
          </w:p>
        </w:tc>
        <w:tc>
          <w:tcPr>
            <w:tcW w:w="216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3"/>
                <w:szCs w:val="13"/>
                <w:color w:val="auto"/>
                <w:w w:val="92"/>
              </w:rPr>
              <w:t>Trading Symbol</w:t>
            </w:r>
          </w:p>
        </w:tc>
        <w:tc>
          <w:tcPr>
            <w:tcW w:w="436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3"/>
                <w:szCs w:val="13"/>
                <w:color w:val="auto"/>
                <w:w w:val="88"/>
              </w:rPr>
              <w:t>Name of each exchange on which registered</w:t>
            </w:r>
          </w:p>
        </w:tc>
      </w:tr>
      <w:tr>
        <w:trPr>
          <w:trHeight w:val="27"/>
        </w:trPr>
        <w:tc>
          <w:tcPr>
            <w:tcW w:w="4420" w:type="dxa"/>
            <w:vAlign w:val="bottom"/>
            <w:tcBorders>
              <w:left w:val="single" w:sz="8" w:color="auto"/>
              <w:bottom w:val="single" w:sz="8" w:color="auto"/>
              <w:right w:val="single" w:sz="8" w:color="auto"/>
            </w:tcBorders>
          </w:tcPr>
          <w:p>
            <w:pPr>
              <w:spacing w:after="0"/>
              <w:rPr>
                <w:sz w:val="2"/>
                <w:szCs w:val="2"/>
                <w:color w:val="auto"/>
              </w:rPr>
            </w:pPr>
          </w:p>
        </w:tc>
        <w:tc>
          <w:tcPr>
            <w:tcW w:w="2160" w:type="dxa"/>
            <w:vAlign w:val="bottom"/>
            <w:tcBorders>
              <w:bottom w:val="single" w:sz="8" w:color="auto"/>
              <w:right w:val="single" w:sz="8" w:color="auto"/>
            </w:tcBorders>
          </w:tcPr>
          <w:p>
            <w:pPr>
              <w:spacing w:after="0"/>
              <w:rPr>
                <w:sz w:val="2"/>
                <w:szCs w:val="2"/>
                <w:color w:val="auto"/>
              </w:rPr>
            </w:pPr>
          </w:p>
        </w:tc>
        <w:tc>
          <w:tcPr>
            <w:tcW w:w="4360" w:type="dxa"/>
            <w:vAlign w:val="bottom"/>
            <w:tcBorders>
              <w:bottom w:val="single" w:sz="8" w:color="auto"/>
              <w:right w:val="single" w:sz="8" w:color="auto"/>
            </w:tcBorders>
          </w:tcPr>
          <w:p>
            <w:pPr>
              <w:spacing w:after="0"/>
              <w:rPr>
                <w:sz w:val="2"/>
                <w:szCs w:val="2"/>
                <w:color w:val="auto"/>
              </w:rPr>
            </w:pPr>
          </w:p>
        </w:tc>
      </w:tr>
      <w:tr>
        <w:trPr>
          <w:trHeight w:val="169"/>
        </w:trPr>
        <w:tc>
          <w:tcPr>
            <w:tcW w:w="4420" w:type="dxa"/>
            <w:vAlign w:val="bottom"/>
            <w:tcBorders>
              <w:left w:val="single" w:sz="8" w:color="auto"/>
              <w:right w:val="single" w:sz="8" w:color="auto"/>
            </w:tcBorders>
          </w:tcPr>
          <w:p>
            <w:pPr>
              <w:jc w:val="center"/>
              <w:spacing w:after="0"/>
              <w:rPr>
                <w:sz w:val="20"/>
                <w:szCs w:val="20"/>
                <w:color w:val="auto"/>
              </w:rPr>
            </w:pPr>
            <w:r>
              <w:rPr>
                <w:rFonts w:ascii="Arial" w:cs="Arial" w:eastAsia="Arial" w:hAnsi="Arial"/>
                <w:sz w:val="13"/>
                <w:szCs w:val="13"/>
                <w:color w:val="auto"/>
                <w:w w:val="89"/>
              </w:rPr>
              <w:t>Class A Common Stock, Par Value $0.01 per Share</w:t>
            </w:r>
          </w:p>
        </w:tc>
        <w:tc>
          <w:tcPr>
            <w:tcW w:w="2160" w:type="dxa"/>
            <w:vAlign w:val="bottom"/>
            <w:tcBorders>
              <w:right w:val="single" w:sz="8" w:color="auto"/>
            </w:tcBorders>
          </w:tcPr>
          <w:p>
            <w:pPr>
              <w:jc w:val="center"/>
              <w:spacing w:after="0"/>
              <w:rPr>
                <w:sz w:val="20"/>
                <w:szCs w:val="20"/>
                <w:color w:val="auto"/>
              </w:rPr>
            </w:pPr>
            <w:r>
              <w:rPr>
                <w:rFonts w:ascii="Arial" w:cs="Arial" w:eastAsia="Arial" w:hAnsi="Arial"/>
                <w:sz w:val="13"/>
                <w:szCs w:val="13"/>
                <w:color w:val="auto"/>
              </w:rPr>
              <w:t>NNI</w:t>
            </w:r>
          </w:p>
        </w:tc>
        <w:tc>
          <w:tcPr>
            <w:tcW w:w="4360" w:type="dxa"/>
            <w:vAlign w:val="bottom"/>
            <w:tcBorders>
              <w:right w:val="single" w:sz="8" w:color="auto"/>
            </w:tcBorders>
          </w:tcPr>
          <w:p>
            <w:pPr>
              <w:jc w:val="center"/>
              <w:spacing w:after="0"/>
              <w:rPr>
                <w:sz w:val="20"/>
                <w:szCs w:val="20"/>
                <w:color w:val="auto"/>
              </w:rPr>
            </w:pPr>
            <w:r>
              <w:rPr>
                <w:rFonts w:ascii="Arial" w:cs="Arial" w:eastAsia="Arial" w:hAnsi="Arial"/>
                <w:sz w:val="13"/>
                <w:szCs w:val="13"/>
                <w:color w:val="auto"/>
                <w:w w:val="90"/>
              </w:rPr>
              <w:t>New York Stock Exchange</w:t>
            </w:r>
          </w:p>
        </w:tc>
      </w:tr>
      <w:tr>
        <w:trPr>
          <w:trHeight w:val="27"/>
        </w:trPr>
        <w:tc>
          <w:tcPr>
            <w:tcW w:w="4420" w:type="dxa"/>
            <w:vAlign w:val="bottom"/>
            <w:tcBorders>
              <w:left w:val="single" w:sz="8" w:color="auto"/>
              <w:bottom w:val="single" w:sz="8" w:color="auto"/>
              <w:right w:val="single" w:sz="8" w:color="auto"/>
            </w:tcBorders>
          </w:tcPr>
          <w:p>
            <w:pPr>
              <w:spacing w:after="0"/>
              <w:rPr>
                <w:sz w:val="2"/>
                <w:szCs w:val="2"/>
                <w:color w:val="auto"/>
              </w:rPr>
            </w:pPr>
          </w:p>
        </w:tc>
        <w:tc>
          <w:tcPr>
            <w:tcW w:w="2160" w:type="dxa"/>
            <w:vAlign w:val="bottom"/>
            <w:tcBorders>
              <w:bottom w:val="single" w:sz="8" w:color="auto"/>
              <w:right w:val="single" w:sz="8" w:color="auto"/>
            </w:tcBorders>
          </w:tcPr>
          <w:p>
            <w:pPr>
              <w:spacing w:after="0"/>
              <w:rPr>
                <w:sz w:val="2"/>
                <w:szCs w:val="2"/>
                <w:color w:val="auto"/>
              </w:rPr>
            </w:pPr>
          </w:p>
        </w:tc>
        <w:tc>
          <w:tcPr>
            <w:tcW w:w="4360" w:type="dxa"/>
            <w:vAlign w:val="bottom"/>
            <w:tcBorders>
              <w:bottom w:val="single" w:sz="8" w:color="auto"/>
              <w:right w:val="single" w:sz="8" w:color="auto"/>
            </w:tcBorders>
          </w:tcPr>
          <w:p>
            <w:pPr>
              <w:spacing w:after="0"/>
              <w:rPr>
                <w:sz w:val="2"/>
                <w:szCs w:val="2"/>
                <w:color w:val="auto"/>
              </w:rPr>
            </w:pPr>
          </w:p>
        </w:tc>
      </w:tr>
    </w:tbl>
    <w:p>
      <w:pPr>
        <w:spacing w:after="0" w:line="244" w:lineRule="exact"/>
        <w:rPr>
          <w:sz w:val="24"/>
          <w:szCs w:val="24"/>
          <w:color w:val="auto"/>
        </w:rPr>
      </w:pPr>
    </w:p>
    <w:p>
      <w:pPr>
        <w:spacing w:after="0" w:line="248" w:lineRule="auto"/>
        <w:rPr>
          <w:sz w:val="20"/>
          <w:szCs w:val="20"/>
          <w:color w:val="auto"/>
        </w:rPr>
      </w:pPr>
      <w:r>
        <w:rPr>
          <w:rFonts w:ascii="Arial" w:cs="Arial" w:eastAsia="Arial" w:hAnsi="Arial"/>
          <w:sz w:val="16"/>
          <w:szCs w:val="16"/>
          <w:color w:val="auto"/>
        </w:rPr>
        <w:t>Indicate by check mark whether the registrant is an emerging growth company as defined in Rule 405 of the Securities Act of 1933 (§230.405 of this chapter) or Rule 12b-2 of the Securities Exchange Act of 1934 (§240.12b-2 of this chapter).</w:t>
      </w:r>
    </w:p>
    <w:p>
      <w:pPr>
        <w:jc w:val="center"/>
        <w:ind w:right="80"/>
        <w:spacing w:after="0" w:line="184" w:lineRule="exact"/>
        <w:rPr>
          <w:sz w:val="20"/>
          <w:szCs w:val="20"/>
          <w:color w:val="auto"/>
        </w:rPr>
      </w:pPr>
      <w:r>
        <w:rPr>
          <w:rFonts w:ascii="Arial" w:cs="Arial" w:eastAsia="Arial" w:hAnsi="Arial"/>
          <w:sz w:val="16"/>
          <w:szCs w:val="16"/>
          <w:color w:val="auto"/>
        </w:rPr>
        <w:t xml:space="preserve">Emerging growth company </w:t>
      </w:r>
      <w:r>
        <w:rPr>
          <w:rFonts w:ascii="MS PGothic" w:cs="MS PGothic" w:eastAsia="MS PGothic" w:hAnsi="MS PGothic"/>
          <w:sz w:val="14"/>
          <w:szCs w:val="14"/>
          <w:color w:val="auto"/>
        </w:rPr>
        <w:t>☐</w:t>
      </w:r>
    </w:p>
    <w:p>
      <w:pPr>
        <w:spacing w:after="0" w:line="158" w:lineRule="exact"/>
        <w:rPr>
          <w:sz w:val="24"/>
          <w:szCs w:val="24"/>
          <w:color w:val="auto"/>
        </w:rPr>
      </w:pPr>
    </w:p>
    <w:p>
      <w:pPr>
        <w:ind w:right="320"/>
        <w:spacing w:after="0" w:line="198" w:lineRule="exact"/>
        <w:rPr>
          <w:sz w:val="20"/>
          <w:szCs w:val="20"/>
          <w:color w:val="auto"/>
        </w:rPr>
      </w:pPr>
      <w:r>
        <w:rPr>
          <w:rFonts w:ascii="Arial" w:cs="Arial" w:eastAsia="Arial" w:hAnsi="Arial"/>
          <w:sz w:val="16"/>
          <w:szCs w:val="16"/>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4"/>
          <w:szCs w:val="14"/>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-8255</wp:posOffset>
            </wp:positionH>
            <wp:positionV relativeFrom="paragraph">
              <wp:posOffset>628015</wp:posOffset>
            </wp:positionV>
            <wp:extent cx="7299960" cy="393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99960" cy="39370"/>
                    </a:xfrm>
                    <a:prstGeom prst="rect">
                      <a:avLst/>
                    </a:prstGeom>
                    <a:noFill/>
                  </pic:spPr>
                </pic:pic>
              </a:graphicData>
            </a:graphic>
          </wp:anchor>
        </w:drawing>
      </w:r>
    </w:p>
    <w:p>
      <w:pPr>
        <w:sectPr>
          <w:pgSz w:w="11900" w:h="16838" w:orient="portrait"/>
          <w:cols w:equalWidth="0" w:num="1">
            <w:col w:w="11300"/>
          </w:cols>
          <w:pgMar w:left="220" w:top="828" w:right="379" w:bottom="1440" w:gutter="0" w:footer="0" w:header="0"/>
        </w:sectPr>
      </w:pPr>
    </w:p>
    <w:bookmarkStart w:id="1" w:name="page2"/>
    <w:bookmarkEnd w:id="1"/>
    <w:p>
      <w:pPr>
        <w:spacing w:after="0"/>
        <w:rPr>
          <w:sz w:val="20"/>
          <w:szCs w:val="20"/>
          <w:color w:val="auto"/>
        </w:rPr>
      </w:pPr>
      <w:r>
        <w:rPr>
          <w:rFonts w:ascii="Arial" w:cs="Arial" w:eastAsia="Arial" w:hAnsi="Arial"/>
          <w:sz w:val="16"/>
          <w:szCs w:val="16"/>
          <w:b w:val="1"/>
          <w:bCs w:val="1"/>
          <w:color w:val="auto"/>
        </w:rPr>
        <w:t>.01 Entry into a Material Definitive Agreement.</w:t>
      </w:r>
    </w:p>
    <w:p>
      <w:pPr>
        <w:spacing w:after="0" w:line="133" w:lineRule="exact"/>
        <w:rPr>
          <w:sz w:val="20"/>
          <w:szCs w:val="20"/>
          <w:color w:val="auto"/>
        </w:rPr>
      </w:pPr>
    </w:p>
    <w:p>
      <w:pPr>
        <w:jc w:val="both"/>
        <w:ind w:left="80"/>
        <w:spacing w:after="0" w:line="262" w:lineRule="auto"/>
        <w:rPr>
          <w:sz w:val="20"/>
          <w:szCs w:val="20"/>
          <w:color w:val="auto"/>
        </w:rPr>
      </w:pPr>
      <w:r>
        <w:rPr>
          <w:rFonts w:ascii="Arial" w:cs="Arial" w:eastAsia="Arial" w:hAnsi="Arial"/>
          <w:sz w:val="14"/>
          <w:szCs w:val="14"/>
          <w:color w:val="auto"/>
        </w:rPr>
        <w:t>On November 25, 2019, each of Nelnet Servicing, LLC ("Nelnet Servicing") and Great Lakes Educational Loan Services, Inc. ("Great Lakes"), both subsidiaries of Nelnet, Inc. (the "Company"), received a Modification of Contract (each a "Modification," and collectively the “Modifications”) from the United States Department of Education (the "Department"), pursuant to which the Department modified the indefinite quantity clause under the previously reported student loan servicing contracts between the Department and each of Nelnet Servicing and Great Lakes (the "Servicing Contracts") to allow the Department to continue to order student loan servicing services under the Servicing Contracts for a period of up to an additional two years from December 15, 2019 through December 14, 2021. On November 26, 2019, Nelnet Servicing and Great Lakes each received an Order For Commercial Items from the Department under their respective Servicing Contracts, ordering student loan servicing services for the period from December 15, 2019 through December 14, 2020, and providing for two potential additional six-month orders for such services at the Department’s option. As previously reported by the Company, Nelnet Servicing and Great Lakes are two of four private sector companies awarded a student loan servicing contract by the Department in June 2009 to provide additional servicing capacity for loans owned by the Department, with five additional not-for-profit servicers subsequently added by the Department, and with new loan volume currently being allocated among the total of nine servicers based on certain performance metrics established by the Department. Prior to the Modifications, the Servicing Contracts provided for expiration on December 15, 2019, which reflected previous modifications reported by the Company in a Current Report on Form 8-K filed on May 17, 2019. Loan servicing volumes under the Servicing Contracts, as amended by the Modifications, will remain subject to the existing terms and conditions of the Servicing Contracts.</w:t>
      </w:r>
    </w:p>
    <w:p>
      <w:pPr>
        <w:spacing w:after="0" w:line="154" w:lineRule="exact"/>
        <w:rPr>
          <w:sz w:val="20"/>
          <w:szCs w:val="20"/>
          <w:color w:val="auto"/>
        </w:rPr>
      </w:pPr>
    </w:p>
    <w:p>
      <w:pPr>
        <w:ind w:left="80"/>
        <w:spacing w:after="0"/>
        <w:rPr>
          <w:sz w:val="20"/>
          <w:szCs w:val="20"/>
          <w:color w:val="auto"/>
        </w:rPr>
      </w:pPr>
      <w:r>
        <w:rPr>
          <w:rFonts w:ascii="Arial" w:cs="Arial" w:eastAsia="Arial" w:hAnsi="Arial"/>
          <w:sz w:val="16"/>
          <w:szCs w:val="16"/>
          <w:color w:val="auto"/>
        </w:rPr>
        <w:t>Copies of the Modifications received by Nelnet Servicing and Great Lakes are filed as Exhibits 10.1 and 10.2, respectively, to this report.</w:t>
      </w:r>
    </w:p>
    <w:p>
      <w:pPr>
        <w:spacing w:after="0" w:line="182" w:lineRule="exact"/>
        <w:rPr>
          <w:sz w:val="20"/>
          <w:szCs w:val="20"/>
          <w:color w:val="auto"/>
        </w:rPr>
      </w:pPr>
    </w:p>
    <w:p>
      <w:pPr>
        <w:jc w:val="both"/>
        <w:ind w:left="80"/>
        <w:spacing w:after="0" w:line="246" w:lineRule="auto"/>
        <w:rPr>
          <w:sz w:val="20"/>
          <w:szCs w:val="20"/>
          <w:color w:val="auto"/>
        </w:rPr>
      </w:pPr>
      <w:r>
        <w:rPr>
          <w:rFonts w:ascii="Arial" w:cs="Arial" w:eastAsia="Arial" w:hAnsi="Arial"/>
          <w:sz w:val="16"/>
          <w:szCs w:val="16"/>
          <w:color w:val="auto"/>
        </w:rPr>
        <w:t>In addition, Nelnet Servicing’s current Authority to Operate as a loan servicer for the Department, which was previously scheduled to expire on December 13, 2019, has been extended through November 2022.</w:t>
      </w:r>
    </w:p>
    <w:p>
      <w:pPr>
        <w:spacing w:after="0" w:line="158"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.01 Financial Statements and Exhibits.</w:t>
      </w:r>
    </w:p>
    <w:p>
      <w:pPr>
        <w:spacing w:after="0" w:line="133" w:lineRule="exact"/>
        <w:rPr>
          <w:sz w:val="20"/>
          <w:szCs w:val="20"/>
          <w:color w:val="auto"/>
        </w:rPr>
      </w:pPr>
    </w:p>
    <w:p>
      <w:pPr>
        <w:ind w:left="80"/>
        <w:spacing w:after="0"/>
        <w:rPr>
          <w:sz w:val="20"/>
          <w:szCs w:val="20"/>
          <w:color w:val="auto"/>
        </w:rPr>
      </w:pPr>
      <w:r>
        <w:rPr>
          <w:rFonts w:ascii="Arial" w:cs="Arial" w:eastAsia="Arial" w:hAnsi="Arial"/>
          <w:sz w:val="16"/>
          <w:szCs w:val="16"/>
          <w:color w:val="auto"/>
        </w:rPr>
        <w:t>(d) Exhibits. The following exhibits are filed as part of this report:</w:t>
      </w:r>
    </w:p>
    <w:p>
      <w:pPr>
        <w:sectPr>
          <w:pgSz w:w="11900" w:h="16838" w:orient="portrait"/>
          <w:cols w:equalWidth="0" w:num="1">
            <w:col w:w="11540"/>
          </w:cols>
          <w:pgMar w:left="140" w:top="735" w:right="219" w:bottom="1440" w:gutter="0" w:footer="0" w:header="0"/>
        </w:sectPr>
      </w:pPr>
    </w:p>
    <w:p>
      <w:pPr>
        <w:spacing w:after="0" w:line="196" w:lineRule="exact"/>
        <w:rPr>
          <w:sz w:val="20"/>
          <w:szCs w:val="20"/>
          <w:color w:val="auto"/>
        </w:rPr>
      </w:pPr>
    </w:p>
    <w:p>
      <w:pPr>
        <w:jc w:val="center"/>
        <w:ind w:left="340"/>
        <w:spacing w:after="0"/>
        <w:rPr>
          <w:sz w:val="20"/>
          <w:szCs w:val="20"/>
          <w:color w:val="auto"/>
        </w:rPr>
      </w:pPr>
      <w:r>
        <w:rPr>
          <w:rFonts w:ascii="Arial" w:cs="Arial" w:eastAsia="Arial" w:hAnsi="Arial"/>
          <w:sz w:val="15"/>
          <w:szCs w:val="15"/>
          <w:color w:val="auto"/>
        </w:rPr>
        <w:t>Exhibit</w:t>
      </w:r>
    </w:p>
    <w:p>
      <w:pPr>
        <w:jc w:val="center"/>
        <w:ind w:left="340"/>
        <w:spacing w:after="0"/>
        <w:rPr>
          <w:sz w:val="20"/>
          <w:szCs w:val="20"/>
          <w:color w:val="auto"/>
        </w:rPr>
      </w:pPr>
      <w:r>
        <w:rPr>
          <w:rFonts w:ascii="Arial" w:cs="Arial" w:eastAsia="Arial" w:hAnsi="Arial"/>
          <w:sz w:val="16"/>
          <w:szCs w:val="16"/>
          <w:color w:val="auto"/>
        </w:rPr>
        <w:t>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54610</wp:posOffset>
            </wp:positionH>
            <wp:positionV relativeFrom="paragraph">
              <wp:posOffset>0</wp:posOffset>
            </wp:positionV>
            <wp:extent cx="622935" cy="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22935" cy="6985"/>
                    </a:xfrm>
                    <a:prstGeom prst="rect">
                      <a:avLst/>
                    </a:prstGeom>
                    <a:noFill/>
                  </pic:spPr>
                </pic:pic>
              </a:graphicData>
            </a:graphic>
          </wp:anchor>
        </w:drawing>
      </w:r>
    </w:p>
    <w:p>
      <w:pPr>
        <w:spacing w:after="0" w:line="116" w:lineRule="exact"/>
        <w:rPr>
          <w:sz w:val="20"/>
          <w:szCs w:val="20"/>
          <w:color w:val="auto"/>
        </w:rPr>
      </w:pPr>
    </w:p>
    <w:p>
      <w:pPr>
        <w:ind w:left="380"/>
        <w:spacing w:after="0"/>
        <w:rPr>
          <w:sz w:val="20"/>
          <w:szCs w:val="20"/>
          <w:color w:val="auto"/>
        </w:rPr>
      </w:pPr>
      <w:r>
        <w:rPr>
          <w:rFonts w:ascii="Arial" w:cs="Arial" w:eastAsia="Arial" w:hAnsi="Arial"/>
          <w:sz w:val="16"/>
          <w:szCs w:val="16"/>
          <w:color w:val="auto"/>
        </w:rPr>
        <w:t>10.1</w:t>
      </w:r>
    </w:p>
    <w:p>
      <w:pPr>
        <w:spacing w:after="0" w:line="204" w:lineRule="exact"/>
        <w:rPr>
          <w:sz w:val="20"/>
          <w:szCs w:val="20"/>
          <w:color w:val="auto"/>
        </w:rPr>
      </w:pPr>
    </w:p>
    <w:p>
      <w:pPr>
        <w:ind w:left="380"/>
        <w:spacing w:after="0"/>
        <w:rPr>
          <w:sz w:val="20"/>
          <w:szCs w:val="20"/>
          <w:color w:val="auto"/>
        </w:rPr>
      </w:pPr>
      <w:r>
        <w:rPr>
          <w:rFonts w:ascii="Arial" w:cs="Arial" w:eastAsia="Arial" w:hAnsi="Arial"/>
          <w:sz w:val="16"/>
          <w:szCs w:val="16"/>
          <w:color w:val="auto"/>
        </w:rPr>
        <w:t>10.2</w:t>
      </w:r>
    </w:p>
    <w:p>
      <w:pPr>
        <w:spacing w:after="0" w:line="20" w:lineRule="exact"/>
        <w:rPr>
          <w:sz w:val="20"/>
          <w:szCs w:val="20"/>
          <w:color w:val="auto"/>
        </w:rPr>
      </w:pPr>
      <w:r>
        <w:rPr>
          <w:sz w:val="20"/>
          <w:szCs w:val="20"/>
          <w:color w:val="auto"/>
        </w:rPr>
        <w:br w:type="column"/>
      </w:r>
    </w:p>
    <w:p>
      <w:pPr>
        <w:spacing w:after="0" w:line="313" w:lineRule="exact"/>
        <w:rPr>
          <w:sz w:val="20"/>
          <w:szCs w:val="20"/>
          <w:color w:val="auto"/>
        </w:rPr>
      </w:pPr>
    </w:p>
    <w:p>
      <w:pPr>
        <w:jc w:val="center"/>
        <w:ind w:right="80"/>
        <w:spacing w:after="0"/>
        <w:rPr>
          <w:sz w:val="20"/>
          <w:szCs w:val="20"/>
          <w:color w:val="auto"/>
        </w:rPr>
      </w:pPr>
      <w:r>
        <w:rPr>
          <w:rFonts w:ascii="Arial" w:cs="Arial" w:eastAsia="Arial" w:hAnsi="Arial"/>
          <w:sz w:val="16"/>
          <w:szCs w:val="16"/>
          <w:color w:val="auto"/>
        </w:rPr>
        <w:t>Description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22225</wp:posOffset>
            </wp:positionV>
            <wp:extent cx="6480175" cy="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480175" cy="6985"/>
                    </a:xfrm>
                    <a:prstGeom prst="rect">
                      <a:avLst/>
                    </a:prstGeom>
                    <a:noFill/>
                  </pic:spPr>
                </pic:pic>
              </a:graphicData>
            </a:graphic>
          </wp:anchor>
        </w:drawing>
      </w:r>
    </w:p>
    <w:p>
      <w:pPr>
        <w:spacing w:after="0" w:line="141" w:lineRule="exact"/>
        <w:rPr>
          <w:sz w:val="20"/>
          <w:szCs w:val="20"/>
          <w:color w:val="auto"/>
        </w:rPr>
      </w:pPr>
    </w:p>
    <w:p>
      <w:pPr>
        <w:ind w:right="80"/>
        <w:spacing w:after="0" w:line="229" w:lineRule="auto"/>
        <w:rPr>
          <w:sz w:val="20"/>
          <w:szCs w:val="20"/>
          <w:color w:val="auto"/>
        </w:rPr>
      </w:pPr>
      <w:r>
        <w:rPr>
          <w:rFonts w:ascii="Arial" w:cs="Arial" w:eastAsia="Arial" w:hAnsi="Arial"/>
          <w:sz w:val="16"/>
          <w:szCs w:val="16"/>
          <w:u w:val="single" w:color="auto"/>
          <w:color w:val="0000FF"/>
        </w:rPr>
        <w:t>Modification of Contract dated effective as of November 25, 2019 for Student Loan Servicing Contract between the United States Department of Education and Nelnet Servicing, LLC.</w:t>
      </w:r>
    </w:p>
    <w:p>
      <w:pPr>
        <w:spacing w:after="0" w:line="37" w:lineRule="exact"/>
        <w:rPr>
          <w:sz w:val="20"/>
          <w:szCs w:val="20"/>
          <w:color w:val="auto"/>
        </w:rPr>
      </w:pPr>
    </w:p>
    <w:p>
      <w:pPr>
        <w:ind w:right="80"/>
        <w:spacing w:after="0" w:line="229" w:lineRule="auto"/>
        <w:rPr>
          <w:sz w:val="20"/>
          <w:szCs w:val="20"/>
          <w:color w:val="auto"/>
        </w:rPr>
      </w:pPr>
      <w:r>
        <w:rPr>
          <w:rFonts w:ascii="Arial" w:cs="Arial" w:eastAsia="Arial" w:hAnsi="Arial"/>
          <w:sz w:val="16"/>
          <w:szCs w:val="16"/>
          <w:u w:val="single" w:color="auto"/>
          <w:color w:val="0000FF"/>
        </w:rPr>
        <w:t>Modification of Contract dated effective as of November 25, 2019 for Student Loan Servicing Contract between the United States Department of Education and Great Lakes Educational Loan Services, Inc.</w:t>
      </w:r>
    </w:p>
    <w:p>
      <w:pPr>
        <w:spacing w:after="0" w:line="48" w:lineRule="exact"/>
        <w:rPr>
          <w:sz w:val="20"/>
          <w:szCs w:val="20"/>
          <w:color w:val="auto"/>
        </w:rPr>
      </w:pPr>
    </w:p>
    <w:p>
      <w:pPr>
        <w:sectPr>
          <w:pgSz w:w="11900" w:h="16838" w:orient="portrait"/>
          <w:cols w:equalWidth="0" w:num="2">
            <w:col w:w="800" w:space="500"/>
            <w:col w:w="10240"/>
          </w:cols>
          <w:pgMar w:left="140" w:top="735" w:right="219" w:bottom="1440" w:gutter="0" w:footer="0" w:header="0"/>
          <w:type w:val="continuous"/>
        </w:sectPr>
      </w:pPr>
    </w:p>
    <w:p>
      <w:pPr>
        <w:ind w:left="400"/>
        <w:spacing w:after="0"/>
        <w:tabs>
          <w:tab w:leader="none" w:pos="1280" w:val="left"/>
        </w:tabs>
        <w:rPr>
          <w:sz w:val="20"/>
          <w:szCs w:val="20"/>
          <w:color w:val="auto"/>
        </w:rPr>
      </w:pPr>
      <w:r>
        <w:rPr>
          <w:rFonts w:ascii="Arial" w:cs="Arial" w:eastAsia="Arial" w:hAnsi="Arial"/>
          <w:sz w:val="16"/>
          <w:szCs w:val="16"/>
          <w:color w:val="auto"/>
        </w:rPr>
        <w:t>104</w:t>
      </w:r>
      <w:r>
        <w:rPr>
          <w:sz w:val="20"/>
          <w:szCs w:val="20"/>
          <w:color w:val="auto"/>
        </w:rPr>
        <w:tab/>
      </w:r>
      <w:r>
        <w:rPr>
          <w:rFonts w:ascii="Arial" w:cs="Arial" w:eastAsia="Arial" w:hAnsi="Arial"/>
          <w:sz w:val="16"/>
          <w:szCs w:val="16"/>
          <w:color w:val="auto"/>
        </w:rPr>
        <w:t>Cover Page Interactive Data File (formatted as Inline XBRL and included as Exhibit 101).</w:t>
      </w:r>
    </w:p>
    <w:p>
      <w:pPr>
        <w:spacing w:after="0" w:line="275" w:lineRule="exact"/>
        <w:rPr>
          <w:sz w:val="20"/>
          <w:szCs w:val="20"/>
          <w:color w:val="auto"/>
        </w:rPr>
      </w:pPr>
    </w:p>
    <w:p>
      <w:pPr>
        <w:ind w:left="80"/>
        <w:spacing w:after="0"/>
        <w:rPr>
          <w:sz w:val="20"/>
          <w:szCs w:val="20"/>
          <w:color w:val="auto"/>
        </w:rPr>
      </w:pPr>
      <w:r>
        <w:rPr>
          <w:rFonts w:ascii="Arial" w:cs="Arial" w:eastAsia="Arial" w:hAnsi="Arial"/>
          <w:sz w:val="16"/>
          <w:szCs w:val="16"/>
          <w:b w:val="1"/>
          <w:bCs w:val="1"/>
          <w:color w:val="auto"/>
        </w:rPr>
        <w:t>Forward-looking and cautionary statements</w:t>
      </w:r>
    </w:p>
    <w:p>
      <w:pPr>
        <w:spacing w:after="0" w:line="197" w:lineRule="exact"/>
        <w:rPr>
          <w:sz w:val="20"/>
          <w:szCs w:val="20"/>
          <w:color w:val="auto"/>
        </w:rPr>
      </w:pPr>
    </w:p>
    <w:p>
      <w:pPr>
        <w:jc w:val="both"/>
        <w:ind w:left="80"/>
        <w:spacing w:after="0" w:line="284" w:lineRule="auto"/>
        <w:rPr>
          <w:sz w:val="20"/>
          <w:szCs w:val="20"/>
          <w:color w:val="auto"/>
        </w:rPr>
      </w:pPr>
      <w:r>
        <w:rPr>
          <w:rFonts w:ascii="Arial" w:cs="Arial" w:eastAsia="Arial" w:hAnsi="Arial"/>
          <w:sz w:val="14"/>
          <w:szCs w:val="14"/>
          <w:color w:val="auto"/>
        </w:rPr>
        <w:t>This report contains forward-looking statements that involve risks and uncertainties. The words “continue,” “may,” “order,” “potential,” and similar expressions, as well as statements in future tense, are intended to identify forward-looking statements. These statements are based on management's current expectations as of the date of this report and are subject to known and unknown risks and uncertainties that may cause actual results or performance to differ materially from those expressed or implied by the forward-looking statements. Such risks include, but are not limited to: the uncertain nature and timing of future student loan servicing volumes that may be ordered by the Department under the reported servicing contract modifications, due to, among other factors, the Department's initiatives to procure new contracts for federal student loan servicing; risks related to the ability of the Company to successfully maintain and increase allocated volumes of student loans serviced under the existing and any future servicing contracts with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41910</wp:posOffset>
            </wp:positionH>
            <wp:positionV relativeFrom="paragraph">
              <wp:posOffset>413385</wp:posOffset>
            </wp:positionV>
            <wp:extent cx="7299960" cy="393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99960" cy="39370"/>
                    </a:xfrm>
                    <a:prstGeom prst="rect">
                      <a:avLst/>
                    </a:prstGeom>
                    <a:noFill/>
                  </pic:spPr>
                </pic:pic>
              </a:graphicData>
            </a:graphic>
          </wp:anchor>
        </w:drawing>
      </w:r>
    </w:p>
    <w:p>
      <w:pPr>
        <w:sectPr>
          <w:pgSz w:w="11900" w:h="16838" w:orient="portrait"/>
          <w:cols w:equalWidth="0" w:num="1">
            <w:col w:w="11540"/>
          </w:cols>
          <w:pgMar w:left="140" w:top="735" w:right="219" w:bottom="1440" w:gutter="0" w:footer="0" w:header="0"/>
          <w:type w:val="continuous"/>
        </w:sectPr>
      </w:pPr>
    </w:p>
    <w:bookmarkStart w:id="2" w:name="page3"/>
    <w:bookmarkEnd w:id="2"/>
    <w:p>
      <w:pPr>
        <w:jc w:val="both"/>
        <w:spacing w:after="0" w:line="260" w:lineRule="auto"/>
        <w:rPr>
          <w:sz w:val="20"/>
          <w:szCs w:val="20"/>
          <w:color w:val="auto"/>
        </w:rPr>
      </w:pPr>
      <w:r>
        <w:rPr>
          <w:rFonts w:ascii="Arial" w:cs="Arial" w:eastAsia="Arial" w:hAnsi="Arial"/>
          <w:sz w:val="15"/>
          <w:szCs w:val="15"/>
          <w:color w:val="auto"/>
        </w:rPr>
        <w:t>Department, which current contracts accounted for 30 percent of the Company’s revenue in 2018; risks to the Company related to the Department's initiatives to procure new contracts for federal student loan servicing, including the risk that the Company or Company teams may not be successful in obtaining contracts; risks and uncertainties from changes in the educational credit and services marketplace resulting from changes in applicable laws, regulations, and government programs and budgets; cybersecurity risks, including potential disruptions to systems, disclosure of confidential information, and/or damage to reputation resulting from cyber-breaches; and other risks and uncertainties set forth in the “Risk Factors” section of the Company’s Annual Report on Form 10-K for the year ended December 31, 2018 and subsequent quarterly reports on Form 10-Q. All forward-looking statements contained in this report are qualified by these cautionary statements and are made only as of the date of this report. Although the Company may from time to time voluntarily update or revise its prior forward-looking statements to reflect actual results or changes in the Company’s expectations, the Company disclaims any commitment to do so except as required by securities laws.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546100</wp:posOffset>
            </wp:positionV>
            <wp:extent cx="7299960" cy="393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99960" cy="39370"/>
                    </a:xfrm>
                    <a:prstGeom prst="rect">
                      <a:avLst/>
                    </a:prstGeom>
                    <a:noFill/>
                  </pic:spPr>
                </pic:pic>
              </a:graphicData>
            </a:graphic>
          </wp:anchor>
        </w:drawing>
      </w:r>
    </w:p>
    <w:p>
      <w:pPr>
        <w:sectPr>
          <w:pgSz w:w="11900" w:h="16838" w:orient="portrait"/>
          <w:cols w:equalWidth="0" w:num="1">
            <w:col w:w="11460"/>
          </w:cols>
          <w:pgMar w:left="220" w:top="739" w:right="219" w:bottom="1440" w:gutter="0" w:footer="0" w:header="0"/>
        </w:sectPr>
      </w:pPr>
    </w:p>
    <w:bookmarkStart w:id="3" w:name="page4"/>
    <w:bookmarkEnd w:id="3"/>
    <w:p>
      <w:pPr>
        <w:jc w:val="center"/>
        <w:spacing w:after="0"/>
        <w:rPr>
          <w:sz w:val="20"/>
          <w:szCs w:val="20"/>
          <w:color w:val="auto"/>
        </w:rPr>
      </w:pPr>
      <w:r>
        <w:rPr>
          <w:rFonts w:ascii="Arial" w:cs="Arial" w:eastAsia="Arial" w:hAnsi="Arial"/>
          <w:sz w:val="17"/>
          <w:szCs w:val="17"/>
          <w:color w:val="auto"/>
        </w:rPr>
        <w:t>SIGNATURES</w:t>
      </w:r>
    </w:p>
    <w:p>
      <w:pPr>
        <w:spacing w:after="0" w:line="345" w:lineRule="exact"/>
        <w:rPr>
          <w:sz w:val="20"/>
          <w:szCs w:val="20"/>
          <w:color w:val="auto"/>
        </w:rPr>
      </w:pPr>
    </w:p>
    <w:p>
      <w:pPr>
        <w:spacing w:after="0" w:line="260" w:lineRule="auto"/>
        <w:rPr>
          <w:sz w:val="20"/>
          <w:szCs w:val="20"/>
          <w:color w:val="auto"/>
        </w:rPr>
      </w:pPr>
      <w:r>
        <w:rPr>
          <w:rFonts w:ascii="Arial" w:cs="Arial" w:eastAsia="Arial" w:hAnsi="Arial"/>
          <w:sz w:val="16"/>
          <w:szCs w:val="16"/>
          <w:color w:val="auto"/>
        </w:rPr>
        <w:t>Pursuant to the requirements of the Securities Exchange Act of 1934, the registrant has duly caused this report to be signed on its behalf by the undersigned hereunto duly authorized.</w:t>
      </w:r>
    </w:p>
    <w:p>
      <w:pPr>
        <w:spacing w:after="0" w:line="140" w:lineRule="exact"/>
        <w:rPr>
          <w:sz w:val="20"/>
          <w:szCs w:val="20"/>
          <w:color w:val="auto"/>
        </w:rPr>
      </w:pPr>
    </w:p>
    <w:p>
      <w:pPr>
        <w:spacing w:after="0"/>
        <w:rPr>
          <w:sz w:val="20"/>
          <w:szCs w:val="20"/>
          <w:color w:val="auto"/>
        </w:rPr>
      </w:pPr>
      <w:r>
        <w:rPr>
          <w:rFonts w:ascii="Arial" w:cs="Arial" w:eastAsia="Arial" w:hAnsi="Arial"/>
          <w:sz w:val="16"/>
          <w:szCs w:val="16"/>
          <w:color w:val="auto"/>
        </w:rPr>
        <w:t>Dated: November 27, 2019</w:t>
      </w:r>
    </w:p>
    <w:p>
      <w:pPr>
        <w:spacing w:after="0" w:line="172" w:lineRule="exact"/>
        <w:rPr>
          <w:sz w:val="20"/>
          <w:szCs w:val="20"/>
          <w:color w:val="auto"/>
        </w:rPr>
      </w:pPr>
    </w:p>
    <w:p>
      <w:pPr>
        <w:ind w:left="3100"/>
        <w:spacing w:after="0"/>
        <w:rPr>
          <w:sz w:val="20"/>
          <w:szCs w:val="20"/>
          <w:color w:val="auto"/>
        </w:rPr>
      </w:pPr>
      <w:r>
        <w:rPr>
          <w:rFonts w:ascii="Arial" w:cs="Arial" w:eastAsia="Arial" w:hAnsi="Arial"/>
          <w:sz w:val="16"/>
          <w:szCs w:val="16"/>
          <w:color w:val="auto"/>
        </w:rPr>
        <w:t>NELNET, INC.</w:t>
      </w:r>
    </w:p>
    <w:p>
      <w:pPr>
        <w:spacing w:after="0" w:line="344" w:lineRule="exact"/>
        <w:rPr>
          <w:sz w:val="20"/>
          <w:szCs w:val="20"/>
          <w:color w:val="auto"/>
        </w:rPr>
      </w:pPr>
    </w:p>
    <w:p>
      <w:pPr>
        <w:ind w:left="3100"/>
        <w:spacing w:after="0"/>
        <w:rPr>
          <w:sz w:val="20"/>
          <w:szCs w:val="20"/>
          <w:color w:val="auto"/>
        </w:rPr>
      </w:pPr>
      <w:r>
        <w:rPr>
          <w:rFonts w:ascii="Arial" w:cs="Arial" w:eastAsia="Arial" w:hAnsi="Arial"/>
          <w:sz w:val="16"/>
          <w:szCs w:val="16"/>
          <w:color w:val="auto"/>
        </w:rPr>
        <w:t xml:space="preserve">By: </w:t>
      </w:r>
      <w:r>
        <w:rPr>
          <w:rFonts w:ascii="Arial" w:cs="Arial" w:eastAsia="Arial" w:hAnsi="Arial"/>
          <w:sz w:val="16"/>
          <w:szCs w:val="16"/>
          <w:u w:val="single" w:color="auto"/>
          <w:color w:val="auto"/>
        </w:rPr>
        <w:t>/s/ JEFFREY R. NOORDHOEK</w:t>
      </w:r>
    </w:p>
    <w:p>
      <w:pPr>
        <w:spacing w:after="0" w:line="12" w:lineRule="exact"/>
        <w:rPr>
          <w:sz w:val="20"/>
          <w:szCs w:val="20"/>
          <w:color w:val="auto"/>
        </w:rPr>
      </w:pPr>
    </w:p>
    <w:p>
      <w:pPr>
        <w:ind w:left="3620"/>
        <w:spacing w:after="0"/>
        <w:rPr>
          <w:sz w:val="20"/>
          <w:szCs w:val="20"/>
          <w:color w:val="auto"/>
        </w:rPr>
      </w:pPr>
      <w:r>
        <w:rPr>
          <w:rFonts w:ascii="Arial" w:cs="Arial" w:eastAsia="Arial" w:hAnsi="Arial"/>
          <w:sz w:val="16"/>
          <w:szCs w:val="16"/>
          <w:color w:val="auto"/>
        </w:rPr>
        <w:t>Name: Jeffrey R. Noordhoek</w:t>
      </w:r>
    </w:p>
    <w:p>
      <w:pPr>
        <w:ind w:left="3620"/>
        <w:spacing w:after="0"/>
        <w:rPr>
          <w:sz w:val="20"/>
          <w:szCs w:val="20"/>
          <w:color w:val="auto"/>
        </w:rPr>
      </w:pPr>
      <w:r>
        <w:rPr>
          <w:rFonts w:ascii="Arial" w:cs="Arial" w:eastAsia="Arial" w:hAnsi="Arial"/>
          <w:sz w:val="16"/>
          <w:szCs w:val="16"/>
          <w:color w:val="auto"/>
        </w:rPr>
        <w:t>Title: Chief Executive Officer</w:t>
      </w:r>
    </w:p>
    <w:p>
      <w:pPr>
        <w:sectPr>
          <w:pgSz w:w="11900" w:h="16838" w:orient="portrait"/>
          <w:cols w:equalWidth="0" w:num="1">
            <w:col w:w="11460"/>
          </w:cols>
          <w:pgMar w:left="220" w:top="942" w:right="219" w:bottom="1440" w:gutter="0" w:footer="0" w:header="0"/>
        </w:sectPr>
      </w:pPr>
    </w:p>
    <w:bookmarkStart w:id="4" w:name="page5"/>
    <w:bookmarkEnd w:id="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250190</wp:posOffset>
            </wp:positionH>
            <wp:positionV relativeFrom="page">
              <wp:posOffset>307975</wp:posOffset>
            </wp:positionV>
            <wp:extent cx="7217410" cy="94672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17410" cy="94672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250190</wp:posOffset>
            </wp:positionH>
            <wp:positionV relativeFrom="page">
              <wp:posOffset>431165</wp:posOffset>
            </wp:positionV>
            <wp:extent cx="7217410" cy="94672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17410" cy="94672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250190</wp:posOffset>
            </wp:positionH>
            <wp:positionV relativeFrom="page">
              <wp:posOffset>431165</wp:posOffset>
            </wp:positionV>
            <wp:extent cx="7217410" cy="94672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17410" cy="94672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rPr>
          <w:sz w:val="20"/>
          <w:szCs w:val="20"/>
          <w:color w:val="auto"/>
        </w:rPr>
      </w:pPr>
    </w:p>
    <w:p>
      <w:pPr>
        <w:sectPr>
          <w:pgSz w:w="11900" w:h="16838" w:orient="portrait"/>
          <w:cols w:equalWidth="1" w:num="1" w:space="0"/>
          <w:pgMar w:left="1440" w:top="1440" w:right="1440" w:bottom="875" w:gutter="0" w:footer="0" w:header="0"/>
        </w:sectPr>
      </w:pPr>
    </w:p>
    <w:bookmarkStart w:id="8" w:name="page9"/>
    <w:bookmarkEnd w:id="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250190</wp:posOffset>
            </wp:positionH>
            <wp:positionV relativeFrom="page">
              <wp:posOffset>307975</wp:posOffset>
            </wp:positionV>
            <wp:extent cx="7217410" cy="94672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17410" cy="94672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250190</wp:posOffset>
            </wp:positionH>
            <wp:positionV relativeFrom="page">
              <wp:posOffset>431165</wp:posOffset>
            </wp:positionV>
            <wp:extent cx="7217410" cy="94672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17410" cy="94672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250190</wp:posOffset>
            </wp:positionH>
            <wp:positionV relativeFrom="page">
              <wp:posOffset>431165</wp:posOffset>
            </wp:positionV>
            <wp:extent cx="7217410" cy="94672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17410" cy="94672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327B23C6"/>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2019-11-27T16:20:28Z</dcterms:created>
  <dcterms:modified xsi:type="dcterms:W3CDTF">2019-11-27T16:20:28Z</dcterms:modified>
</cp:coreProperties>
</file>