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17"/>
          <w:szCs w:val="17"/>
          <w:b w:val="1"/>
          <w:bCs w:val="1"/>
          <w:color w:val="auto"/>
        </w:rPr>
        <w:t>UNITED STATES</w:t>
      </w:r>
    </w:p>
    <w:p>
      <w:pPr>
        <w:spacing w:after="0" w:line="52"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SECURITIES AND EXCHANGE COMMISSION</w:t>
      </w:r>
    </w:p>
    <w:p>
      <w:pPr>
        <w:spacing w:after="0" w:line="52"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Washington, D.C. 20549</w:t>
      </w:r>
    </w:p>
    <w:p>
      <w:pPr>
        <w:spacing w:after="0" w:line="139" w:lineRule="exact"/>
        <w:rPr>
          <w:sz w:val="24"/>
          <w:szCs w:val="24"/>
          <w:color w:val="auto"/>
        </w:rPr>
      </w:pPr>
    </w:p>
    <w:p>
      <w:pPr>
        <w:ind w:left="5320"/>
        <w:spacing w:after="0"/>
        <w:rPr>
          <w:sz w:val="20"/>
          <w:szCs w:val="20"/>
          <w:color w:val="auto"/>
        </w:rPr>
      </w:pPr>
      <w:r>
        <w:rPr>
          <w:rFonts w:ascii="Arial" w:cs="Arial" w:eastAsia="Arial" w:hAnsi="Arial"/>
          <w:sz w:val="17"/>
          <w:szCs w:val="17"/>
          <w:b w:val="1"/>
          <w:bCs w:val="1"/>
          <w:color w:val="auto"/>
        </w:rPr>
        <w:t>FORM 8-K</w:t>
      </w:r>
    </w:p>
    <w:p>
      <w:pPr>
        <w:spacing w:after="0" w:line="139" w:lineRule="exact"/>
        <w:rPr>
          <w:sz w:val="24"/>
          <w:szCs w:val="24"/>
          <w:color w:val="auto"/>
        </w:rPr>
      </w:pPr>
    </w:p>
    <w:p>
      <w:pPr>
        <w:ind w:left="4940"/>
        <w:spacing w:after="0"/>
        <w:rPr>
          <w:sz w:val="20"/>
          <w:szCs w:val="20"/>
          <w:color w:val="auto"/>
        </w:rPr>
      </w:pPr>
      <w:r>
        <w:rPr>
          <w:rFonts w:ascii="Arial" w:cs="Arial" w:eastAsia="Arial" w:hAnsi="Arial"/>
          <w:sz w:val="17"/>
          <w:szCs w:val="17"/>
          <w:b w:val="1"/>
          <w:bCs w:val="1"/>
          <w:color w:val="auto"/>
        </w:rPr>
        <w:t>CURRENT REPORT</w:t>
      </w:r>
    </w:p>
    <w:p>
      <w:pPr>
        <w:spacing w:after="0" w:line="95"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Pursuant to Section 13 or 15(d) of the Securities Exchange Act of 1934</w:t>
      </w:r>
    </w:p>
    <w:p>
      <w:pPr>
        <w:spacing w:after="0" w:line="265" w:lineRule="exact"/>
        <w:rPr>
          <w:sz w:val="24"/>
          <w:szCs w:val="24"/>
          <w:color w:val="auto"/>
        </w:rPr>
      </w:pPr>
    </w:p>
    <w:p>
      <w:pPr>
        <w:jc w:val="center"/>
        <w:ind w:right="-179"/>
        <w:spacing w:after="0"/>
        <w:rPr>
          <w:sz w:val="20"/>
          <w:szCs w:val="20"/>
          <w:color w:val="auto"/>
        </w:rPr>
      </w:pPr>
      <w:r>
        <w:rPr>
          <w:rFonts w:ascii="Arial" w:cs="Arial" w:eastAsia="Arial" w:hAnsi="Arial"/>
          <w:sz w:val="16"/>
          <w:szCs w:val="16"/>
          <w:color w:val="auto"/>
        </w:rPr>
        <w:t>Date of Report (Date of earliest event reported)</w:t>
      </w:r>
    </w:p>
    <w:p>
      <w:pPr>
        <w:spacing w:after="0" w:line="17" w:lineRule="exact"/>
        <w:rPr>
          <w:sz w:val="24"/>
          <w:szCs w:val="24"/>
          <w:color w:val="auto"/>
        </w:rPr>
      </w:pPr>
    </w:p>
    <w:p>
      <w:pPr>
        <w:jc w:val="center"/>
        <w:ind w:right="-179"/>
        <w:spacing w:after="0"/>
        <w:rPr>
          <w:sz w:val="20"/>
          <w:szCs w:val="20"/>
          <w:color w:val="auto"/>
        </w:rPr>
      </w:pPr>
      <w:r>
        <w:rPr>
          <w:rFonts w:ascii="Arial" w:cs="Arial" w:eastAsia="Arial" w:hAnsi="Arial"/>
          <w:sz w:val="16"/>
          <w:szCs w:val="16"/>
          <w:b w:val="1"/>
          <w:bCs w:val="1"/>
          <w:color w:val="auto"/>
        </w:rPr>
        <w:t>May 23, 2019</w:t>
      </w:r>
    </w:p>
    <w:p>
      <w:pPr>
        <w:spacing w:after="0" w:line="211"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NELNET, INC.</w:t>
      </w:r>
    </w:p>
    <w:p>
      <w:pPr>
        <w:spacing w:after="0" w:line="21" w:lineRule="exact"/>
        <w:rPr>
          <w:sz w:val="24"/>
          <w:szCs w:val="24"/>
          <w:color w:val="auto"/>
        </w:rPr>
      </w:pPr>
    </w:p>
    <w:p>
      <w:pPr>
        <w:jc w:val="center"/>
        <w:ind w:right="-179"/>
        <w:spacing w:after="0"/>
        <w:rPr>
          <w:sz w:val="20"/>
          <w:szCs w:val="20"/>
          <w:color w:val="auto"/>
        </w:rPr>
      </w:pPr>
      <w:r>
        <w:rPr>
          <w:rFonts w:ascii="Arial" w:cs="Arial" w:eastAsia="Arial" w:hAnsi="Arial"/>
          <w:sz w:val="16"/>
          <w:szCs w:val="16"/>
          <w:color w:val="auto"/>
        </w:rPr>
        <w:t>(Exact name of registrant as specified in its charter)</w:t>
      </w:r>
    </w:p>
    <w:p>
      <w:pPr>
        <w:spacing w:after="0" w:line="111" w:lineRule="exact"/>
        <w:rPr>
          <w:sz w:val="24"/>
          <w:szCs w:val="24"/>
          <w:color w:val="auto"/>
        </w:rPr>
      </w:pPr>
    </w:p>
    <w:tbl>
      <w:tblPr>
        <w:tblLayout w:type="fixed"/>
        <w:tblInd w:w="1280" w:type="dxa"/>
        <w:tblCellMar>
          <w:top w:w="0" w:type="dxa"/>
          <w:left w:w="0" w:type="dxa"/>
          <w:bottom w:w="0" w:type="dxa"/>
          <w:right w:w="0" w:type="dxa"/>
        </w:tblCellMar>
      </w:tblPr>
      <w:tr>
        <w:trPr>
          <w:trHeight w:val="214"/>
        </w:trPr>
        <w:tc>
          <w:tcPr>
            <w:tcW w:w="36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Nebraska</w:t>
            </w:r>
          </w:p>
        </w:tc>
        <w:tc>
          <w:tcPr>
            <w:tcW w:w="100" w:type="dxa"/>
            <w:vAlign w:val="bottom"/>
          </w:tcPr>
          <w:p>
            <w:pPr>
              <w:spacing w:after="0"/>
              <w:rPr>
                <w:sz w:val="18"/>
                <w:szCs w:val="18"/>
                <w:color w:val="auto"/>
              </w:rPr>
            </w:pPr>
          </w:p>
        </w:tc>
        <w:tc>
          <w:tcPr>
            <w:tcW w:w="2140" w:type="dxa"/>
            <w:vAlign w:val="bottom"/>
            <w:tcBorders>
              <w:bottom w:val="single" w:sz="8" w:color="auto"/>
            </w:tcBorders>
          </w:tcPr>
          <w:p>
            <w:pPr>
              <w:jc w:val="right"/>
              <w:ind w:right="641"/>
              <w:spacing w:after="0"/>
              <w:rPr>
                <w:sz w:val="20"/>
                <w:szCs w:val="20"/>
                <w:color w:val="auto"/>
              </w:rPr>
            </w:pPr>
            <w:r>
              <w:rPr>
                <w:rFonts w:ascii="Arial" w:cs="Arial" w:eastAsia="Arial" w:hAnsi="Arial"/>
                <w:sz w:val="16"/>
                <w:szCs w:val="16"/>
                <w:b w:val="1"/>
                <w:bCs w:val="1"/>
                <w:color w:val="auto"/>
              </w:rPr>
              <w:t>001-31924</w:t>
            </w:r>
          </w:p>
        </w:tc>
        <w:tc>
          <w:tcPr>
            <w:tcW w:w="80" w:type="dxa"/>
            <w:vAlign w:val="bottom"/>
          </w:tcPr>
          <w:p>
            <w:pPr>
              <w:spacing w:after="0"/>
              <w:rPr>
                <w:sz w:val="18"/>
                <w:szCs w:val="18"/>
                <w:color w:val="auto"/>
              </w:rPr>
            </w:pPr>
          </w:p>
        </w:tc>
        <w:tc>
          <w:tcPr>
            <w:tcW w:w="2940" w:type="dxa"/>
            <w:vAlign w:val="bottom"/>
            <w:tcBorders>
              <w:bottom w:val="single" w:sz="8" w:color="auto"/>
            </w:tcBorders>
            <w:gridSpan w:val="3"/>
          </w:tcPr>
          <w:p>
            <w:pPr>
              <w:jc w:val="right"/>
              <w:ind w:right="1001"/>
              <w:spacing w:after="0"/>
              <w:rPr>
                <w:sz w:val="20"/>
                <w:szCs w:val="20"/>
                <w:color w:val="auto"/>
              </w:rPr>
            </w:pPr>
            <w:r>
              <w:rPr>
                <w:rFonts w:ascii="Arial" w:cs="Arial" w:eastAsia="Arial" w:hAnsi="Arial"/>
                <w:sz w:val="16"/>
                <w:szCs w:val="16"/>
                <w:b w:val="1"/>
                <w:bCs w:val="1"/>
                <w:color w:val="auto"/>
              </w:rPr>
              <w:t>84-0748903</w:t>
            </w:r>
          </w:p>
        </w:tc>
      </w:tr>
      <w:tr>
        <w:trPr>
          <w:trHeight w:val="208"/>
        </w:trPr>
        <w:tc>
          <w:tcPr>
            <w:tcW w:w="3760" w:type="dxa"/>
            <w:vAlign w:val="bottom"/>
            <w:gridSpan w:val="2"/>
          </w:tcPr>
          <w:p>
            <w:pPr>
              <w:jc w:val="center"/>
              <w:ind w:right="60"/>
              <w:spacing w:after="0"/>
              <w:rPr>
                <w:sz w:val="20"/>
                <w:szCs w:val="20"/>
                <w:color w:val="auto"/>
              </w:rPr>
            </w:pPr>
            <w:r>
              <w:rPr>
                <w:rFonts w:ascii="Arial" w:cs="Arial" w:eastAsia="Arial" w:hAnsi="Arial"/>
                <w:sz w:val="16"/>
                <w:szCs w:val="16"/>
                <w:color w:val="auto"/>
                <w:w w:val="91"/>
              </w:rPr>
              <w:t>(State or other jurisdiction of incorporation)</w:t>
            </w:r>
          </w:p>
        </w:tc>
        <w:tc>
          <w:tcPr>
            <w:tcW w:w="2220" w:type="dxa"/>
            <w:vAlign w:val="bottom"/>
            <w:gridSpan w:val="2"/>
          </w:tcPr>
          <w:p>
            <w:pPr>
              <w:jc w:val="center"/>
              <w:ind w:right="60"/>
              <w:spacing w:after="0"/>
              <w:rPr>
                <w:sz w:val="20"/>
                <w:szCs w:val="20"/>
                <w:color w:val="auto"/>
              </w:rPr>
            </w:pPr>
            <w:r>
              <w:rPr>
                <w:rFonts w:ascii="Arial" w:cs="Arial" w:eastAsia="Arial" w:hAnsi="Arial"/>
                <w:sz w:val="16"/>
                <w:szCs w:val="16"/>
                <w:color w:val="auto"/>
                <w:w w:val="92"/>
              </w:rPr>
              <w:t>(Commission File Number)</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760" w:type="dxa"/>
            <w:vAlign w:val="bottom"/>
          </w:tcPr>
          <w:p>
            <w:pPr>
              <w:jc w:val="center"/>
              <w:ind w:right="81"/>
              <w:spacing w:after="0"/>
              <w:rPr>
                <w:sz w:val="20"/>
                <w:szCs w:val="20"/>
                <w:color w:val="auto"/>
              </w:rPr>
            </w:pPr>
            <w:r>
              <w:rPr>
                <w:rFonts w:ascii="Arial" w:cs="Arial" w:eastAsia="Arial" w:hAnsi="Arial"/>
                <w:sz w:val="16"/>
                <w:szCs w:val="16"/>
                <w:color w:val="auto"/>
                <w:w w:val="92"/>
              </w:rPr>
              <w:t>(I.R.S. Employer Identification No.)</w:t>
            </w:r>
          </w:p>
        </w:tc>
      </w:tr>
      <w:tr>
        <w:trPr>
          <w:trHeight w:val="528"/>
        </w:trPr>
        <w:tc>
          <w:tcPr>
            <w:tcW w:w="5980" w:type="dxa"/>
            <w:vAlign w:val="bottom"/>
            <w:gridSpan w:val="4"/>
          </w:tcPr>
          <w:p>
            <w:pPr>
              <w:jc w:val="center"/>
              <w:ind w:left="41"/>
              <w:spacing w:after="0"/>
              <w:rPr>
                <w:sz w:val="20"/>
                <w:szCs w:val="20"/>
                <w:color w:val="auto"/>
              </w:rPr>
            </w:pPr>
            <w:r>
              <w:rPr>
                <w:rFonts w:ascii="Arial" w:cs="Arial" w:eastAsia="Arial" w:hAnsi="Arial"/>
                <w:sz w:val="16"/>
                <w:szCs w:val="16"/>
                <w:b w:val="1"/>
                <w:bCs w:val="1"/>
                <w:color w:val="auto"/>
                <w:w w:val="88"/>
              </w:rPr>
              <w:t>121 South 13th Street, Suite 100</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tcPr>
          <w:p>
            <w:pPr>
              <w:spacing w:after="0"/>
              <w:rPr>
                <w:sz w:val="24"/>
                <w:szCs w:val="24"/>
                <w:color w:val="auto"/>
              </w:rPr>
            </w:pPr>
          </w:p>
        </w:tc>
      </w:tr>
      <w:tr>
        <w:trPr>
          <w:trHeight w:val="214"/>
        </w:trPr>
        <w:tc>
          <w:tcPr>
            <w:tcW w:w="3760" w:type="dxa"/>
            <w:vAlign w:val="bottom"/>
            <w:gridSpan w:val="2"/>
          </w:tcPr>
          <w:p>
            <w:pPr>
              <w:jc w:val="center"/>
              <w:ind w:left="2281"/>
              <w:spacing w:after="0"/>
              <w:rPr>
                <w:sz w:val="20"/>
                <w:szCs w:val="20"/>
                <w:color w:val="auto"/>
              </w:rPr>
            </w:pPr>
            <w:r>
              <w:rPr>
                <w:rFonts w:ascii="Arial" w:cs="Arial" w:eastAsia="Arial" w:hAnsi="Arial"/>
                <w:sz w:val="16"/>
                <w:szCs w:val="16"/>
                <w:b w:val="1"/>
                <w:bCs w:val="1"/>
                <w:color w:val="auto"/>
                <w:w w:val="89"/>
              </w:rPr>
              <w:t>Lincoln, Nebraska</w:t>
            </w:r>
          </w:p>
        </w:tc>
        <w:tc>
          <w:tcPr>
            <w:tcW w:w="2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940" w:type="dxa"/>
            <w:vAlign w:val="bottom"/>
            <w:gridSpan w:val="3"/>
          </w:tcPr>
          <w:p>
            <w:pPr>
              <w:jc w:val="right"/>
              <w:ind w:right="1081"/>
              <w:spacing w:after="0"/>
              <w:rPr>
                <w:sz w:val="20"/>
                <w:szCs w:val="20"/>
                <w:color w:val="auto"/>
              </w:rPr>
            </w:pPr>
            <w:r>
              <w:rPr>
                <w:rFonts w:ascii="Arial" w:cs="Arial" w:eastAsia="Arial" w:hAnsi="Arial"/>
                <w:sz w:val="16"/>
                <w:szCs w:val="16"/>
                <w:b w:val="1"/>
                <w:bCs w:val="1"/>
                <w:color w:val="auto"/>
              </w:rPr>
              <w:t>68508</w:t>
            </w:r>
          </w:p>
        </w:tc>
      </w:tr>
      <w:tr>
        <w:trPr>
          <w:trHeight w:val="208"/>
        </w:trPr>
        <w:tc>
          <w:tcPr>
            <w:tcW w:w="5980" w:type="dxa"/>
            <w:vAlign w:val="bottom"/>
            <w:tcBorders>
              <w:top w:val="single" w:sz="8" w:color="auto"/>
            </w:tcBorders>
            <w:gridSpan w:val="4"/>
          </w:tcPr>
          <w:p>
            <w:pPr>
              <w:jc w:val="center"/>
              <w:ind w:left="41"/>
              <w:spacing w:after="0"/>
              <w:rPr>
                <w:sz w:val="20"/>
                <w:szCs w:val="20"/>
                <w:color w:val="auto"/>
              </w:rPr>
            </w:pPr>
            <w:r>
              <w:rPr>
                <w:rFonts w:ascii="Arial" w:cs="Arial" w:eastAsia="Arial" w:hAnsi="Arial"/>
                <w:sz w:val="16"/>
                <w:szCs w:val="16"/>
                <w:color w:val="auto"/>
                <w:w w:val="91"/>
              </w:rPr>
              <w:t>(Address of principal executive offices)</w:t>
            </w:r>
          </w:p>
        </w:tc>
        <w:tc>
          <w:tcPr>
            <w:tcW w:w="1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76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2"/>
              </w:rPr>
              <w:t>(Zip Code)</w:t>
            </w:r>
          </w:p>
        </w:tc>
      </w:tr>
    </w:tbl>
    <w:p>
      <w:pPr>
        <w:spacing w:after="0" w:line="93"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Registrant's telephone number, including area code </w:t>
      </w:r>
      <w:r>
        <w:rPr>
          <w:rFonts w:ascii="Arial" w:cs="Arial" w:eastAsia="Arial" w:hAnsi="Arial"/>
          <w:sz w:val="17"/>
          <w:szCs w:val="17"/>
          <w:b w:val="1"/>
          <w:bCs w:val="1"/>
          <w:color w:val="auto"/>
        </w:rPr>
        <w:t>(402) 458-2370</w:t>
      </w:r>
    </w:p>
    <w:p>
      <w:pPr>
        <w:spacing w:after="0" w:line="351"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 below if the Form 8-K filing is intended to simultaneously satisfy the filing obligation of the registrant under any of the following provisions:</w:t>
      </w:r>
    </w:p>
    <w:p>
      <w:pPr>
        <w:spacing w:after="0" w:line="140" w:lineRule="exact"/>
        <w:rPr>
          <w:sz w:val="24"/>
          <w:szCs w:val="24"/>
          <w:color w:val="auto"/>
        </w:rPr>
      </w:pPr>
    </w:p>
    <w:p>
      <w:pPr>
        <w:ind w:left="100" w:hanging="94"/>
        <w:spacing w:after="0"/>
        <w:tabs>
          <w:tab w:leader="none" w:pos="100" w:val="left"/>
        </w:tabs>
        <w:numPr>
          <w:ilvl w:val="0"/>
          <w:numId w:val="1"/>
        </w:numPr>
        <w:rPr>
          <w:rFonts w:ascii="Arial" w:cs="Arial" w:eastAsia="Arial" w:hAnsi="Arial"/>
          <w:sz w:val="16"/>
          <w:szCs w:val="16"/>
          <w:color w:val="auto"/>
        </w:rPr>
      </w:pPr>
      <w:r>
        <w:rPr>
          <w:rFonts w:ascii="Arial" w:cs="Arial" w:eastAsia="Arial" w:hAnsi="Arial"/>
          <w:sz w:val="16"/>
          <w:szCs w:val="16"/>
          <w:color w:val="auto"/>
        </w:rPr>
        <w:t>] Written communications pursuant to Rule 425 under the Securities Act (17 CFR 230.425)</w:t>
      </w:r>
    </w:p>
    <w:p>
      <w:pPr>
        <w:spacing w:after="0" w:line="171" w:lineRule="exact"/>
        <w:rPr>
          <w:rFonts w:ascii="Arial" w:cs="Arial" w:eastAsia="Arial" w:hAnsi="Arial"/>
          <w:sz w:val="16"/>
          <w:szCs w:val="16"/>
          <w:color w:val="auto"/>
        </w:rPr>
      </w:pPr>
    </w:p>
    <w:p>
      <w:pPr>
        <w:ind w:left="100" w:hanging="94"/>
        <w:spacing w:after="0"/>
        <w:tabs>
          <w:tab w:leader="none" w:pos="100" w:val="left"/>
        </w:tabs>
        <w:numPr>
          <w:ilvl w:val="0"/>
          <w:numId w:val="1"/>
        </w:numPr>
        <w:rPr>
          <w:rFonts w:ascii="Arial" w:cs="Arial" w:eastAsia="Arial" w:hAnsi="Arial"/>
          <w:sz w:val="16"/>
          <w:szCs w:val="16"/>
          <w:color w:val="auto"/>
        </w:rPr>
      </w:pPr>
      <w:r>
        <w:rPr>
          <w:rFonts w:ascii="Arial" w:cs="Arial" w:eastAsia="Arial" w:hAnsi="Arial"/>
          <w:sz w:val="16"/>
          <w:szCs w:val="16"/>
          <w:color w:val="auto"/>
        </w:rPr>
        <w:t>] Soliciting material pursuant to Rule 14a-12 under the Exchange Act (17 CFR 240.14a-12)</w:t>
      </w:r>
    </w:p>
    <w:p>
      <w:pPr>
        <w:spacing w:after="0" w:line="172" w:lineRule="exact"/>
        <w:rPr>
          <w:sz w:val="24"/>
          <w:szCs w:val="24"/>
          <w:color w:val="auto"/>
        </w:rPr>
      </w:pPr>
    </w:p>
    <w:p>
      <w:pPr>
        <w:ind w:left="260" w:right="5520" w:hanging="254"/>
        <w:spacing w:after="0" w:line="260" w:lineRule="auto"/>
        <w:tabs>
          <w:tab w:leader="none" w:pos="93" w:val="left"/>
        </w:tabs>
        <w:numPr>
          <w:ilvl w:val="0"/>
          <w:numId w:val="2"/>
        </w:numPr>
        <w:rPr>
          <w:rFonts w:ascii="Arial" w:cs="Arial" w:eastAsia="Arial" w:hAnsi="Arial"/>
          <w:sz w:val="16"/>
          <w:szCs w:val="16"/>
          <w:color w:val="auto"/>
        </w:rPr>
      </w:pPr>
      <w:r>
        <w:rPr>
          <w:rFonts w:ascii="Arial" w:cs="Arial" w:eastAsia="Arial" w:hAnsi="Arial"/>
          <w:sz w:val="16"/>
          <w:szCs w:val="16"/>
          <w:color w:val="auto"/>
        </w:rPr>
        <w:t>] Pre-commencement communications pursuant to Rule 14d-2(b) under the Exchange Act (17 CFR 240.14d-2(b))</w:t>
      </w:r>
    </w:p>
    <w:p>
      <w:pPr>
        <w:spacing w:after="0" w:line="173" w:lineRule="exact"/>
        <w:rPr>
          <w:sz w:val="24"/>
          <w:szCs w:val="24"/>
          <w:color w:val="auto"/>
        </w:rPr>
      </w:pPr>
    </w:p>
    <w:p>
      <w:pPr>
        <w:ind w:left="260" w:right="5540" w:hanging="254"/>
        <w:spacing w:after="0" w:line="260" w:lineRule="auto"/>
        <w:tabs>
          <w:tab w:leader="none" w:pos="93" w:val="left"/>
        </w:tabs>
        <w:numPr>
          <w:ilvl w:val="0"/>
          <w:numId w:val="3"/>
        </w:numPr>
        <w:rPr>
          <w:rFonts w:ascii="Arial" w:cs="Arial" w:eastAsia="Arial" w:hAnsi="Arial"/>
          <w:sz w:val="16"/>
          <w:szCs w:val="16"/>
          <w:color w:val="auto"/>
        </w:rPr>
      </w:pPr>
      <w:r>
        <w:rPr>
          <w:rFonts w:ascii="Arial" w:cs="Arial" w:eastAsia="Arial" w:hAnsi="Arial"/>
          <w:sz w:val="16"/>
          <w:szCs w:val="16"/>
          <w:color w:val="auto"/>
        </w:rPr>
        <w:t>] Pre-commencement communications pursuant to Rule 13e-4(c) under the Exchange Act (17 CFR 240.13e-4(c))</w:t>
      </w:r>
    </w:p>
    <w:p>
      <w:pPr>
        <w:spacing w:after="0" w:line="151" w:lineRule="exact"/>
        <w:rPr>
          <w:sz w:val="24"/>
          <w:szCs w:val="24"/>
          <w:color w:val="auto"/>
        </w:rPr>
      </w:pPr>
    </w:p>
    <w:p>
      <w:pPr>
        <w:spacing w:after="0"/>
        <w:rPr>
          <w:sz w:val="20"/>
          <w:szCs w:val="20"/>
          <w:color w:val="auto"/>
        </w:rPr>
      </w:pPr>
      <w:r>
        <w:rPr>
          <w:rFonts w:ascii="Arial" w:cs="Arial" w:eastAsia="Arial" w:hAnsi="Arial"/>
          <w:sz w:val="16"/>
          <w:szCs w:val="16"/>
          <w:color w:val="auto"/>
        </w:rPr>
        <w:t>Securities registered pursuant to Section 12(b) of the Act:</w:t>
      </w:r>
    </w:p>
    <w:p>
      <w:pPr>
        <w:spacing w:after="0" w:line="102" w:lineRule="exact"/>
        <w:rPr>
          <w:sz w:val="24"/>
          <w:szCs w:val="24"/>
          <w:color w:val="auto"/>
        </w:rPr>
      </w:pPr>
    </w:p>
    <w:tbl>
      <w:tblPr>
        <w:tblLayout w:type="fixed"/>
        <w:tblInd w:w="330" w:type="dxa"/>
        <w:tblCellMar>
          <w:top w:w="0" w:type="dxa"/>
          <w:left w:w="0" w:type="dxa"/>
          <w:bottom w:w="0" w:type="dxa"/>
          <w:right w:w="0" w:type="dxa"/>
        </w:tblCellMar>
      </w:tblPr>
      <w:tr>
        <w:trPr>
          <w:trHeight w:val="189"/>
        </w:trPr>
        <w:tc>
          <w:tcPr>
            <w:tcW w:w="436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90"/>
              </w:rPr>
              <w:t>Title of each class</w:t>
            </w:r>
          </w:p>
        </w:tc>
        <w:tc>
          <w:tcPr>
            <w:tcW w:w="2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92"/>
              </w:rPr>
              <w:t>Trading Symbol</w:t>
            </w:r>
          </w:p>
        </w:tc>
        <w:tc>
          <w:tcPr>
            <w:tcW w:w="43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8"/>
              </w:rPr>
              <w:t>Name of each exchange on which registered</w:t>
            </w:r>
          </w:p>
        </w:tc>
      </w:tr>
      <w:tr>
        <w:trPr>
          <w:trHeight w:val="27"/>
        </w:trPr>
        <w:tc>
          <w:tcPr>
            <w:tcW w:w="436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340" w:type="dxa"/>
            <w:vAlign w:val="bottom"/>
            <w:tcBorders>
              <w:bottom w:val="single" w:sz="8" w:color="auto"/>
              <w:right w:val="single" w:sz="8" w:color="auto"/>
            </w:tcBorders>
          </w:tcPr>
          <w:p>
            <w:pPr>
              <w:spacing w:after="0"/>
              <w:rPr>
                <w:sz w:val="2"/>
                <w:szCs w:val="2"/>
                <w:color w:val="auto"/>
              </w:rPr>
            </w:pPr>
          </w:p>
        </w:tc>
      </w:tr>
      <w:tr>
        <w:trPr>
          <w:trHeight w:val="169"/>
        </w:trPr>
        <w:tc>
          <w:tcPr>
            <w:tcW w:w="43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9"/>
              </w:rPr>
              <w:t>Class A Common Stock, Par Value $0.01 per Share</w:t>
            </w:r>
          </w:p>
        </w:tc>
        <w:tc>
          <w:tcPr>
            <w:tcW w:w="21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98"/>
              </w:rPr>
              <w:t>NNI</w:t>
            </w:r>
          </w:p>
        </w:tc>
        <w:tc>
          <w:tcPr>
            <w:tcW w:w="434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90"/>
              </w:rPr>
              <w:t>New York Stock Exchange</w:t>
            </w:r>
          </w:p>
        </w:tc>
      </w:tr>
      <w:tr>
        <w:trPr>
          <w:trHeight w:val="27"/>
        </w:trPr>
        <w:tc>
          <w:tcPr>
            <w:tcW w:w="436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340" w:type="dxa"/>
            <w:vAlign w:val="bottom"/>
            <w:tcBorders>
              <w:bottom w:val="single" w:sz="8" w:color="auto"/>
              <w:right w:val="single" w:sz="8" w:color="auto"/>
            </w:tcBorders>
          </w:tcPr>
          <w:p>
            <w:pPr>
              <w:spacing w:after="0"/>
              <w:rPr>
                <w:sz w:val="2"/>
                <w:szCs w:val="2"/>
                <w:color w:val="auto"/>
              </w:rPr>
            </w:pPr>
          </w:p>
        </w:tc>
      </w:tr>
    </w:tbl>
    <w:p>
      <w:pPr>
        <w:spacing w:after="0" w:line="190" w:lineRule="exact"/>
        <w:rPr>
          <w:sz w:val="24"/>
          <w:szCs w:val="24"/>
          <w:color w:val="auto"/>
        </w:rPr>
      </w:pPr>
    </w:p>
    <w:p>
      <w:pPr>
        <w:spacing w:after="0" w:line="248"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jc w:val="center"/>
        <w:ind w:right="-39"/>
        <w:spacing w:after="0"/>
        <w:tabs>
          <w:tab w:leader="none" w:pos="140" w:val="left"/>
        </w:tabs>
        <w:rPr>
          <w:sz w:val="20"/>
          <w:szCs w:val="20"/>
          <w:color w:val="auto"/>
        </w:rPr>
      </w:pPr>
      <w:r>
        <w:rPr>
          <w:rFonts w:ascii="Arial" w:cs="Arial" w:eastAsia="Arial" w:hAnsi="Arial"/>
          <w:sz w:val="16"/>
          <w:szCs w:val="16"/>
          <w:color w:val="auto"/>
        </w:rPr>
        <w:t>Emerging growth company</w:t>
        <w:tab/>
        <w:t>[ ]</w:t>
      </w:r>
    </w:p>
    <w:p>
      <w:pPr>
        <w:spacing w:after="0" w:line="190" w:lineRule="exact"/>
        <w:rPr>
          <w:sz w:val="24"/>
          <w:szCs w:val="24"/>
          <w:color w:val="auto"/>
        </w:rPr>
      </w:pPr>
    </w:p>
    <w:p>
      <w:pPr>
        <w:spacing w:after="0"/>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w:t>
      </w:r>
    </w:p>
    <w:p>
      <w:pPr>
        <w:spacing w:after="0" w:line="36" w:lineRule="exact"/>
        <w:rPr>
          <w:sz w:val="24"/>
          <w:szCs w:val="24"/>
          <w:color w:val="auto"/>
        </w:rPr>
      </w:pPr>
    </w:p>
    <w:p>
      <w:pPr>
        <w:spacing w:after="0"/>
        <w:tabs>
          <w:tab w:leader="none" w:pos="6340" w:val="left"/>
        </w:tabs>
        <w:rPr>
          <w:sz w:val="20"/>
          <w:szCs w:val="20"/>
          <w:color w:val="auto"/>
        </w:rPr>
      </w:pPr>
      <w:r>
        <w:rPr>
          <w:rFonts w:ascii="Arial" w:cs="Arial" w:eastAsia="Arial" w:hAnsi="Arial"/>
          <w:sz w:val="16"/>
          <w:szCs w:val="16"/>
          <w:color w:val="auto"/>
        </w:rPr>
        <w:t>accounting standards provided pursuant to Section 13(a) of the Exchange Act.</w:t>
      </w:r>
      <w:r>
        <w:rPr>
          <w:sz w:val="20"/>
          <w:szCs w:val="20"/>
          <w:color w:val="auto"/>
        </w:rPr>
        <w:tab/>
      </w:r>
      <w:r>
        <w:rPr>
          <w:rFonts w:ascii="Arial" w:cs="Arial" w:eastAsia="Arial" w:hAnsi="Arial"/>
          <w:sz w:val="16"/>
          <w:szCs w:val="16"/>
          <w:color w:val="auto"/>
        </w:rPr>
        <w:t>[ ]</w:t>
      </w:r>
    </w:p>
    <w:p>
      <w:pPr>
        <w:sectPr>
          <w:pgSz w:w="11900" w:h="16838" w:orient="portrait"/>
          <w:cols w:equalWidth="0" w:num="1">
            <w:col w:w="11300"/>
          </w:cols>
          <w:pgMar w:left="220" w:top="580" w:right="379" w:bottom="1440" w:gutter="0" w:footer="0" w:header="0"/>
        </w:sectPr>
      </w:pPr>
    </w:p>
    <w:bookmarkStart w:id="1" w:name="page2"/>
    <w:bookmarkEnd w:id="1"/>
    <w:p>
      <w:pPr>
        <w:ind w:left="260"/>
        <w:spacing w:after="0"/>
        <w:rPr>
          <w:sz w:val="20"/>
          <w:szCs w:val="20"/>
          <w:color w:val="auto"/>
        </w:rPr>
      </w:pPr>
      <w:r>
        <w:rPr>
          <w:rFonts w:ascii="Arial" w:cs="Arial" w:eastAsia="Arial" w:hAnsi="Arial"/>
          <w:sz w:val="14"/>
          <w:szCs w:val="14"/>
          <w:b w:val="1"/>
          <w:bCs w:val="1"/>
          <w:color w:val="auto"/>
        </w:rPr>
        <w:t>Item 5.02 Departure of Directors or Certain Officers; Election of Directors; Appointment of Certain Officers; Compensatory Arrangements of Certain Officers.</w:t>
      </w:r>
    </w:p>
    <w:p>
      <w:pPr>
        <w:spacing w:after="0" w:line="188"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At the 2019 annual meeting of shareholders of Nelnet, Inc. (the "Company") held on May 23, 2019 (the "Annual Meeting"), the shareholder voting results of which are reported below under Item 5.07 of this report, the Company's shareholders approved a new Executive Officers Incentive Compensation Plan. The new Executive Officers Incentive Compensation Plan was previously approved by the Company's Board of Directors, subject to shareholder approval.</w:t>
      </w:r>
    </w:p>
    <w:p>
      <w:pPr>
        <w:spacing w:after="0" w:line="142" w:lineRule="exact"/>
        <w:rPr>
          <w:sz w:val="20"/>
          <w:szCs w:val="20"/>
          <w:color w:val="auto"/>
        </w:rPr>
      </w:pPr>
    </w:p>
    <w:p>
      <w:pPr>
        <w:jc w:val="both"/>
        <w:spacing w:after="0" w:line="283" w:lineRule="auto"/>
        <w:rPr>
          <w:sz w:val="20"/>
          <w:szCs w:val="20"/>
          <w:color w:val="auto"/>
        </w:rPr>
      </w:pPr>
      <w:r>
        <w:rPr>
          <w:rFonts w:ascii="Arial" w:cs="Arial" w:eastAsia="Arial" w:hAnsi="Arial"/>
          <w:sz w:val="13"/>
          <w:szCs w:val="13"/>
          <w:color w:val="auto"/>
        </w:rPr>
        <w:t>In summary, the new Executive Officers Incentive Compensation Plan is intended to provide the Company's executive officers with opportunities to earn performance-based compensation that aligns their interests with the interests of shareholders, based on certain performance criteria and goals that may be established by the Compensation Committee of the Board of Directors. The new Executive Officers Incentive Compensation Plan plan replaces the previous shareholder-approved Executive Officers Incentive Compensation Plan, which expired pursuant to its terms on January 1, 2019 and was designed so that compensation under that plan could qualify for the previous "performance based compensation" exemption from the limits on tax deductibility imposed by Section 162(m) of the Internal Revenue Code, which exemption was repealed under the Tax Cuts and Jobs Act which became effective on January 1, 2018. The new Executive Officers Incentive Compensation Plan is similar to the previous plan, except that it removes certain references and specific requirements applicable to the previous "performance based compensation" framework under Section 162(m), and thus is more flexible than the previous plan. The new Executive Officers Incentive Compensation Plan is effective as of January 1, 2019 and is administered by the Compensation Committee, which will select those executive officers who will be eligible for incentive compensation awards, determine the performance criteria and goals to which awards will be subject, and determine the payability of awards upon the attainment of performance goals.</w:t>
      </w:r>
    </w:p>
    <w:p>
      <w:pPr>
        <w:spacing w:after="0" w:line="138" w:lineRule="exact"/>
        <w:rPr>
          <w:sz w:val="20"/>
          <w:szCs w:val="20"/>
          <w:color w:val="auto"/>
        </w:rPr>
      </w:pPr>
    </w:p>
    <w:p>
      <w:pPr>
        <w:jc w:val="both"/>
        <w:spacing w:after="0" w:line="272" w:lineRule="auto"/>
        <w:rPr>
          <w:sz w:val="20"/>
          <w:szCs w:val="20"/>
          <w:color w:val="auto"/>
        </w:rPr>
      </w:pPr>
      <w:r>
        <w:rPr>
          <w:rFonts w:ascii="Arial" w:cs="Arial" w:eastAsia="Arial" w:hAnsi="Arial"/>
          <w:sz w:val="14"/>
          <w:szCs w:val="14"/>
          <w:color w:val="auto"/>
        </w:rPr>
        <w:t>Additional information about the new Executive Officers Incentive Compensation Plan can be found in the Company's definitive proxy statement for the Annual Meeting, as filed with the Securities and Exchange Commission on April 12, 2019. The foregoing summary is qualified in its entirety by reference to the complete text of the new Executive Officers Incentive Compensation Plan, a copy of which is filed with this report as Exhibit 10.1.</w:t>
      </w:r>
    </w:p>
    <w:p>
      <w:pPr>
        <w:spacing w:after="0" w:line="138" w:lineRule="exact"/>
        <w:rPr>
          <w:sz w:val="20"/>
          <w:szCs w:val="20"/>
          <w:color w:val="auto"/>
        </w:rPr>
      </w:pPr>
    </w:p>
    <w:p>
      <w:pPr>
        <w:ind w:left="260"/>
        <w:spacing w:after="0"/>
        <w:rPr>
          <w:sz w:val="20"/>
          <w:szCs w:val="20"/>
          <w:color w:val="auto"/>
        </w:rPr>
      </w:pPr>
      <w:r>
        <w:rPr>
          <w:rFonts w:ascii="Arial" w:cs="Arial" w:eastAsia="Arial" w:hAnsi="Arial"/>
          <w:sz w:val="14"/>
          <w:szCs w:val="14"/>
          <w:b w:val="1"/>
          <w:bCs w:val="1"/>
          <w:color w:val="auto"/>
        </w:rPr>
        <w:t>Item 5.03 Amendments to Articles of Incorporation or Bylaws; Change in Fiscal Year.</w:t>
      </w:r>
    </w:p>
    <w:p>
      <w:pPr>
        <w:spacing w:after="0" w:line="253" w:lineRule="exact"/>
        <w:rPr>
          <w:sz w:val="20"/>
          <w:szCs w:val="20"/>
          <w:color w:val="auto"/>
        </w:rPr>
      </w:pPr>
    </w:p>
    <w:p>
      <w:pPr>
        <w:jc w:val="both"/>
        <w:spacing w:after="0" w:line="264" w:lineRule="auto"/>
        <w:rPr>
          <w:sz w:val="20"/>
          <w:szCs w:val="20"/>
          <w:color w:val="auto"/>
        </w:rPr>
      </w:pPr>
      <w:r>
        <w:rPr>
          <w:rFonts w:ascii="Arial" w:cs="Arial" w:eastAsia="Arial" w:hAnsi="Arial"/>
          <w:sz w:val="14"/>
          <w:szCs w:val="14"/>
          <w:color w:val="auto"/>
        </w:rPr>
        <w:t>As reported below under Item 5.07 of this report, at the Company's Annual Meeting, the Company's shareholders approved an amendment to the Company’s articles of incorporation (the “Articles of Incorporation”). As a result, on May 23, 2019, the Company filed Articles of Amendment to Third Amended and Restated Articles of Incorporation (the “Articles of Amendment”) with the Nebraska Secretary of State, pursuant to which the approved amendment (the “Amendment”) to the first paragraph of Section 4.6 of the Articles of Incorporation to modify the restrictions for trusts which may hold Class B common stock (“Class B Shares”), with ten votes per share, without conversion into Class A common stock (“Class A Shares”), with one vote per share, became effective.</w:t>
      </w:r>
    </w:p>
    <w:p>
      <w:pPr>
        <w:spacing w:after="0" w:line="106" w:lineRule="exact"/>
        <w:rPr>
          <w:sz w:val="20"/>
          <w:szCs w:val="20"/>
          <w:color w:val="auto"/>
        </w:rPr>
      </w:pPr>
    </w:p>
    <w:p>
      <w:pPr>
        <w:jc w:val="both"/>
        <w:spacing w:after="0" w:line="263" w:lineRule="auto"/>
        <w:rPr>
          <w:sz w:val="20"/>
          <w:szCs w:val="20"/>
          <w:color w:val="auto"/>
        </w:rPr>
      </w:pPr>
      <w:r>
        <w:rPr>
          <w:rFonts w:ascii="Arial" w:cs="Arial" w:eastAsia="Arial" w:hAnsi="Arial"/>
          <w:sz w:val="14"/>
          <w:szCs w:val="14"/>
          <w:color w:val="auto"/>
        </w:rPr>
        <w:t>In summary, the Amendment made changes to the description of eligible trust beneficiaries, in part utilizing a uniform law “qualified beneficiary” term, in order to simplify and clarify the requirements for beneficiaries of trusts to which transfers of Class B Shares may be made without automatic conversion of such Class B Shares into Class A Shares, and thereby facilitate the use of customary estate planning trusts by holders of Class B Shares who do not intend for such shares to be converted, without inordinate time required of the Company in reviewing such trusts to determine the proper classification of such shares upon transfer to such trusts under the prior provisions of the Articles of Incorporation. The Company’s definitive proxy statement for the Annual Meeting as filed with the Securities and Exchange Commission on April 12, 2019 included under the description of the Amendment a marked version of the first paragraph of Section 4.6 of the Articles of Incorporation to show the Amendment in strikethrough and underlined text.</w:t>
      </w:r>
    </w:p>
    <w:p>
      <w:pPr>
        <w:spacing w:after="0" w:line="105" w:lineRule="exact"/>
        <w:rPr>
          <w:sz w:val="20"/>
          <w:szCs w:val="20"/>
          <w:color w:val="auto"/>
        </w:rPr>
      </w:pPr>
    </w:p>
    <w:p>
      <w:pPr>
        <w:jc w:val="both"/>
        <w:spacing w:after="0" w:line="288" w:lineRule="auto"/>
        <w:rPr>
          <w:sz w:val="20"/>
          <w:szCs w:val="20"/>
          <w:color w:val="auto"/>
        </w:rPr>
      </w:pPr>
      <w:r>
        <w:rPr>
          <w:rFonts w:ascii="Arial" w:cs="Arial" w:eastAsia="Arial" w:hAnsi="Arial"/>
          <w:sz w:val="14"/>
          <w:szCs w:val="14"/>
          <w:color w:val="auto"/>
        </w:rPr>
        <w:t>The above description of the Amendment is qualified in its entirety by reference to the complete text of the amended provisions contained in the Articles of Amendment, a copy of which is filed with this report as Exhibit 3.1.</w:t>
      </w:r>
    </w:p>
    <w:p>
      <w:pPr>
        <w:sectPr>
          <w:pgSz w:w="11900" w:h="16838" w:orient="portrait"/>
          <w:cols w:equalWidth="0" w:num="1">
            <w:col w:w="11200"/>
          </w:cols>
          <w:pgMar w:left="480" w:top="1246" w:right="219" w:bottom="1440" w:gutter="0" w:footer="0" w:header="0"/>
        </w:sectPr>
      </w:pPr>
    </w:p>
    <w:bookmarkStart w:id="2" w:name="page3"/>
    <w:bookmarkEnd w:id="2"/>
    <w:p>
      <w:pPr>
        <w:ind w:left="260"/>
        <w:spacing w:after="0"/>
        <w:rPr>
          <w:sz w:val="20"/>
          <w:szCs w:val="20"/>
          <w:color w:val="auto"/>
        </w:rPr>
      </w:pPr>
      <w:r>
        <w:rPr>
          <w:rFonts w:ascii="Arial" w:cs="Arial" w:eastAsia="Arial" w:hAnsi="Arial"/>
          <w:sz w:val="14"/>
          <w:szCs w:val="14"/>
          <w:b w:val="1"/>
          <w:bCs w:val="1"/>
          <w:color w:val="auto"/>
        </w:rPr>
        <w:t>Item 5.07 Submission of Matters to a Vote of Security Holders.</w:t>
      </w:r>
    </w:p>
    <w:p>
      <w:pPr>
        <w:spacing w:after="0" w:line="188"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The Company held its 2019 annual meeting of shareholders on May 23, 2019. At the meeting, the following proposals were submitted to a vote of our shareholders, with the voting results indicated below:</w:t>
      </w:r>
    </w:p>
    <w:p>
      <w:pPr>
        <w:spacing w:after="0" w:line="127" w:lineRule="exact"/>
        <w:rPr>
          <w:sz w:val="20"/>
          <w:szCs w:val="20"/>
          <w:color w:val="auto"/>
        </w:rPr>
      </w:pPr>
    </w:p>
    <w:p>
      <w:pPr>
        <w:spacing w:after="0" w:line="294" w:lineRule="auto"/>
        <w:rPr>
          <w:sz w:val="20"/>
          <w:szCs w:val="20"/>
          <w:color w:val="auto"/>
        </w:rPr>
      </w:pPr>
      <w:r>
        <w:rPr>
          <w:rFonts w:ascii="Arial" w:cs="Arial" w:eastAsia="Arial" w:hAnsi="Arial"/>
          <w:sz w:val="14"/>
          <w:szCs w:val="14"/>
          <w:b w:val="1"/>
          <w:bCs w:val="1"/>
          <w:color w:val="auto"/>
        </w:rPr>
        <w:t xml:space="preserve">Proposal 1: Election of Directors. </w:t>
      </w:r>
      <w:r>
        <w:rPr>
          <w:rFonts w:ascii="Arial" w:cs="Arial" w:eastAsia="Arial" w:hAnsi="Arial"/>
          <w:sz w:val="14"/>
          <w:szCs w:val="14"/>
          <w:color w:val="auto"/>
        </w:rPr>
        <w:t>Our shareholders elected the following three Class II directors to hold office until the 2022 annual meeting of shareholders and until their successors have</w:t>
      </w:r>
      <w:r>
        <w:rPr>
          <w:rFonts w:ascii="Arial" w:cs="Arial" w:eastAsia="Arial" w:hAnsi="Arial"/>
          <w:sz w:val="14"/>
          <w:szCs w:val="14"/>
          <w:b w:val="1"/>
          <w:bCs w:val="1"/>
          <w:color w:val="auto"/>
        </w:rPr>
        <w:t xml:space="preserve"> </w:t>
      </w:r>
      <w:r>
        <w:rPr>
          <w:rFonts w:ascii="Arial" w:cs="Arial" w:eastAsia="Arial" w:hAnsi="Arial"/>
          <w:sz w:val="14"/>
          <w:szCs w:val="14"/>
          <w:color w:val="auto"/>
        </w:rPr>
        <w:t>been duly elected or appointed.</w:t>
      </w:r>
    </w:p>
    <w:p>
      <w:pPr>
        <w:spacing w:after="0" w:line="252" w:lineRule="exact"/>
        <w:rPr>
          <w:sz w:val="20"/>
          <w:szCs w:val="20"/>
          <w:color w:val="auto"/>
        </w:rPr>
      </w:pPr>
    </w:p>
    <w:tbl>
      <w:tblPr>
        <w:tblLayout w:type="fixed"/>
        <w:tblInd w:w="1000" w:type="dxa"/>
        <w:tblCellMar>
          <w:top w:w="0" w:type="dxa"/>
          <w:left w:w="0" w:type="dxa"/>
          <w:bottom w:w="0" w:type="dxa"/>
          <w:right w:w="0" w:type="dxa"/>
        </w:tblCellMar>
      </w:tblPr>
      <w:tr>
        <w:trPr>
          <w:trHeight w:val="186"/>
        </w:trPr>
        <w:tc>
          <w:tcPr>
            <w:tcW w:w="2040" w:type="dxa"/>
            <w:vAlign w:val="bottom"/>
          </w:tcPr>
          <w:p>
            <w:pPr>
              <w:spacing w:after="0"/>
              <w:rPr>
                <w:sz w:val="16"/>
                <w:szCs w:val="16"/>
                <w:color w:val="auto"/>
              </w:rPr>
            </w:pPr>
          </w:p>
        </w:tc>
        <w:tc>
          <w:tcPr>
            <w:tcW w:w="1840" w:type="dxa"/>
            <w:vAlign w:val="bottom"/>
            <w:gridSpan w:val="2"/>
          </w:tcPr>
          <w:p>
            <w:pPr>
              <w:ind w:left="700"/>
              <w:spacing w:after="0"/>
              <w:rPr>
                <w:sz w:val="20"/>
                <w:szCs w:val="20"/>
                <w:color w:val="auto"/>
              </w:rPr>
            </w:pPr>
            <w:r>
              <w:rPr>
                <w:rFonts w:ascii="Arial" w:cs="Arial" w:eastAsia="Arial" w:hAnsi="Arial"/>
                <w:sz w:val="14"/>
                <w:szCs w:val="14"/>
                <w:b w:val="1"/>
                <w:bCs w:val="1"/>
                <w:color w:val="auto"/>
              </w:rPr>
              <w:t>For</w:t>
            </w:r>
          </w:p>
        </w:tc>
        <w:tc>
          <w:tcPr>
            <w:tcW w:w="1840" w:type="dxa"/>
            <w:vAlign w:val="bottom"/>
            <w:gridSpan w:val="2"/>
          </w:tcPr>
          <w:p>
            <w:pPr>
              <w:ind w:left="580"/>
              <w:spacing w:after="0"/>
              <w:rPr>
                <w:sz w:val="20"/>
                <w:szCs w:val="20"/>
                <w:color w:val="auto"/>
              </w:rPr>
            </w:pPr>
            <w:r>
              <w:rPr>
                <w:rFonts w:ascii="Arial" w:cs="Arial" w:eastAsia="Arial" w:hAnsi="Arial"/>
                <w:sz w:val="14"/>
                <w:szCs w:val="14"/>
                <w:b w:val="1"/>
                <w:bCs w:val="1"/>
                <w:color w:val="auto"/>
              </w:rPr>
              <w:t>Against</w:t>
            </w:r>
          </w:p>
        </w:tc>
        <w:tc>
          <w:tcPr>
            <w:tcW w:w="1840" w:type="dxa"/>
            <w:vAlign w:val="bottom"/>
            <w:gridSpan w:val="2"/>
          </w:tcPr>
          <w:p>
            <w:pPr>
              <w:ind w:left="580"/>
              <w:spacing w:after="0"/>
              <w:rPr>
                <w:sz w:val="20"/>
                <w:szCs w:val="20"/>
                <w:color w:val="auto"/>
              </w:rPr>
            </w:pPr>
            <w:r>
              <w:rPr>
                <w:rFonts w:ascii="Arial" w:cs="Arial" w:eastAsia="Arial" w:hAnsi="Arial"/>
                <w:sz w:val="14"/>
                <w:szCs w:val="14"/>
                <w:b w:val="1"/>
                <w:bCs w:val="1"/>
                <w:color w:val="auto"/>
              </w:rPr>
              <w:t>Abstain</w:t>
            </w:r>
          </w:p>
        </w:tc>
        <w:tc>
          <w:tcPr>
            <w:tcW w:w="1660" w:type="dxa"/>
            <w:vAlign w:val="bottom"/>
          </w:tcPr>
          <w:p>
            <w:pPr>
              <w:jc w:val="right"/>
              <w:ind w:right="208"/>
              <w:spacing w:after="0"/>
              <w:rPr>
                <w:sz w:val="20"/>
                <w:szCs w:val="20"/>
                <w:color w:val="auto"/>
              </w:rPr>
            </w:pPr>
            <w:r>
              <w:rPr>
                <w:rFonts w:ascii="Arial" w:cs="Arial" w:eastAsia="Arial" w:hAnsi="Arial"/>
                <w:sz w:val="14"/>
                <w:szCs w:val="14"/>
                <w:b w:val="1"/>
                <w:bCs w:val="1"/>
                <w:color w:val="auto"/>
              </w:rPr>
              <w:t>Broker Non-Votes</w:t>
            </w:r>
          </w:p>
        </w:tc>
      </w:tr>
      <w:tr>
        <w:trPr>
          <w:trHeight w:val="23"/>
        </w:trPr>
        <w:tc>
          <w:tcPr>
            <w:tcW w:w="204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r>
        <w:trPr>
          <w:trHeight w:val="186"/>
        </w:trPr>
        <w:tc>
          <w:tcPr>
            <w:tcW w:w="2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James P. Abel</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136,998,796</w:t>
            </w:r>
          </w:p>
        </w:tc>
        <w:tc>
          <w:tcPr>
            <w:tcW w:w="18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349,068</w:t>
            </w:r>
          </w:p>
        </w:tc>
        <w:tc>
          <w:tcPr>
            <w:tcW w:w="18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11,020</w:t>
            </w:r>
          </w:p>
        </w:tc>
        <w:tc>
          <w:tcPr>
            <w:tcW w:w="180" w:type="dxa"/>
            <w:vAlign w:val="bottom"/>
            <w:tcBorders>
              <w:bottom w:val="single" w:sz="8" w:color="CCEEFF"/>
            </w:tcBorders>
            <w:shd w:val="clear" w:color="auto" w:fill="CCEEFF"/>
          </w:tcPr>
          <w:p>
            <w:pPr>
              <w:spacing w:after="0"/>
              <w:rPr>
                <w:sz w:val="16"/>
                <w:szCs w:val="16"/>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2,651,245</w:t>
            </w:r>
          </w:p>
        </w:tc>
      </w:tr>
      <w:tr>
        <w:trPr>
          <w:trHeight w:val="193"/>
        </w:trPr>
        <w:tc>
          <w:tcPr>
            <w:tcW w:w="2040" w:type="dxa"/>
            <w:vAlign w:val="bottom"/>
          </w:tcPr>
          <w:p>
            <w:pPr>
              <w:ind w:left="20"/>
              <w:spacing w:after="0"/>
              <w:rPr>
                <w:sz w:val="20"/>
                <w:szCs w:val="20"/>
                <w:color w:val="auto"/>
              </w:rPr>
            </w:pPr>
            <w:r>
              <w:rPr>
                <w:rFonts w:ascii="Arial" w:cs="Arial" w:eastAsia="Arial" w:hAnsi="Arial"/>
                <w:sz w:val="14"/>
                <w:szCs w:val="14"/>
                <w:color w:val="auto"/>
              </w:rPr>
              <w:t>William R. Cintani</w:t>
            </w:r>
          </w:p>
        </w:tc>
        <w:tc>
          <w:tcPr>
            <w:tcW w:w="1660" w:type="dxa"/>
            <w:vAlign w:val="bottom"/>
          </w:tcPr>
          <w:p>
            <w:pPr>
              <w:jc w:val="right"/>
              <w:spacing w:after="0"/>
              <w:rPr>
                <w:sz w:val="20"/>
                <w:szCs w:val="20"/>
                <w:color w:val="auto"/>
              </w:rPr>
            </w:pPr>
            <w:r>
              <w:rPr>
                <w:rFonts w:ascii="Arial" w:cs="Arial" w:eastAsia="Arial" w:hAnsi="Arial"/>
                <w:sz w:val="14"/>
                <w:szCs w:val="14"/>
                <w:color w:val="auto"/>
              </w:rPr>
              <w:t>136,132,442</w:t>
            </w:r>
          </w:p>
        </w:tc>
        <w:tc>
          <w:tcPr>
            <w:tcW w:w="180" w:type="dxa"/>
            <w:vAlign w:val="bottom"/>
          </w:tcPr>
          <w:p>
            <w:pPr>
              <w:spacing w:after="0"/>
              <w:rPr>
                <w:sz w:val="16"/>
                <w:szCs w:val="16"/>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1,215,422</w:t>
            </w:r>
          </w:p>
        </w:tc>
        <w:tc>
          <w:tcPr>
            <w:tcW w:w="180" w:type="dxa"/>
            <w:vAlign w:val="bottom"/>
          </w:tcPr>
          <w:p>
            <w:pPr>
              <w:spacing w:after="0"/>
              <w:rPr>
                <w:sz w:val="16"/>
                <w:szCs w:val="16"/>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11,020</w:t>
            </w:r>
          </w:p>
        </w:tc>
        <w:tc>
          <w:tcPr>
            <w:tcW w:w="180" w:type="dxa"/>
            <w:vAlign w:val="bottom"/>
          </w:tcPr>
          <w:p>
            <w:pPr>
              <w:spacing w:after="0"/>
              <w:rPr>
                <w:sz w:val="16"/>
                <w:szCs w:val="16"/>
                <w:color w:val="auto"/>
              </w:rPr>
            </w:pPr>
          </w:p>
        </w:tc>
        <w:tc>
          <w:tcPr>
            <w:tcW w:w="1660" w:type="dxa"/>
            <w:vAlign w:val="bottom"/>
          </w:tcPr>
          <w:p>
            <w:pPr>
              <w:jc w:val="right"/>
              <w:spacing w:after="0"/>
              <w:rPr>
                <w:sz w:val="20"/>
                <w:szCs w:val="20"/>
                <w:color w:val="auto"/>
              </w:rPr>
            </w:pPr>
            <w:r>
              <w:rPr>
                <w:rFonts w:ascii="Arial" w:cs="Arial" w:eastAsia="Arial" w:hAnsi="Arial"/>
                <w:sz w:val="14"/>
                <w:szCs w:val="14"/>
                <w:color w:val="auto"/>
              </w:rPr>
              <w:t>2,651,245</w:t>
            </w:r>
          </w:p>
        </w:tc>
      </w:tr>
      <w:tr>
        <w:trPr>
          <w:trHeight w:val="23"/>
        </w:trPr>
        <w:tc>
          <w:tcPr>
            <w:tcW w:w="204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r>
      <w:tr>
        <w:trPr>
          <w:trHeight w:val="193"/>
        </w:trPr>
        <w:tc>
          <w:tcPr>
            <w:tcW w:w="2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Kimberly K. Rath</w:t>
            </w: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132,216,790</w:t>
            </w:r>
          </w:p>
        </w:tc>
        <w:tc>
          <w:tcPr>
            <w:tcW w:w="180" w:type="dxa"/>
            <w:vAlign w:val="bottom"/>
            <w:shd w:val="clear" w:color="auto" w:fill="CCEEFF"/>
          </w:tcPr>
          <w:p>
            <w:pPr>
              <w:spacing w:after="0"/>
              <w:rPr>
                <w:sz w:val="16"/>
                <w:szCs w:val="16"/>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5,130,983</w:t>
            </w:r>
          </w:p>
        </w:tc>
        <w:tc>
          <w:tcPr>
            <w:tcW w:w="180" w:type="dxa"/>
            <w:vAlign w:val="bottom"/>
            <w:shd w:val="clear" w:color="auto" w:fill="CCEEFF"/>
          </w:tcPr>
          <w:p>
            <w:pPr>
              <w:spacing w:after="0"/>
              <w:rPr>
                <w:sz w:val="16"/>
                <w:szCs w:val="16"/>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11,111</w:t>
            </w:r>
          </w:p>
        </w:tc>
        <w:tc>
          <w:tcPr>
            <w:tcW w:w="180" w:type="dxa"/>
            <w:vAlign w:val="bottom"/>
            <w:shd w:val="clear" w:color="auto" w:fill="CCEEFF"/>
          </w:tcPr>
          <w:p>
            <w:pPr>
              <w:spacing w:after="0"/>
              <w:rPr>
                <w:sz w:val="16"/>
                <w:szCs w:val="16"/>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2,651,245</w:t>
            </w:r>
          </w:p>
        </w:tc>
      </w:tr>
      <w:tr>
        <w:trPr>
          <w:trHeight w:val="23"/>
        </w:trPr>
        <w:tc>
          <w:tcPr>
            <w:tcW w:w="2040" w:type="dxa"/>
            <w:vAlign w:val="bottom"/>
            <w:shd w:val="clear" w:color="auto" w:fill="CCEEFF"/>
          </w:tcPr>
          <w:p>
            <w:pPr>
              <w:spacing w:after="0" w:line="20" w:lineRule="exact"/>
              <w:rPr>
                <w:sz w:val="1"/>
                <w:szCs w:val="1"/>
                <w:color w:val="auto"/>
              </w:rPr>
            </w:pPr>
          </w:p>
        </w:tc>
        <w:tc>
          <w:tcPr>
            <w:tcW w:w="16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60" w:type="dxa"/>
            <w:vAlign w:val="bottom"/>
            <w:shd w:val="clear" w:color="auto" w:fill="CCEEFF"/>
          </w:tcPr>
          <w:p>
            <w:pPr>
              <w:spacing w:after="0" w:line="20" w:lineRule="exact"/>
              <w:rPr>
                <w:sz w:val="1"/>
                <w:szCs w:val="1"/>
                <w:color w:val="auto"/>
              </w:rPr>
            </w:pPr>
          </w:p>
        </w:tc>
      </w:tr>
    </w:tbl>
    <w:p>
      <w:pPr>
        <w:spacing w:after="0" w:line="158" w:lineRule="exact"/>
        <w:rPr>
          <w:sz w:val="20"/>
          <w:szCs w:val="20"/>
          <w:color w:val="auto"/>
        </w:rPr>
      </w:pPr>
    </w:p>
    <w:p>
      <w:pPr>
        <w:spacing w:after="0" w:line="294" w:lineRule="auto"/>
        <w:rPr>
          <w:sz w:val="20"/>
          <w:szCs w:val="20"/>
          <w:color w:val="auto"/>
        </w:rPr>
      </w:pPr>
      <w:r>
        <w:rPr>
          <w:rFonts w:ascii="Arial" w:cs="Arial" w:eastAsia="Arial" w:hAnsi="Arial"/>
          <w:sz w:val="14"/>
          <w:szCs w:val="14"/>
          <w:b w:val="1"/>
          <w:bCs w:val="1"/>
          <w:color w:val="auto"/>
        </w:rPr>
        <w:t xml:space="preserve">Proposal 2: Ratification of the appointment of KPMG LLP. </w:t>
      </w:r>
      <w:r>
        <w:rPr>
          <w:rFonts w:ascii="Arial" w:cs="Arial" w:eastAsia="Arial" w:hAnsi="Arial"/>
          <w:sz w:val="14"/>
          <w:szCs w:val="14"/>
          <w:color w:val="auto"/>
        </w:rPr>
        <w:t>Our shareholders ratified the appointment of KPMG LLP as our independent registered public accounting firm for the year ending</w:t>
      </w:r>
      <w:r>
        <w:rPr>
          <w:rFonts w:ascii="Arial" w:cs="Arial" w:eastAsia="Arial" w:hAnsi="Arial"/>
          <w:sz w:val="14"/>
          <w:szCs w:val="14"/>
          <w:b w:val="1"/>
          <w:bCs w:val="1"/>
          <w:color w:val="auto"/>
        </w:rPr>
        <w:t xml:space="preserve"> </w:t>
      </w:r>
      <w:r>
        <w:rPr>
          <w:rFonts w:ascii="Arial" w:cs="Arial" w:eastAsia="Arial" w:hAnsi="Arial"/>
          <w:sz w:val="14"/>
          <w:szCs w:val="14"/>
          <w:color w:val="auto"/>
        </w:rPr>
        <w:t>December 31, 2019.</w:t>
      </w:r>
    </w:p>
    <w:p>
      <w:pPr>
        <w:spacing w:after="0" w:line="80" w:lineRule="exact"/>
        <w:rPr>
          <w:sz w:val="20"/>
          <w:szCs w:val="20"/>
          <w:color w:val="auto"/>
        </w:rPr>
      </w:pPr>
    </w:p>
    <w:tbl>
      <w:tblPr>
        <w:tblLayout w:type="fixed"/>
        <w:tblInd w:w="2080" w:type="dxa"/>
        <w:tblCellMar>
          <w:top w:w="0" w:type="dxa"/>
          <w:left w:w="0" w:type="dxa"/>
          <w:bottom w:w="0" w:type="dxa"/>
          <w:right w:w="0" w:type="dxa"/>
        </w:tblCellMar>
      </w:tblPr>
      <w:tr>
        <w:trPr>
          <w:trHeight w:val="186"/>
        </w:trPr>
        <w:tc>
          <w:tcPr>
            <w:tcW w:w="1780" w:type="dxa"/>
            <w:vAlign w:val="bottom"/>
            <w:gridSpan w:val="2"/>
          </w:tcPr>
          <w:p>
            <w:pPr>
              <w:ind w:left="680"/>
              <w:spacing w:after="0"/>
              <w:rPr>
                <w:sz w:val="20"/>
                <w:szCs w:val="20"/>
                <w:color w:val="auto"/>
              </w:rPr>
            </w:pPr>
            <w:r>
              <w:rPr>
                <w:rFonts w:ascii="Arial" w:cs="Arial" w:eastAsia="Arial" w:hAnsi="Arial"/>
                <w:sz w:val="14"/>
                <w:szCs w:val="14"/>
                <w:b w:val="1"/>
                <w:bCs w:val="1"/>
                <w:color w:val="auto"/>
              </w:rPr>
              <w:t>For</w:t>
            </w:r>
          </w:p>
        </w:tc>
        <w:tc>
          <w:tcPr>
            <w:tcW w:w="1840" w:type="dxa"/>
            <w:vAlign w:val="bottom"/>
            <w:gridSpan w:val="2"/>
          </w:tcPr>
          <w:p>
            <w:pPr>
              <w:ind w:left="580"/>
              <w:spacing w:after="0"/>
              <w:rPr>
                <w:sz w:val="20"/>
                <w:szCs w:val="20"/>
                <w:color w:val="auto"/>
              </w:rPr>
            </w:pPr>
            <w:r>
              <w:rPr>
                <w:rFonts w:ascii="Arial" w:cs="Arial" w:eastAsia="Arial" w:hAnsi="Arial"/>
                <w:sz w:val="14"/>
                <w:szCs w:val="14"/>
                <w:b w:val="1"/>
                <w:bCs w:val="1"/>
                <w:color w:val="auto"/>
              </w:rPr>
              <w:t>Against</w:t>
            </w:r>
          </w:p>
        </w:tc>
        <w:tc>
          <w:tcPr>
            <w:tcW w:w="1800" w:type="dxa"/>
            <w:vAlign w:val="bottom"/>
            <w:gridSpan w:val="2"/>
          </w:tcPr>
          <w:p>
            <w:pPr>
              <w:ind w:left="560"/>
              <w:spacing w:after="0"/>
              <w:rPr>
                <w:sz w:val="20"/>
                <w:szCs w:val="20"/>
                <w:color w:val="auto"/>
              </w:rPr>
            </w:pPr>
            <w:r>
              <w:rPr>
                <w:rFonts w:ascii="Arial" w:cs="Arial" w:eastAsia="Arial" w:hAnsi="Arial"/>
                <w:sz w:val="14"/>
                <w:szCs w:val="14"/>
                <w:b w:val="1"/>
                <w:bCs w:val="1"/>
                <w:color w:val="auto"/>
              </w:rPr>
              <w:t>Abstain</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2"/>
              </w:rPr>
              <w:t>Broker Non-Votes</w:t>
            </w:r>
          </w:p>
        </w:tc>
      </w:tr>
      <w:tr>
        <w:trPr>
          <w:trHeight w:val="23"/>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r>
      <w:tr>
        <w:trPr>
          <w:trHeight w:val="184"/>
        </w:trPr>
        <w:tc>
          <w:tcPr>
            <w:tcW w:w="1560" w:type="dxa"/>
            <w:vAlign w:val="bottom"/>
          </w:tcPr>
          <w:p>
            <w:pPr>
              <w:jc w:val="right"/>
              <w:spacing w:after="0"/>
              <w:rPr>
                <w:sz w:val="20"/>
                <w:szCs w:val="20"/>
                <w:color w:val="auto"/>
              </w:rPr>
            </w:pPr>
            <w:r>
              <w:rPr>
                <w:rFonts w:ascii="Arial" w:cs="Arial" w:eastAsia="Arial" w:hAnsi="Arial"/>
                <w:sz w:val="14"/>
                <w:szCs w:val="14"/>
                <w:color w:val="auto"/>
              </w:rPr>
              <w:t>139,649,373</w:t>
            </w:r>
          </w:p>
        </w:tc>
        <w:tc>
          <w:tcPr>
            <w:tcW w:w="220" w:type="dxa"/>
            <w:vAlign w:val="bottom"/>
          </w:tcPr>
          <w:p>
            <w:pPr>
              <w:spacing w:after="0"/>
              <w:rPr>
                <w:sz w:val="15"/>
                <w:szCs w:val="15"/>
                <w:color w:val="auto"/>
              </w:rPr>
            </w:pPr>
          </w:p>
        </w:tc>
        <w:tc>
          <w:tcPr>
            <w:tcW w:w="1640" w:type="dxa"/>
            <w:vAlign w:val="bottom"/>
          </w:tcPr>
          <w:p>
            <w:pPr>
              <w:jc w:val="right"/>
              <w:ind w:right="8"/>
              <w:spacing w:after="0"/>
              <w:rPr>
                <w:sz w:val="20"/>
                <w:szCs w:val="20"/>
                <w:color w:val="auto"/>
              </w:rPr>
            </w:pPr>
            <w:r>
              <w:rPr>
                <w:rFonts w:ascii="Arial" w:cs="Arial" w:eastAsia="Arial" w:hAnsi="Arial"/>
                <w:sz w:val="14"/>
                <w:szCs w:val="14"/>
                <w:color w:val="auto"/>
              </w:rPr>
              <w:t>351,421</w:t>
            </w:r>
          </w:p>
        </w:tc>
        <w:tc>
          <w:tcPr>
            <w:tcW w:w="2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9,335</w:t>
            </w:r>
          </w:p>
        </w:tc>
        <w:tc>
          <w:tcPr>
            <w:tcW w:w="200" w:type="dxa"/>
            <w:vAlign w:val="bottom"/>
          </w:tcPr>
          <w:p>
            <w:pPr>
              <w:spacing w:after="0"/>
              <w:rPr>
                <w:sz w:val="15"/>
                <w:szCs w:val="15"/>
                <w:color w:val="auto"/>
              </w:rPr>
            </w:pPr>
          </w:p>
        </w:tc>
        <w:tc>
          <w:tcPr>
            <w:tcW w:w="1620" w:type="dxa"/>
            <w:vAlign w:val="bottom"/>
          </w:tcPr>
          <w:p>
            <w:pPr>
              <w:jc w:val="center"/>
              <w:spacing w:after="0"/>
              <w:rPr>
                <w:sz w:val="20"/>
                <w:szCs w:val="20"/>
                <w:color w:val="auto"/>
              </w:rPr>
            </w:pPr>
            <w:r>
              <w:rPr>
                <w:rFonts w:ascii="Arial" w:cs="Arial" w:eastAsia="Arial" w:hAnsi="Arial"/>
                <w:sz w:val="14"/>
                <w:szCs w:val="14"/>
                <w:color w:val="auto"/>
                <w:w w:val="99"/>
              </w:rPr>
              <w:t>—</w:t>
            </w:r>
          </w:p>
        </w:tc>
      </w:tr>
    </w:tbl>
    <w:p>
      <w:pPr>
        <w:spacing w:after="0" w:line="180" w:lineRule="exact"/>
        <w:rPr>
          <w:sz w:val="20"/>
          <w:szCs w:val="20"/>
          <w:color w:val="auto"/>
        </w:rPr>
      </w:pPr>
    </w:p>
    <w:p>
      <w:pPr>
        <w:spacing w:after="0" w:line="294" w:lineRule="auto"/>
        <w:rPr>
          <w:sz w:val="20"/>
          <w:szCs w:val="20"/>
          <w:color w:val="auto"/>
        </w:rPr>
      </w:pPr>
      <w:r>
        <w:rPr>
          <w:rFonts w:ascii="Arial" w:cs="Arial" w:eastAsia="Arial" w:hAnsi="Arial"/>
          <w:sz w:val="14"/>
          <w:szCs w:val="14"/>
          <w:b w:val="1"/>
          <w:bCs w:val="1"/>
          <w:color w:val="auto"/>
        </w:rPr>
        <w:t xml:space="preserve">Proposal 3: Advisory vote on executive compensation. </w:t>
      </w:r>
      <w:r>
        <w:rPr>
          <w:rFonts w:ascii="Arial" w:cs="Arial" w:eastAsia="Arial" w:hAnsi="Arial"/>
          <w:sz w:val="14"/>
          <w:szCs w:val="14"/>
          <w:color w:val="auto"/>
        </w:rPr>
        <w:t>Our shareholders approved, by an advisory vote, the compensation of our named executive officers as disclosed in the proxy statement</w:t>
      </w:r>
      <w:r>
        <w:rPr>
          <w:rFonts w:ascii="Arial" w:cs="Arial" w:eastAsia="Arial" w:hAnsi="Arial"/>
          <w:sz w:val="14"/>
          <w:szCs w:val="14"/>
          <w:b w:val="1"/>
          <w:bCs w:val="1"/>
          <w:color w:val="auto"/>
        </w:rPr>
        <w:t xml:space="preserve"> </w:t>
      </w:r>
      <w:r>
        <w:rPr>
          <w:rFonts w:ascii="Arial" w:cs="Arial" w:eastAsia="Arial" w:hAnsi="Arial"/>
          <w:sz w:val="14"/>
          <w:szCs w:val="14"/>
          <w:color w:val="auto"/>
        </w:rPr>
        <w:t>for the annual meeting.</w:t>
      </w:r>
    </w:p>
    <w:p>
      <w:pPr>
        <w:spacing w:after="0" w:line="80" w:lineRule="exact"/>
        <w:rPr>
          <w:sz w:val="20"/>
          <w:szCs w:val="20"/>
          <w:color w:val="auto"/>
        </w:rPr>
      </w:pPr>
    </w:p>
    <w:tbl>
      <w:tblPr>
        <w:tblLayout w:type="fixed"/>
        <w:tblInd w:w="2080" w:type="dxa"/>
        <w:tblCellMar>
          <w:top w:w="0" w:type="dxa"/>
          <w:left w:w="0" w:type="dxa"/>
          <w:bottom w:w="0" w:type="dxa"/>
          <w:right w:w="0" w:type="dxa"/>
        </w:tblCellMar>
      </w:tblPr>
      <w:tr>
        <w:trPr>
          <w:trHeight w:val="186"/>
        </w:trPr>
        <w:tc>
          <w:tcPr>
            <w:tcW w:w="1780" w:type="dxa"/>
            <w:vAlign w:val="bottom"/>
            <w:gridSpan w:val="2"/>
          </w:tcPr>
          <w:p>
            <w:pPr>
              <w:ind w:left="680"/>
              <w:spacing w:after="0"/>
              <w:rPr>
                <w:sz w:val="20"/>
                <w:szCs w:val="20"/>
                <w:color w:val="auto"/>
              </w:rPr>
            </w:pPr>
            <w:r>
              <w:rPr>
                <w:rFonts w:ascii="Arial" w:cs="Arial" w:eastAsia="Arial" w:hAnsi="Arial"/>
                <w:sz w:val="14"/>
                <w:szCs w:val="14"/>
                <w:b w:val="1"/>
                <w:bCs w:val="1"/>
                <w:color w:val="auto"/>
              </w:rPr>
              <w:t>For</w:t>
            </w:r>
          </w:p>
        </w:tc>
        <w:tc>
          <w:tcPr>
            <w:tcW w:w="1840" w:type="dxa"/>
            <w:vAlign w:val="bottom"/>
            <w:gridSpan w:val="2"/>
          </w:tcPr>
          <w:p>
            <w:pPr>
              <w:ind w:left="580"/>
              <w:spacing w:after="0"/>
              <w:rPr>
                <w:sz w:val="20"/>
                <w:szCs w:val="20"/>
                <w:color w:val="auto"/>
              </w:rPr>
            </w:pPr>
            <w:r>
              <w:rPr>
                <w:rFonts w:ascii="Arial" w:cs="Arial" w:eastAsia="Arial" w:hAnsi="Arial"/>
                <w:sz w:val="14"/>
                <w:szCs w:val="14"/>
                <w:b w:val="1"/>
                <w:bCs w:val="1"/>
                <w:color w:val="auto"/>
              </w:rPr>
              <w:t>Against</w:t>
            </w:r>
          </w:p>
        </w:tc>
        <w:tc>
          <w:tcPr>
            <w:tcW w:w="1820" w:type="dxa"/>
            <w:vAlign w:val="bottom"/>
            <w:gridSpan w:val="2"/>
          </w:tcPr>
          <w:p>
            <w:pPr>
              <w:ind w:left="560"/>
              <w:spacing w:after="0"/>
              <w:rPr>
                <w:sz w:val="20"/>
                <w:szCs w:val="20"/>
                <w:color w:val="auto"/>
              </w:rPr>
            </w:pPr>
            <w:r>
              <w:rPr>
                <w:rFonts w:ascii="Arial" w:cs="Arial" w:eastAsia="Arial" w:hAnsi="Arial"/>
                <w:sz w:val="14"/>
                <w:szCs w:val="14"/>
                <w:b w:val="1"/>
                <w:bCs w:val="1"/>
                <w:color w:val="auto"/>
              </w:rPr>
              <w:t>Abstain</w:t>
            </w:r>
          </w:p>
        </w:tc>
        <w:tc>
          <w:tcPr>
            <w:tcW w:w="1600" w:type="dxa"/>
            <w:vAlign w:val="bottom"/>
          </w:tcPr>
          <w:p>
            <w:pPr>
              <w:jc w:val="right"/>
              <w:ind w:right="168"/>
              <w:spacing w:after="0"/>
              <w:rPr>
                <w:sz w:val="20"/>
                <w:szCs w:val="20"/>
                <w:color w:val="auto"/>
              </w:rPr>
            </w:pPr>
            <w:r>
              <w:rPr>
                <w:rFonts w:ascii="Arial" w:cs="Arial" w:eastAsia="Arial" w:hAnsi="Arial"/>
                <w:sz w:val="14"/>
                <w:szCs w:val="14"/>
                <w:b w:val="1"/>
                <w:bCs w:val="1"/>
                <w:color w:val="auto"/>
              </w:rPr>
              <w:t>Broker Non-Votes</w:t>
            </w:r>
          </w:p>
        </w:tc>
      </w:tr>
      <w:tr>
        <w:trPr>
          <w:trHeight w:val="23"/>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r>
        <w:trPr>
          <w:trHeight w:val="184"/>
        </w:trPr>
        <w:tc>
          <w:tcPr>
            <w:tcW w:w="1560" w:type="dxa"/>
            <w:vAlign w:val="bottom"/>
          </w:tcPr>
          <w:p>
            <w:pPr>
              <w:jc w:val="right"/>
              <w:spacing w:after="0"/>
              <w:rPr>
                <w:sz w:val="20"/>
                <w:szCs w:val="20"/>
                <w:color w:val="auto"/>
              </w:rPr>
            </w:pPr>
            <w:r>
              <w:rPr>
                <w:rFonts w:ascii="Arial" w:cs="Arial" w:eastAsia="Arial" w:hAnsi="Arial"/>
                <w:sz w:val="14"/>
                <w:szCs w:val="14"/>
                <w:color w:val="auto"/>
              </w:rPr>
              <w:t>137,166,320</w:t>
            </w:r>
          </w:p>
        </w:tc>
        <w:tc>
          <w:tcPr>
            <w:tcW w:w="220" w:type="dxa"/>
            <w:vAlign w:val="bottom"/>
          </w:tcPr>
          <w:p>
            <w:pPr>
              <w:spacing w:after="0"/>
              <w:rPr>
                <w:sz w:val="15"/>
                <w:szCs w:val="15"/>
                <w:color w:val="auto"/>
              </w:rPr>
            </w:pPr>
          </w:p>
        </w:tc>
        <w:tc>
          <w:tcPr>
            <w:tcW w:w="1640" w:type="dxa"/>
            <w:vAlign w:val="bottom"/>
          </w:tcPr>
          <w:p>
            <w:pPr>
              <w:jc w:val="right"/>
              <w:ind w:right="8"/>
              <w:spacing w:after="0"/>
              <w:rPr>
                <w:sz w:val="20"/>
                <w:szCs w:val="20"/>
                <w:color w:val="auto"/>
              </w:rPr>
            </w:pPr>
            <w:r>
              <w:rPr>
                <w:rFonts w:ascii="Arial" w:cs="Arial" w:eastAsia="Arial" w:hAnsi="Arial"/>
                <w:sz w:val="14"/>
                <w:szCs w:val="14"/>
                <w:color w:val="auto"/>
              </w:rPr>
              <w:t>84,888</w:t>
            </w:r>
          </w:p>
        </w:tc>
        <w:tc>
          <w:tcPr>
            <w:tcW w:w="200" w:type="dxa"/>
            <w:vAlign w:val="bottom"/>
          </w:tcPr>
          <w:p>
            <w:pPr>
              <w:spacing w:after="0"/>
              <w:rPr>
                <w:sz w:val="15"/>
                <w:szCs w:val="15"/>
                <w:color w:val="auto"/>
              </w:rPr>
            </w:pPr>
          </w:p>
        </w:tc>
        <w:tc>
          <w:tcPr>
            <w:tcW w:w="1620" w:type="dxa"/>
            <w:vAlign w:val="bottom"/>
          </w:tcPr>
          <w:p>
            <w:pPr>
              <w:jc w:val="right"/>
              <w:ind w:right="8"/>
              <w:spacing w:after="0"/>
              <w:rPr>
                <w:sz w:val="20"/>
                <w:szCs w:val="20"/>
                <w:color w:val="auto"/>
              </w:rPr>
            </w:pPr>
            <w:r>
              <w:rPr>
                <w:rFonts w:ascii="Arial" w:cs="Arial" w:eastAsia="Arial" w:hAnsi="Arial"/>
                <w:sz w:val="14"/>
                <w:szCs w:val="14"/>
                <w:color w:val="auto"/>
              </w:rPr>
              <w:t>107,676</w:t>
            </w:r>
          </w:p>
        </w:tc>
        <w:tc>
          <w:tcPr>
            <w:tcW w:w="2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2,651,245</w:t>
            </w:r>
          </w:p>
        </w:tc>
      </w:tr>
    </w:tbl>
    <w:p>
      <w:pPr>
        <w:spacing w:after="0" w:line="18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 xml:space="preserve">Proposal 4: Approval of a new Executive Officers Incentive Compensation Plan. </w:t>
      </w:r>
      <w:r>
        <w:rPr>
          <w:rFonts w:ascii="Arial" w:cs="Arial" w:eastAsia="Arial" w:hAnsi="Arial"/>
          <w:sz w:val="14"/>
          <w:szCs w:val="14"/>
          <w:color w:val="auto"/>
        </w:rPr>
        <w:t>Our shareholders approved a new Executive Officers Incentive Compensation Plan.</w:t>
      </w:r>
    </w:p>
    <w:p>
      <w:pPr>
        <w:spacing w:after="0" w:line="141" w:lineRule="exact"/>
        <w:rPr>
          <w:sz w:val="20"/>
          <w:szCs w:val="20"/>
          <w:color w:val="auto"/>
        </w:rPr>
      </w:pPr>
    </w:p>
    <w:tbl>
      <w:tblPr>
        <w:tblLayout w:type="fixed"/>
        <w:tblInd w:w="2080" w:type="dxa"/>
        <w:tblCellMar>
          <w:top w:w="0" w:type="dxa"/>
          <w:left w:w="0" w:type="dxa"/>
          <w:bottom w:w="0" w:type="dxa"/>
          <w:right w:w="0" w:type="dxa"/>
        </w:tblCellMar>
      </w:tblPr>
      <w:tr>
        <w:trPr>
          <w:trHeight w:val="186"/>
        </w:trPr>
        <w:tc>
          <w:tcPr>
            <w:tcW w:w="1780" w:type="dxa"/>
            <w:vAlign w:val="bottom"/>
            <w:gridSpan w:val="2"/>
          </w:tcPr>
          <w:p>
            <w:pPr>
              <w:ind w:left="680"/>
              <w:spacing w:after="0"/>
              <w:rPr>
                <w:sz w:val="20"/>
                <w:szCs w:val="20"/>
                <w:color w:val="auto"/>
              </w:rPr>
            </w:pPr>
            <w:r>
              <w:rPr>
                <w:rFonts w:ascii="Arial" w:cs="Arial" w:eastAsia="Arial" w:hAnsi="Arial"/>
                <w:sz w:val="14"/>
                <w:szCs w:val="14"/>
                <w:b w:val="1"/>
                <w:bCs w:val="1"/>
                <w:color w:val="auto"/>
              </w:rPr>
              <w:t>For</w:t>
            </w:r>
          </w:p>
        </w:tc>
        <w:tc>
          <w:tcPr>
            <w:tcW w:w="1840" w:type="dxa"/>
            <w:vAlign w:val="bottom"/>
            <w:gridSpan w:val="2"/>
          </w:tcPr>
          <w:p>
            <w:pPr>
              <w:ind w:left="580"/>
              <w:spacing w:after="0"/>
              <w:rPr>
                <w:sz w:val="20"/>
                <w:szCs w:val="20"/>
                <w:color w:val="auto"/>
              </w:rPr>
            </w:pPr>
            <w:r>
              <w:rPr>
                <w:rFonts w:ascii="Arial" w:cs="Arial" w:eastAsia="Arial" w:hAnsi="Arial"/>
                <w:sz w:val="14"/>
                <w:szCs w:val="14"/>
                <w:b w:val="1"/>
                <w:bCs w:val="1"/>
                <w:color w:val="auto"/>
              </w:rPr>
              <w:t>Against</w:t>
            </w:r>
          </w:p>
        </w:tc>
        <w:tc>
          <w:tcPr>
            <w:tcW w:w="1820" w:type="dxa"/>
            <w:vAlign w:val="bottom"/>
            <w:gridSpan w:val="2"/>
          </w:tcPr>
          <w:p>
            <w:pPr>
              <w:ind w:left="560"/>
              <w:spacing w:after="0"/>
              <w:rPr>
                <w:sz w:val="20"/>
                <w:szCs w:val="20"/>
                <w:color w:val="auto"/>
              </w:rPr>
            </w:pPr>
            <w:r>
              <w:rPr>
                <w:rFonts w:ascii="Arial" w:cs="Arial" w:eastAsia="Arial" w:hAnsi="Arial"/>
                <w:sz w:val="14"/>
                <w:szCs w:val="14"/>
                <w:b w:val="1"/>
                <w:bCs w:val="1"/>
                <w:color w:val="auto"/>
              </w:rPr>
              <w:t>Abstain</w:t>
            </w:r>
          </w:p>
        </w:tc>
        <w:tc>
          <w:tcPr>
            <w:tcW w:w="1600" w:type="dxa"/>
            <w:vAlign w:val="bottom"/>
          </w:tcPr>
          <w:p>
            <w:pPr>
              <w:jc w:val="right"/>
              <w:ind w:right="168"/>
              <w:spacing w:after="0"/>
              <w:rPr>
                <w:sz w:val="20"/>
                <w:szCs w:val="20"/>
                <w:color w:val="auto"/>
              </w:rPr>
            </w:pPr>
            <w:r>
              <w:rPr>
                <w:rFonts w:ascii="Arial" w:cs="Arial" w:eastAsia="Arial" w:hAnsi="Arial"/>
                <w:sz w:val="14"/>
                <w:szCs w:val="14"/>
                <w:b w:val="1"/>
                <w:bCs w:val="1"/>
                <w:color w:val="auto"/>
              </w:rPr>
              <w:t>Broker Non-Votes</w:t>
            </w:r>
          </w:p>
        </w:tc>
      </w:tr>
      <w:tr>
        <w:trPr>
          <w:trHeight w:val="23"/>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r>
        <w:trPr>
          <w:trHeight w:val="184"/>
        </w:trPr>
        <w:tc>
          <w:tcPr>
            <w:tcW w:w="1560" w:type="dxa"/>
            <w:vAlign w:val="bottom"/>
          </w:tcPr>
          <w:p>
            <w:pPr>
              <w:jc w:val="right"/>
              <w:spacing w:after="0"/>
              <w:rPr>
                <w:sz w:val="20"/>
                <w:szCs w:val="20"/>
                <w:color w:val="auto"/>
              </w:rPr>
            </w:pPr>
            <w:r>
              <w:rPr>
                <w:rFonts w:ascii="Arial" w:cs="Arial" w:eastAsia="Arial" w:hAnsi="Arial"/>
                <w:sz w:val="14"/>
                <w:szCs w:val="14"/>
                <w:color w:val="auto"/>
              </w:rPr>
              <w:t>132,360,269</w:t>
            </w:r>
          </w:p>
        </w:tc>
        <w:tc>
          <w:tcPr>
            <w:tcW w:w="220" w:type="dxa"/>
            <w:vAlign w:val="bottom"/>
          </w:tcPr>
          <w:p>
            <w:pPr>
              <w:spacing w:after="0"/>
              <w:rPr>
                <w:sz w:val="15"/>
                <w:szCs w:val="15"/>
                <w:color w:val="auto"/>
              </w:rPr>
            </w:pPr>
          </w:p>
        </w:tc>
        <w:tc>
          <w:tcPr>
            <w:tcW w:w="1640" w:type="dxa"/>
            <w:vAlign w:val="bottom"/>
          </w:tcPr>
          <w:p>
            <w:pPr>
              <w:jc w:val="right"/>
              <w:ind w:right="8"/>
              <w:spacing w:after="0"/>
              <w:rPr>
                <w:sz w:val="20"/>
                <w:szCs w:val="20"/>
                <w:color w:val="auto"/>
              </w:rPr>
            </w:pPr>
            <w:r>
              <w:rPr>
                <w:rFonts w:ascii="Arial" w:cs="Arial" w:eastAsia="Arial" w:hAnsi="Arial"/>
                <w:sz w:val="14"/>
                <w:szCs w:val="14"/>
                <w:color w:val="auto"/>
              </w:rPr>
              <w:t>4,889,088</w:t>
            </w:r>
          </w:p>
        </w:tc>
        <w:tc>
          <w:tcPr>
            <w:tcW w:w="200" w:type="dxa"/>
            <w:vAlign w:val="bottom"/>
          </w:tcPr>
          <w:p>
            <w:pPr>
              <w:spacing w:after="0"/>
              <w:rPr>
                <w:sz w:val="15"/>
                <w:szCs w:val="15"/>
                <w:color w:val="auto"/>
              </w:rPr>
            </w:pPr>
          </w:p>
        </w:tc>
        <w:tc>
          <w:tcPr>
            <w:tcW w:w="1620" w:type="dxa"/>
            <w:vAlign w:val="bottom"/>
          </w:tcPr>
          <w:p>
            <w:pPr>
              <w:jc w:val="right"/>
              <w:ind w:right="8"/>
              <w:spacing w:after="0"/>
              <w:rPr>
                <w:sz w:val="20"/>
                <w:szCs w:val="20"/>
                <w:color w:val="auto"/>
              </w:rPr>
            </w:pPr>
            <w:r>
              <w:rPr>
                <w:rFonts w:ascii="Arial" w:cs="Arial" w:eastAsia="Arial" w:hAnsi="Arial"/>
                <w:sz w:val="14"/>
                <w:szCs w:val="14"/>
                <w:color w:val="auto"/>
              </w:rPr>
              <w:t>109,527</w:t>
            </w:r>
          </w:p>
        </w:tc>
        <w:tc>
          <w:tcPr>
            <w:tcW w:w="2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2,651,245</w:t>
            </w:r>
          </w:p>
        </w:tc>
      </w:tr>
    </w:tbl>
    <w:p>
      <w:pPr>
        <w:spacing w:after="0" w:line="180" w:lineRule="exact"/>
        <w:rPr>
          <w:sz w:val="20"/>
          <w:szCs w:val="20"/>
          <w:color w:val="auto"/>
        </w:rPr>
      </w:pPr>
    </w:p>
    <w:p>
      <w:pPr>
        <w:spacing w:after="0" w:line="294" w:lineRule="auto"/>
        <w:rPr>
          <w:sz w:val="20"/>
          <w:szCs w:val="20"/>
          <w:color w:val="auto"/>
        </w:rPr>
      </w:pPr>
      <w:r>
        <w:rPr>
          <w:rFonts w:ascii="Arial" w:cs="Arial" w:eastAsia="Arial" w:hAnsi="Arial"/>
          <w:sz w:val="14"/>
          <w:szCs w:val="14"/>
          <w:b w:val="1"/>
          <w:bCs w:val="1"/>
          <w:color w:val="auto"/>
        </w:rPr>
        <w:t xml:space="preserve">Proposal 5: Approval of an amendment to the Articles of Incorporation. </w:t>
      </w:r>
      <w:r>
        <w:rPr>
          <w:rFonts w:ascii="Arial" w:cs="Arial" w:eastAsia="Arial" w:hAnsi="Arial"/>
          <w:sz w:val="14"/>
          <w:szCs w:val="14"/>
          <w:color w:val="auto"/>
        </w:rPr>
        <w:t>Our shareholders approved an amendment to the Company's Articles of Incorporation to modify the restrictions for</w:t>
      </w:r>
      <w:r>
        <w:rPr>
          <w:rFonts w:ascii="Arial" w:cs="Arial" w:eastAsia="Arial" w:hAnsi="Arial"/>
          <w:sz w:val="14"/>
          <w:szCs w:val="14"/>
          <w:b w:val="1"/>
          <w:bCs w:val="1"/>
          <w:color w:val="auto"/>
        </w:rPr>
        <w:t xml:space="preserve"> </w:t>
      </w:r>
      <w:r>
        <w:rPr>
          <w:rFonts w:ascii="Arial" w:cs="Arial" w:eastAsia="Arial" w:hAnsi="Arial"/>
          <w:sz w:val="14"/>
          <w:szCs w:val="14"/>
          <w:color w:val="auto"/>
        </w:rPr>
        <w:t>trusts which may hold Class B common stock, with ten votes per share, without conversion into Class A common stock, with one vote per share.</w:t>
      </w:r>
    </w:p>
    <w:p>
      <w:pPr>
        <w:spacing w:after="0" w:line="80" w:lineRule="exact"/>
        <w:rPr>
          <w:sz w:val="20"/>
          <w:szCs w:val="20"/>
          <w:color w:val="auto"/>
        </w:rPr>
      </w:pPr>
    </w:p>
    <w:tbl>
      <w:tblPr>
        <w:tblLayout w:type="fixed"/>
        <w:tblInd w:w="2080" w:type="dxa"/>
        <w:tblCellMar>
          <w:top w:w="0" w:type="dxa"/>
          <w:left w:w="0" w:type="dxa"/>
          <w:bottom w:w="0" w:type="dxa"/>
          <w:right w:w="0" w:type="dxa"/>
        </w:tblCellMar>
      </w:tblPr>
      <w:tr>
        <w:trPr>
          <w:trHeight w:val="186"/>
        </w:trPr>
        <w:tc>
          <w:tcPr>
            <w:tcW w:w="1780" w:type="dxa"/>
            <w:vAlign w:val="bottom"/>
            <w:gridSpan w:val="2"/>
          </w:tcPr>
          <w:p>
            <w:pPr>
              <w:ind w:left="680"/>
              <w:spacing w:after="0"/>
              <w:rPr>
                <w:sz w:val="20"/>
                <w:szCs w:val="20"/>
                <w:color w:val="auto"/>
              </w:rPr>
            </w:pPr>
            <w:r>
              <w:rPr>
                <w:rFonts w:ascii="Arial" w:cs="Arial" w:eastAsia="Arial" w:hAnsi="Arial"/>
                <w:sz w:val="14"/>
                <w:szCs w:val="14"/>
                <w:b w:val="1"/>
                <w:bCs w:val="1"/>
                <w:color w:val="auto"/>
              </w:rPr>
              <w:t>For</w:t>
            </w:r>
          </w:p>
        </w:tc>
        <w:tc>
          <w:tcPr>
            <w:tcW w:w="1840" w:type="dxa"/>
            <w:vAlign w:val="bottom"/>
            <w:gridSpan w:val="2"/>
          </w:tcPr>
          <w:p>
            <w:pPr>
              <w:ind w:left="580"/>
              <w:spacing w:after="0"/>
              <w:rPr>
                <w:sz w:val="20"/>
                <w:szCs w:val="20"/>
                <w:color w:val="auto"/>
              </w:rPr>
            </w:pPr>
            <w:r>
              <w:rPr>
                <w:rFonts w:ascii="Arial" w:cs="Arial" w:eastAsia="Arial" w:hAnsi="Arial"/>
                <w:sz w:val="14"/>
                <w:szCs w:val="14"/>
                <w:b w:val="1"/>
                <w:bCs w:val="1"/>
                <w:color w:val="auto"/>
              </w:rPr>
              <w:t>Against</w:t>
            </w:r>
          </w:p>
        </w:tc>
        <w:tc>
          <w:tcPr>
            <w:tcW w:w="1820" w:type="dxa"/>
            <w:vAlign w:val="bottom"/>
            <w:gridSpan w:val="2"/>
          </w:tcPr>
          <w:p>
            <w:pPr>
              <w:ind w:left="560"/>
              <w:spacing w:after="0"/>
              <w:rPr>
                <w:sz w:val="20"/>
                <w:szCs w:val="20"/>
                <w:color w:val="auto"/>
              </w:rPr>
            </w:pPr>
            <w:r>
              <w:rPr>
                <w:rFonts w:ascii="Arial" w:cs="Arial" w:eastAsia="Arial" w:hAnsi="Arial"/>
                <w:sz w:val="14"/>
                <w:szCs w:val="14"/>
                <w:b w:val="1"/>
                <w:bCs w:val="1"/>
                <w:color w:val="auto"/>
              </w:rPr>
              <w:t>Abstain</w:t>
            </w:r>
          </w:p>
        </w:tc>
        <w:tc>
          <w:tcPr>
            <w:tcW w:w="1600" w:type="dxa"/>
            <w:vAlign w:val="bottom"/>
          </w:tcPr>
          <w:p>
            <w:pPr>
              <w:jc w:val="right"/>
              <w:ind w:right="168"/>
              <w:spacing w:after="0"/>
              <w:rPr>
                <w:sz w:val="20"/>
                <w:szCs w:val="20"/>
                <w:color w:val="auto"/>
              </w:rPr>
            </w:pPr>
            <w:r>
              <w:rPr>
                <w:rFonts w:ascii="Arial" w:cs="Arial" w:eastAsia="Arial" w:hAnsi="Arial"/>
                <w:sz w:val="14"/>
                <w:szCs w:val="14"/>
                <w:b w:val="1"/>
                <w:bCs w:val="1"/>
                <w:color w:val="auto"/>
              </w:rPr>
              <w:t>Broker Non-Votes</w:t>
            </w:r>
          </w:p>
        </w:tc>
      </w:tr>
      <w:tr>
        <w:trPr>
          <w:trHeight w:val="23"/>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r>
        <w:trPr>
          <w:trHeight w:val="184"/>
        </w:trPr>
        <w:tc>
          <w:tcPr>
            <w:tcW w:w="1560" w:type="dxa"/>
            <w:vAlign w:val="bottom"/>
          </w:tcPr>
          <w:p>
            <w:pPr>
              <w:jc w:val="right"/>
              <w:spacing w:after="0"/>
              <w:rPr>
                <w:sz w:val="20"/>
                <w:szCs w:val="20"/>
                <w:color w:val="auto"/>
              </w:rPr>
            </w:pPr>
            <w:r>
              <w:rPr>
                <w:rFonts w:ascii="Arial" w:cs="Arial" w:eastAsia="Arial" w:hAnsi="Arial"/>
                <w:sz w:val="14"/>
                <w:szCs w:val="14"/>
                <w:color w:val="auto"/>
              </w:rPr>
              <w:t>128,018,029</w:t>
            </w:r>
          </w:p>
        </w:tc>
        <w:tc>
          <w:tcPr>
            <w:tcW w:w="220" w:type="dxa"/>
            <w:vAlign w:val="bottom"/>
          </w:tcPr>
          <w:p>
            <w:pPr>
              <w:spacing w:after="0"/>
              <w:rPr>
                <w:sz w:val="15"/>
                <w:szCs w:val="15"/>
                <w:color w:val="auto"/>
              </w:rPr>
            </w:pPr>
          </w:p>
        </w:tc>
        <w:tc>
          <w:tcPr>
            <w:tcW w:w="1640" w:type="dxa"/>
            <w:vAlign w:val="bottom"/>
          </w:tcPr>
          <w:p>
            <w:pPr>
              <w:jc w:val="right"/>
              <w:ind w:right="8"/>
              <w:spacing w:after="0"/>
              <w:rPr>
                <w:sz w:val="20"/>
                <w:szCs w:val="20"/>
                <w:color w:val="auto"/>
              </w:rPr>
            </w:pPr>
            <w:r>
              <w:rPr>
                <w:rFonts w:ascii="Arial" w:cs="Arial" w:eastAsia="Arial" w:hAnsi="Arial"/>
                <w:sz w:val="14"/>
                <w:szCs w:val="14"/>
                <w:color w:val="auto"/>
              </w:rPr>
              <w:t>9,286,403</w:t>
            </w:r>
          </w:p>
        </w:tc>
        <w:tc>
          <w:tcPr>
            <w:tcW w:w="200" w:type="dxa"/>
            <w:vAlign w:val="bottom"/>
          </w:tcPr>
          <w:p>
            <w:pPr>
              <w:spacing w:after="0"/>
              <w:rPr>
                <w:sz w:val="15"/>
                <w:szCs w:val="15"/>
                <w:color w:val="auto"/>
              </w:rPr>
            </w:pPr>
          </w:p>
        </w:tc>
        <w:tc>
          <w:tcPr>
            <w:tcW w:w="1620" w:type="dxa"/>
            <w:vAlign w:val="bottom"/>
          </w:tcPr>
          <w:p>
            <w:pPr>
              <w:jc w:val="right"/>
              <w:ind w:right="8"/>
              <w:spacing w:after="0"/>
              <w:rPr>
                <w:sz w:val="20"/>
                <w:szCs w:val="20"/>
                <w:color w:val="auto"/>
              </w:rPr>
            </w:pPr>
            <w:r>
              <w:rPr>
                <w:rFonts w:ascii="Arial" w:cs="Arial" w:eastAsia="Arial" w:hAnsi="Arial"/>
                <w:sz w:val="14"/>
                <w:szCs w:val="14"/>
                <w:color w:val="auto"/>
              </w:rPr>
              <w:t>54,452</w:t>
            </w:r>
          </w:p>
        </w:tc>
        <w:tc>
          <w:tcPr>
            <w:tcW w:w="200" w:type="dxa"/>
            <w:vAlign w:val="bottom"/>
          </w:tcPr>
          <w:p>
            <w:pPr>
              <w:spacing w:after="0"/>
              <w:rPr>
                <w:sz w:val="15"/>
                <w:szCs w:val="15"/>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2,651,245</w:t>
            </w:r>
          </w:p>
        </w:tc>
      </w:tr>
    </w:tbl>
    <w:p>
      <w:pPr>
        <w:sectPr>
          <w:pgSz w:w="11900" w:h="16838" w:orient="portrait"/>
          <w:cols w:equalWidth="0" w:num="1">
            <w:col w:w="11200"/>
          </w:cols>
          <w:pgMar w:left="480" w:top="491" w:right="219" w:bottom="1440" w:gutter="0" w:footer="0" w:header="0"/>
        </w:sectPr>
      </w:pPr>
    </w:p>
    <w:bookmarkStart w:id="3" w:name="page4"/>
    <w:bookmarkEnd w:id="3"/>
    <w:p>
      <w:pPr>
        <w:ind w:left="260"/>
        <w:spacing w:after="0"/>
        <w:rPr>
          <w:sz w:val="20"/>
          <w:szCs w:val="20"/>
          <w:color w:val="auto"/>
        </w:rPr>
      </w:pPr>
      <w:r>
        <w:rPr>
          <w:rFonts w:ascii="Arial" w:cs="Arial" w:eastAsia="Arial" w:hAnsi="Arial"/>
          <w:sz w:val="14"/>
          <w:szCs w:val="14"/>
          <w:b w:val="1"/>
          <w:bCs w:val="1"/>
          <w:color w:val="auto"/>
        </w:rPr>
        <w:t>Item 9.01 Financial Statements and Exhibits.</w:t>
      </w:r>
    </w:p>
    <w:p>
      <w:pPr>
        <w:spacing w:after="0" w:line="188" w:lineRule="exact"/>
        <w:rPr>
          <w:sz w:val="20"/>
          <w:szCs w:val="20"/>
          <w:color w:val="auto"/>
        </w:rPr>
      </w:pPr>
    </w:p>
    <w:p>
      <w:pPr>
        <w:spacing w:after="0"/>
        <w:tabs>
          <w:tab w:leader="none" w:pos="300" w:val="left"/>
        </w:tabs>
        <w:rPr>
          <w:sz w:val="20"/>
          <w:szCs w:val="20"/>
          <w:color w:val="auto"/>
        </w:rPr>
      </w:pPr>
      <w:r>
        <w:rPr>
          <w:rFonts w:ascii="Arial" w:cs="Arial" w:eastAsia="Arial" w:hAnsi="Arial"/>
          <w:sz w:val="14"/>
          <w:szCs w:val="14"/>
          <w:color w:val="auto"/>
        </w:rPr>
        <w:t>(d)</w:t>
      </w:r>
      <w:r>
        <w:rPr>
          <w:sz w:val="20"/>
          <w:szCs w:val="20"/>
          <w:color w:val="auto"/>
        </w:rPr>
        <w:tab/>
      </w:r>
      <w:r>
        <w:rPr>
          <w:rFonts w:ascii="Arial" w:cs="Arial" w:eastAsia="Arial" w:hAnsi="Arial"/>
          <w:sz w:val="13"/>
          <w:szCs w:val="13"/>
          <w:color w:val="auto"/>
        </w:rPr>
        <w:t>Exhibits.</w:t>
      </w:r>
    </w:p>
    <w:p>
      <w:pPr>
        <w:spacing w:after="0" w:line="184" w:lineRule="exact"/>
        <w:rPr>
          <w:sz w:val="20"/>
          <w:szCs w:val="20"/>
          <w:color w:val="auto"/>
        </w:rPr>
      </w:pPr>
    </w:p>
    <w:p>
      <w:pPr>
        <w:spacing w:after="0"/>
        <w:rPr>
          <w:sz w:val="20"/>
          <w:szCs w:val="20"/>
          <w:color w:val="auto"/>
        </w:rPr>
      </w:pPr>
      <w:r>
        <w:rPr>
          <w:rFonts w:ascii="Arial" w:cs="Arial" w:eastAsia="Arial" w:hAnsi="Arial"/>
          <w:sz w:val="14"/>
          <w:szCs w:val="14"/>
          <w:color w:val="auto"/>
        </w:rPr>
        <w:t>The following exhibits are filed as part of this report:</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1580" w:type="dxa"/>
            <w:vAlign w:val="bottom"/>
            <w:gridSpan w:val="2"/>
          </w:tcPr>
          <w:p>
            <w:pPr>
              <w:ind w:left="340"/>
              <w:spacing w:after="0"/>
              <w:rPr>
                <w:sz w:val="20"/>
                <w:szCs w:val="20"/>
                <w:color w:val="auto"/>
              </w:rPr>
            </w:pPr>
            <w:r>
              <w:rPr>
                <w:rFonts w:ascii="Arial" w:cs="Arial" w:eastAsia="Arial" w:hAnsi="Arial"/>
                <w:sz w:val="14"/>
                <w:szCs w:val="14"/>
                <w:color w:val="auto"/>
              </w:rPr>
              <w:t>Exhibit No.</w:t>
            </w:r>
          </w:p>
        </w:tc>
        <w:tc>
          <w:tcPr>
            <w:tcW w:w="20" w:type="dxa"/>
            <w:vAlign w:val="bottom"/>
          </w:tcPr>
          <w:p>
            <w:pPr>
              <w:spacing w:after="0"/>
              <w:rPr>
                <w:sz w:val="15"/>
                <w:szCs w:val="15"/>
                <w:color w:val="auto"/>
              </w:rPr>
            </w:pPr>
          </w:p>
        </w:tc>
        <w:tc>
          <w:tcPr>
            <w:tcW w:w="9600" w:type="dxa"/>
            <w:vAlign w:val="bottom"/>
            <w:gridSpan w:val="3"/>
          </w:tcPr>
          <w:p>
            <w:pPr>
              <w:ind w:left="4460"/>
              <w:spacing w:after="0"/>
              <w:rPr>
                <w:sz w:val="20"/>
                <w:szCs w:val="20"/>
                <w:color w:val="auto"/>
              </w:rPr>
            </w:pPr>
            <w:r>
              <w:rPr>
                <w:rFonts w:ascii="Arial" w:cs="Arial" w:eastAsia="Arial" w:hAnsi="Arial"/>
                <w:sz w:val="14"/>
                <w:szCs w:val="14"/>
                <w:color w:val="auto"/>
              </w:rPr>
              <w:t>Description</w:t>
            </w:r>
          </w:p>
        </w:tc>
      </w:tr>
      <w:tr>
        <w:trPr>
          <w:trHeight w:val="23"/>
        </w:trPr>
        <w:tc>
          <w:tcPr>
            <w:tcW w:w="13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3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040" w:type="dxa"/>
            <w:vAlign w:val="bottom"/>
            <w:tcBorders>
              <w:bottom w:val="single" w:sz="8" w:color="auto"/>
            </w:tcBorders>
          </w:tcPr>
          <w:p>
            <w:pPr>
              <w:spacing w:after="0" w:line="20" w:lineRule="exact"/>
              <w:rPr>
                <w:sz w:val="1"/>
                <w:szCs w:val="1"/>
                <w:color w:val="auto"/>
              </w:rPr>
            </w:pPr>
          </w:p>
        </w:tc>
      </w:tr>
      <w:tr>
        <w:trPr>
          <w:trHeight w:val="325"/>
        </w:trPr>
        <w:tc>
          <w:tcPr>
            <w:tcW w:w="1360" w:type="dxa"/>
            <w:vAlign w:val="bottom"/>
          </w:tcPr>
          <w:p>
            <w:pPr>
              <w:jc w:val="right"/>
              <w:ind w:right="528"/>
              <w:spacing w:after="0"/>
              <w:rPr>
                <w:sz w:val="20"/>
                <w:szCs w:val="20"/>
                <w:color w:val="auto"/>
              </w:rPr>
            </w:pPr>
            <w:r>
              <w:rPr>
                <w:rFonts w:ascii="Arial" w:cs="Arial" w:eastAsia="Arial" w:hAnsi="Arial"/>
                <w:sz w:val="14"/>
                <w:szCs w:val="14"/>
                <w:color w:val="auto"/>
              </w:rPr>
              <w:t>3.1</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60" w:type="dxa"/>
            <w:vAlign w:val="bottom"/>
            <w:tcBorders>
              <w:bottom w:val="single" w:sz="8" w:color="0000FF"/>
            </w:tcBorders>
            <w:gridSpan w:val="2"/>
          </w:tcPr>
          <w:p>
            <w:pPr>
              <w:spacing w:after="0"/>
              <w:rPr>
                <w:sz w:val="20"/>
                <w:szCs w:val="20"/>
                <w:color w:val="auto"/>
              </w:rPr>
            </w:pPr>
            <w:r>
              <w:rPr>
                <w:rFonts w:ascii="Arial" w:cs="Arial" w:eastAsia="Arial" w:hAnsi="Arial"/>
                <w:sz w:val="14"/>
                <w:szCs w:val="14"/>
                <w:color w:val="0000FF"/>
                <w:w w:val="94"/>
              </w:rPr>
              <w:t>Articles of Amendment to Third Amended and Restated Articles of Incorporation of Nelnet, Inc.</w:t>
            </w:r>
          </w:p>
        </w:tc>
        <w:tc>
          <w:tcPr>
            <w:tcW w:w="4040" w:type="dxa"/>
            <w:vAlign w:val="bottom"/>
          </w:tcPr>
          <w:p>
            <w:pPr>
              <w:spacing w:after="0"/>
              <w:rPr>
                <w:sz w:val="24"/>
                <w:szCs w:val="24"/>
                <w:color w:val="auto"/>
              </w:rPr>
            </w:pPr>
          </w:p>
        </w:tc>
      </w:tr>
      <w:tr>
        <w:trPr>
          <w:trHeight w:val="196"/>
        </w:trPr>
        <w:tc>
          <w:tcPr>
            <w:tcW w:w="1360" w:type="dxa"/>
            <w:vAlign w:val="bottom"/>
          </w:tcPr>
          <w:p>
            <w:pPr>
              <w:jc w:val="right"/>
              <w:ind w:right="488"/>
              <w:spacing w:after="0"/>
              <w:rPr>
                <w:sz w:val="20"/>
                <w:szCs w:val="20"/>
                <w:color w:val="auto"/>
              </w:rPr>
            </w:pPr>
            <w:r>
              <w:rPr>
                <w:rFonts w:ascii="Arial" w:cs="Arial" w:eastAsia="Arial" w:hAnsi="Arial"/>
                <w:sz w:val="14"/>
                <w:szCs w:val="14"/>
                <w:color w:val="auto"/>
              </w:rPr>
              <w:t>10.1</w:t>
            </w: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600" w:type="dxa"/>
            <w:vAlign w:val="bottom"/>
            <w:gridSpan w:val="3"/>
          </w:tcPr>
          <w:p>
            <w:pPr>
              <w:spacing w:after="0"/>
              <w:rPr>
                <w:sz w:val="20"/>
                <w:szCs w:val="20"/>
                <w:color w:val="auto"/>
              </w:rPr>
            </w:pPr>
            <w:r>
              <w:rPr>
                <w:rFonts w:ascii="Arial" w:cs="Arial" w:eastAsia="Arial" w:hAnsi="Arial"/>
                <w:sz w:val="14"/>
                <w:szCs w:val="14"/>
                <w:color w:val="0000FF"/>
              </w:rPr>
              <w:t>Nelnet, Inc. Executive Officers Incentive Compensation Plan, effective as of January 1, 2019</w:t>
            </w:r>
          </w:p>
        </w:tc>
      </w:tr>
      <w:tr>
        <w:trPr>
          <w:trHeight w:val="20"/>
        </w:trPr>
        <w:tc>
          <w:tcPr>
            <w:tcW w:w="1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340" w:type="dxa"/>
            <w:vAlign w:val="bottom"/>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r>
    </w:tbl>
    <w:p>
      <w:pPr>
        <w:sectPr>
          <w:pgSz w:w="11900" w:h="16838" w:orient="portrait"/>
          <w:cols w:equalWidth="0" w:num="1">
            <w:col w:w="11200"/>
          </w:cols>
          <w:pgMar w:left="480" w:top="664" w:right="219" w:bottom="1440" w:gutter="0" w:footer="0" w:header="0"/>
        </w:sectPr>
      </w:pPr>
    </w:p>
    <w:bookmarkStart w:id="4" w:name="page5"/>
    <w:bookmarkEnd w:id="4"/>
    <w:p>
      <w:pPr>
        <w:jc w:val="center"/>
        <w:ind w:right="260"/>
        <w:spacing w:after="0"/>
        <w:rPr>
          <w:sz w:val="20"/>
          <w:szCs w:val="20"/>
          <w:color w:val="auto"/>
        </w:rPr>
      </w:pPr>
      <w:r>
        <w:rPr>
          <w:rFonts w:ascii="Arial" w:cs="Arial" w:eastAsia="Arial" w:hAnsi="Arial"/>
          <w:sz w:val="16"/>
          <w:szCs w:val="16"/>
          <w:color w:val="auto"/>
        </w:rPr>
        <w:t>SIGNATURES</w:t>
      </w:r>
    </w:p>
    <w:p>
      <w:pPr>
        <w:spacing w:after="0" w:line="344" w:lineRule="exact"/>
        <w:rPr>
          <w:sz w:val="20"/>
          <w:szCs w:val="20"/>
          <w:color w:val="auto"/>
        </w:rPr>
      </w:pPr>
    </w:p>
    <w:p>
      <w:pPr>
        <w:spacing w:after="0" w:line="260" w:lineRule="auto"/>
        <w:rPr>
          <w:sz w:val="20"/>
          <w:szCs w:val="20"/>
          <w:color w:val="auto"/>
        </w:rPr>
      </w:pPr>
      <w:r>
        <w:rPr>
          <w:rFonts w:ascii="Arial" w:cs="Arial" w:eastAsia="Arial" w:hAnsi="Arial"/>
          <w:sz w:val="16"/>
          <w:szCs w:val="16"/>
          <w:color w:val="auto"/>
        </w:rPr>
        <w:t>Pursuant to the requirements of the Securities Exchange Act of 1934, the registrant has duly caused this report to be signed on its behalf by the undersigned hereunto duly authorized.</w:t>
      </w:r>
    </w:p>
    <w:p>
      <w:pPr>
        <w:spacing w:after="0" w:line="140" w:lineRule="exact"/>
        <w:rPr>
          <w:sz w:val="20"/>
          <w:szCs w:val="20"/>
          <w:color w:val="auto"/>
        </w:rPr>
      </w:pPr>
    </w:p>
    <w:p>
      <w:pPr>
        <w:spacing w:after="0"/>
        <w:rPr>
          <w:sz w:val="20"/>
          <w:szCs w:val="20"/>
          <w:color w:val="auto"/>
        </w:rPr>
      </w:pPr>
      <w:r>
        <w:rPr>
          <w:rFonts w:ascii="Arial" w:cs="Arial" w:eastAsia="Arial" w:hAnsi="Arial"/>
          <w:sz w:val="16"/>
          <w:szCs w:val="16"/>
          <w:color w:val="auto"/>
        </w:rPr>
        <w:t>Dated: May 23, 2019</w:t>
      </w:r>
    </w:p>
    <w:p>
      <w:pPr>
        <w:spacing w:after="0" w:line="172" w:lineRule="exact"/>
        <w:rPr>
          <w:sz w:val="20"/>
          <w:szCs w:val="20"/>
          <w:color w:val="auto"/>
        </w:rPr>
      </w:pPr>
    </w:p>
    <w:p>
      <w:pPr>
        <w:ind w:left="2840"/>
        <w:spacing w:after="0"/>
        <w:rPr>
          <w:sz w:val="20"/>
          <w:szCs w:val="20"/>
          <w:color w:val="auto"/>
        </w:rPr>
      </w:pPr>
      <w:r>
        <w:rPr>
          <w:rFonts w:ascii="Arial" w:cs="Arial" w:eastAsia="Arial" w:hAnsi="Arial"/>
          <w:sz w:val="16"/>
          <w:szCs w:val="16"/>
          <w:color w:val="auto"/>
        </w:rPr>
        <w:t>NELNET, INC.</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2840"/>
        <w:spacing w:after="0"/>
        <w:rPr>
          <w:sz w:val="20"/>
          <w:szCs w:val="20"/>
          <w:color w:val="auto"/>
        </w:rPr>
      </w:pPr>
      <w:r>
        <w:rPr>
          <w:rFonts w:ascii="Arial" w:cs="Arial" w:eastAsia="Arial" w:hAnsi="Arial"/>
          <w:sz w:val="16"/>
          <w:szCs w:val="16"/>
          <w:color w:val="auto"/>
        </w:rPr>
        <w:t xml:space="preserve">By: </w:t>
      </w:r>
      <w:r>
        <w:rPr>
          <w:rFonts w:ascii="Arial" w:cs="Arial" w:eastAsia="Arial" w:hAnsi="Arial"/>
          <w:sz w:val="16"/>
          <w:szCs w:val="16"/>
          <w:u w:val="single" w:color="auto"/>
          <w:color w:val="auto"/>
        </w:rPr>
        <w:t>/s/ JAMES D. KRUGER</w:t>
      </w:r>
    </w:p>
    <w:p>
      <w:pPr>
        <w:spacing w:after="0" w:line="12" w:lineRule="exact"/>
        <w:rPr>
          <w:sz w:val="20"/>
          <w:szCs w:val="20"/>
          <w:color w:val="auto"/>
        </w:rPr>
      </w:pPr>
    </w:p>
    <w:p>
      <w:pPr>
        <w:ind w:left="3240"/>
        <w:spacing w:after="0"/>
        <w:tabs>
          <w:tab w:leader="none" w:pos="3860" w:val="left"/>
        </w:tabs>
        <w:rPr>
          <w:sz w:val="20"/>
          <w:szCs w:val="20"/>
          <w:color w:val="auto"/>
        </w:rPr>
      </w:pPr>
      <w:r>
        <w:rPr>
          <w:rFonts w:ascii="Arial" w:cs="Arial" w:eastAsia="Arial" w:hAnsi="Arial"/>
          <w:sz w:val="16"/>
          <w:szCs w:val="16"/>
          <w:color w:val="auto"/>
        </w:rPr>
        <w:t>Name:</w:t>
        <w:tab/>
        <w:t>James D. Kruger</w:t>
      </w:r>
    </w:p>
    <w:p>
      <w:pPr>
        <w:ind w:left="3240"/>
        <w:spacing w:after="0"/>
        <w:tabs>
          <w:tab w:leader="none" w:pos="3860" w:val="left"/>
        </w:tabs>
        <w:rPr>
          <w:sz w:val="20"/>
          <w:szCs w:val="20"/>
          <w:color w:val="auto"/>
        </w:rPr>
      </w:pPr>
      <w:r>
        <w:rPr>
          <w:rFonts w:ascii="Arial" w:cs="Arial" w:eastAsia="Arial" w:hAnsi="Arial"/>
          <w:sz w:val="16"/>
          <w:szCs w:val="16"/>
          <w:color w:val="auto"/>
        </w:rPr>
        <w:t>Title:</w:t>
      </w:r>
      <w:r>
        <w:rPr>
          <w:sz w:val="20"/>
          <w:szCs w:val="20"/>
          <w:color w:val="auto"/>
        </w:rPr>
        <w:tab/>
      </w:r>
      <w:r>
        <w:rPr>
          <w:rFonts w:ascii="Arial" w:cs="Arial" w:eastAsia="Arial" w:hAnsi="Arial"/>
          <w:sz w:val="16"/>
          <w:szCs w:val="16"/>
          <w:color w:val="auto"/>
        </w:rPr>
        <w:t>Chief Financial Officer</w:t>
      </w:r>
    </w:p>
    <w:p>
      <w:pPr>
        <w:sectPr>
          <w:pgSz w:w="11900" w:h="16838" w:orient="portrait"/>
          <w:cols w:equalWidth="0" w:num="1">
            <w:col w:w="11200"/>
          </w:cols>
          <w:pgMar w:left="480" w:top="491" w:right="219" w:bottom="1440" w:gutter="0" w:footer="0" w:header="0"/>
        </w:sectPr>
      </w:pPr>
    </w:p>
    <w:bookmarkStart w:id="5" w:name="page6"/>
    <w:bookmarkEnd w:id="5"/>
    <w:p>
      <w:pPr>
        <w:spacing w:after="0"/>
        <w:tabs>
          <w:tab w:leader="none" w:pos="386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250190</wp:posOffset>
            </wp:positionH>
            <wp:positionV relativeFrom="page">
              <wp:posOffset>307975</wp:posOffset>
            </wp:positionV>
            <wp:extent cx="7217410" cy="94672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17410" cy="946721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6" w:name="page7"/>
    <w:bookmarkEnd w:id="6"/>
    <w:p>
      <w:pPr>
        <w:spacing w:after="0"/>
        <w:tabs>
          <w:tab w:leader="none" w:pos="3860" w:val="left"/>
        </w:tabs>
        <w:rPr>
          <w:sz w:val="20"/>
          <w:szCs w:val="20"/>
          <w:color w:val="auto"/>
        </w:rPr>
      </w:pPr>
    </w:p>
    <w:p>
      <w:pPr>
        <w:sectPr>
          <w:pgSz w:w="11900" w:h="16838" w:orient="portrait"/>
          <w:cols w:equalWidth="1" w:num="1" w:space="0"/>
          <w:pgMar w:left="1440" w:top="1440" w:right="1440" w:bottom="875" w:gutter="0" w:footer="0" w:header="0"/>
        </w:sectPr>
      </w:pPr>
    </w:p>
    <w:bookmarkStart w:id="7" w:name="page8"/>
    <w:bookmarkEnd w:id="7"/>
    <w:p>
      <w:pPr>
        <w:jc w:val="center"/>
        <w:spacing w:after="0"/>
        <w:rPr>
          <w:sz w:val="20"/>
          <w:szCs w:val="20"/>
          <w:color w:val="auto"/>
        </w:rPr>
      </w:pPr>
      <w:r>
        <w:rPr>
          <w:rFonts w:ascii="Arial" w:cs="Arial" w:eastAsia="Arial" w:hAnsi="Arial"/>
          <w:sz w:val="14"/>
          <w:szCs w:val="14"/>
          <w:b w:val="1"/>
          <w:bCs w:val="1"/>
          <w:u w:val="single" w:color="auto"/>
          <w:color w:val="auto"/>
        </w:rPr>
        <w:t>NELNET,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EXECUTIVE OFFICERS INCENTIVE COMPENSATION PLAN</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(Effective as of January 1, 2019)</w:t>
      </w:r>
    </w:p>
    <w:p>
      <w:pPr>
        <w:spacing w:after="0" w:line="347" w:lineRule="exact"/>
        <w:rPr>
          <w:sz w:val="20"/>
          <w:szCs w:val="20"/>
          <w:color w:val="auto"/>
        </w:rPr>
      </w:pPr>
    </w:p>
    <w:p>
      <w:pPr>
        <w:ind w:left="1040" w:hanging="517"/>
        <w:spacing w:after="0"/>
        <w:tabs>
          <w:tab w:leader="none" w:pos="1040" w:val="left"/>
        </w:tabs>
        <w:numPr>
          <w:ilvl w:val="0"/>
          <w:numId w:val="4"/>
        </w:numPr>
        <w:rPr>
          <w:rFonts w:ascii="Arial" w:cs="Arial" w:eastAsia="Arial" w:hAnsi="Arial"/>
          <w:sz w:val="14"/>
          <w:szCs w:val="14"/>
          <w:color w:val="auto"/>
        </w:rPr>
      </w:pPr>
      <w:r>
        <w:rPr>
          <w:rFonts w:ascii="Arial" w:cs="Arial" w:eastAsia="Arial" w:hAnsi="Arial"/>
          <w:sz w:val="14"/>
          <w:szCs w:val="14"/>
          <w:color w:val="auto"/>
        </w:rPr>
        <w:t>Purpose.</w:t>
      </w:r>
    </w:p>
    <w:p>
      <w:pPr>
        <w:spacing w:after="0" w:line="184" w:lineRule="exact"/>
        <w:rPr>
          <w:sz w:val="20"/>
          <w:szCs w:val="20"/>
          <w:color w:val="auto"/>
        </w:rPr>
      </w:pPr>
    </w:p>
    <w:p>
      <w:pPr>
        <w:jc w:val="both"/>
        <w:ind w:firstLine="517"/>
        <w:spacing w:after="0" w:line="302" w:lineRule="auto"/>
        <w:rPr>
          <w:sz w:val="20"/>
          <w:szCs w:val="20"/>
          <w:color w:val="auto"/>
        </w:rPr>
      </w:pPr>
      <w:r>
        <w:rPr>
          <w:rFonts w:ascii="Arial" w:cs="Arial" w:eastAsia="Arial" w:hAnsi="Arial"/>
          <w:sz w:val="13"/>
          <w:szCs w:val="13"/>
          <w:color w:val="auto"/>
        </w:rPr>
        <w:t>The purpose of the Nelnet, Inc. Executive Officers Incentive Compensation Plan is to advance the interests of Nelnet, Inc. and its shareholders by strengthening its ability to attract, retain, and motivate executive officers of Nelnet, Inc. upon whose judgment, initiative, and efforts ensure the continued success, growth and development of Nelnet, Inc. The intent is to provide them with opportunities to earn performance-based incentive compensation that aligns their interests with the interests of the shareholders, including the achievement of long-term strategic business objectives.</w:t>
      </w:r>
    </w:p>
    <w:p>
      <w:pPr>
        <w:spacing w:after="0" w:line="125" w:lineRule="exact"/>
        <w:rPr>
          <w:sz w:val="20"/>
          <w:szCs w:val="20"/>
          <w:color w:val="auto"/>
        </w:rPr>
      </w:pPr>
    </w:p>
    <w:p>
      <w:pPr>
        <w:ind w:left="1040" w:hanging="517"/>
        <w:spacing w:after="0"/>
        <w:tabs>
          <w:tab w:leader="none" w:pos="1040" w:val="left"/>
        </w:tabs>
        <w:numPr>
          <w:ilvl w:val="0"/>
          <w:numId w:val="5"/>
        </w:numPr>
        <w:rPr>
          <w:rFonts w:ascii="Arial" w:cs="Arial" w:eastAsia="Arial" w:hAnsi="Arial"/>
          <w:sz w:val="14"/>
          <w:szCs w:val="14"/>
          <w:color w:val="auto"/>
        </w:rPr>
      </w:pPr>
      <w:r>
        <w:rPr>
          <w:rFonts w:ascii="Arial" w:cs="Arial" w:eastAsia="Arial" w:hAnsi="Arial"/>
          <w:sz w:val="14"/>
          <w:szCs w:val="14"/>
          <w:color w:val="auto"/>
        </w:rPr>
        <w:t>Definitions.</w:t>
      </w:r>
    </w:p>
    <w:p>
      <w:pPr>
        <w:spacing w:after="0" w:line="184" w:lineRule="exact"/>
        <w:rPr>
          <w:sz w:val="20"/>
          <w:szCs w:val="20"/>
          <w:color w:val="auto"/>
        </w:rPr>
      </w:pPr>
    </w:p>
    <w:p>
      <w:pPr>
        <w:ind w:left="520"/>
        <w:spacing w:after="0"/>
        <w:rPr>
          <w:sz w:val="20"/>
          <w:szCs w:val="20"/>
          <w:color w:val="auto"/>
        </w:rPr>
      </w:pPr>
      <w:r>
        <w:rPr>
          <w:rFonts w:ascii="Arial" w:cs="Arial" w:eastAsia="Arial" w:hAnsi="Arial"/>
          <w:sz w:val="14"/>
          <w:szCs w:val="14"/>
          <w:color w:val="auto"/>
        </w:rPr>
        <w:t>For purposes of the Plan, the following terms shall be defined as set forth below:</w:t>
      </w:r>
    </w:p>
    <w:p>
      <w:pPr>
        <w:spacing w:after="0" w:line="184" w:lineRule="exact"/>
        <w:rPr>
          <w:sz w:val="20"/>
          <w:szCs w:val="20"/>
          <w:color w:val="auto"/>
        </w:rPr>
      </w:pPr>
    </w:p>
    <w:p>
      <w:pPr>
        <w:ind w:firstLine="523"/>
        <w:spacing w:after="0" w:line="288" w:lineRule="auto"/>
        <w:tabs>
          <w:tab w:leader="none" w:pos="899" w:val="left"/>
        </w:tabs>
        <w:numPr>
          <w:ilvl w:val="0"/>
          <w:numId w:val="6"/>
        </w:numPr>
        <w:rPr>
          <w:rFonts w:ascii="Arial" w:cs="Arial" w:eastAsia="Arial" w:hAnsi="Arial"/>
          <w:sz w:val="14"/>
          <w:szCs w:val="14"/>
          <w:color w:val="auto"/>
        </w:rPr>
      </w:pPr>
      <w:r>
        <w:rPr>
          <w:rFonts w:ascii="Arial" w:cs="Arial" w:eastAsia="Arial" w:hAnsi="Arial"/>
          <w:sz w:val="14"/>
          <w:szCs w:val="14"/>
          <w:color w:val="auto"/>
        </w:rPr>
        <w:t>“Award” means the amount of incentive compensation in the form of a Performance-Based Award for a Performance Period that the Committee has determined is payable to a Participant in accordance with the Plan.</w:t>
      </w:r>
    </w:p>
    <w:p>
      <w:pPr>
        <w:spacing w:after="0" w:line="130" w:lineRule="exact"/>
        <w:rPr>
          <w:rFonts w:ascii="Arial" w:cs="Arial" w:eastAsia="Arial" w:hAnsi="Arial"/>
          <w:sz w:val="14"/>
          <w:szCs w:val="14"/>
          <w:color w:val="auto"/>
        </w:rPr>
      </w:pPr>
    </w:p>
    <w:p>
      <w:pPr>
        <w:jc w:val="both"/>
        <w:ind w:firstLine="523"/>
        <w:spacing w:after="0" w:line="272" w:lineRule="auto"/>
        <w:tabs>
          <w:tab w:leader="none" w:pos="836" w:val="left"/>
        </w:tabs>
        <w:numPr>
          <w:ilvl w:val="0"/>
          <w:numId w:val="6"/>
        </w:numPr>
        <w:rPr>
          <w:rFonts w:ascii="Arial" w:cs="Arial" w:eastAsia="Arial" w:hAnsi="Arial"/>
          <w:sz w:val="14"/>
          <w:szCs w:val="14"/>
          <w:color w:val="auto"/>
        </w:rPr>
      </w:pPr>
      <w:r>
        <w:rPr>
          <w:rFonts w:ascii="Arial" w:cs="Arial" w:eastAsia="Arial" w:hAnsi="Arial"/>
          <w:sz w:val="14"/>
          <w:szCs w:val="14"/>
          <w:color w:val="auto"/>
        </w:rPr>
        <w:t>“Beneficiary” means the person, persons, trust or trusts which have been designated by a Participant in his or her most recent written beneficiary designation filed with the Company to receive the benefits specified under this Plan upon the death of the Participant, or, if there is no designated Beneficiary or surviving designated Beneficiary, then the person, persons, trust or trusts entitled by will or the laws of descent and distribution to receive such benefits.</w:t>
      </w:r>
    </w:p>
    <w:p>
      <w:pPr>
        <w:spacing w:after="0" w:line="142" w:lineRule="exact"/>
        <w:rPr>
          <w:rFonts w:ascii="Arial" w:cs="Arial" w:eastAsia="Arial" w:hAnsi="Arial"/>
          <w:sz w:val="14"/>
          <w:szCs w:val="14"/>
          <w:color w:val="auto"/>
        </w:rPr>
      </w:pPr>
    </w:p>
    <w:p>
      <w:pPr>
        <w:ind w:left="820" w:hanging="297"/>
        <w:spacing w:after="0"/>
        <w:tabs>
          <w:tab w:leader="none" w:pos="820" w:val="left"/>
        </w:tabs>
        <w:numPr>
          <w:ilvl w:val="0"/>
          <w:numId w:val="6"/>
        </w:numPr>
        <w:rPr>
          <w:rFonts w:ascii="Arial" w:cs="Arial" w:eastAsia="Arial" w:hAnsi="Arial"/>
          <w:sz w:val="14"/>
          <w:szCs w:val="14"/>
          <w:color w:val="auto"/>
        </w:rPr>
      </w:pPr>
      <w:r>
        <w:rPr>
          <w:rFonts w:ascii="Arial" w:cs="Arial" w:eastAsia="Arial" w:hAnsi="Arial"/>
          <w:sz w:val="14"/>
          <w:szCs w:val="14"/>
          <w:color w:val="auto"/>
        </w:rPr>
        <w:t>“Board” means the Board of Directors of the Company.</w:t>
      </w:r>
    </w:p>
    <w:p>
      <w:pPr>
        <w:spacing w:after="0" w:line="183" w:lineRule="exact"/>
        <w:rPr>
          <w:rFonts w:ascii="Arial" w:cs="Arial" w:eastAsia="Arial" w:hAnsi="Arial"/>
          <w:sz w:val="14"/>
          <w:szCs w:val="14"/>
          <w:color w:val="auto"/>
        </w:rPr>
      </w:pPr>
    </w:p>
    <w:p>
      <w:pPr>
        <w:ind w:firstLine="523"/>
        <w:spacing w:after="0" w:line="288" w:lineRule="auto"/>
        <w:tabs>
          <w:tab w:leader="none" w:pos="84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“Code” means the Internal Revenue Code of 1986, as amended from time to time. References to any provision of the Code shall be deemed to include successor provisions thereto and regulations thereunder.</w:t>
      </w:r>
    </w:p>
    <w:p>
      <w:pPr>
        <w:spacing w:after="0" w:line="130" w:lineRule="exact"/>
        <w:rPr>
          <w:rFonts w:ascii="Arial" w:cs="Arial" w:eastAsia="Arial" w:hAnsi="Arial"/>
          <w:sz w:val="14"/>
          <w:szCs w:val="14"/>
          <w:color w:val="auto"/>
        </w:rPr>
      </w:pPr>
    </w:p>
    <w:p>
      <w:pPr>
        <w:ind w:firstLine="523"/>
        <w:spacing w:after="0" w:line="288" w:lineRule="auto"/>
        <w:tabs>
          <w:tab w:leader="none" w:pos="826" w:val="left"/>
        </w:tabs>
        <w:numPr>
          <w:ilvl w:val="0"/>
          <w:numId w:val="6"/>
        </w:numPr>
        <w:rPr>
          <w:rFonts w:ascii="Arial" w:cs="Arial" w:eastAsia="Arial" w:hAnsi="Arial"/>
          <w:sz w:val="14"/>
          <w:szCs w:val="14"/>
          <w:color w:val="auto"/>
        </w:rPr>
      </w:pPr>
      <w:r>
        <w:rPr>
          <w:rFonts w:ascii="Arial" w:cs="Arial" w:eastAsia="Arial" w:hAnsi="Arial"/>
          <w:sz w:val="14"/>
          <w:szCs w:val="14"/>
          <w:color w:val="auto"/>
        </w:rPr>
        <w:t>“Committee” means the Compensation Committee of the Board (or a subcommittee thereof to which authority under this Plan may be delegated by the Compensation Committee of the Board pursuant to Section 3 of this Plan).</w:t>
      </w:r>
    </w:p>
    <w:p>
      <w:pPr>
        <w:spacing w:after="0" w:line="130" w:lineRule="exact"/>
        <w:rPr>
          <w:rFonts w:ascii="Arial" w:cs="Arial" w:eastAsia="Arial" w:hAnsi="Arial"/>
          <w:sz w:val="14"/>
          <w:szCs w:val="14"/>
          <w:color w:val="auto"/>
        </w:rPr>
      </w:pPr>
    </w:p>
    <w:p>
      <w:pPr>
        <w:ind w:left="820" w:hanging="297"/>
        <w:spacing w:after="0"/>
        <w:tabs>
          <w:tab w:leader="none" w:pos="82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“Company” means Nelnet, Inc., a corporation organized under the laws of Nebraska, or any successor corporation.</w:t>
      </w:r>
    </w:p>
    <w:p>
      <w:pPr>
        <w:spacing w:after="0" w:line="183" w:lineRule="exact"/>
        <w:rPr>
          <w:rFonts w:ascii="Arial" w:cs="Arial" w:eastAsia="Arial" w:hAnsi="Arial"/>
          <w:sz w:val="14"/>
          <w:szCs w:val="14"/>
          <w:color w:val="auto"/>
        </w:rPr>
      </w:pPr>
    </w:p>
    <w:p>
      <w:pPr>
        <w:ind w:firstLine="523"/>
        <w:spacing w:after="0" w:line="288" w:lineRule="auto"/>
        <w:tabs>
          <w:tab w:leader="none" w:pos="857" w:val="left"/>
        </w:tabs>
        <w:numPr>
          <w:ilvl w:val="0"/>
          <w:numId w:val="6"/>
        </w:numPr>
        <w:rPr>
          <w:rFonts w:ascii="Arial" w:cs="Arial" w:eastAsia="Arial" w:hAnsi="Arial"/>
          <w:sz w:val="14"/>
          <w:szCs w:val="14"/>
          <w:color w:val="auto"/>
        </w:rPr>
      </w:pPr>
      <w:r>
        <w:rPr>
          <w:rFonts w:ascii="Arial" w:cs="Arial" w:eastAsia="Arial" w:hAnsi="Arial"/>
          <w:sz w:val="14"/>
          <w:szCs w:val="14"/>
          <w:color w:val="auto"/>
        </w:rPr>
        <w:t>“Executive Officer” means an “executive officer” of the Company within the meaning of Rule 3b-7 under the Securities Exchange Act of 1934, as amended, including the Executive Chairman of the Board.</w:t>
      </w:r>
    </w:p>
    <w:p>
      <w:pPr>
        <w:spacing w:after="0" w:line="130" w:lineRule="exact"/>
        <w:rPr>
          <w:rFonts w:ascii="Arial" w:cs="Arial" w:eastAsia="Arial" w:hAnsi="Arial"/>
          <w:sz w:val="14"/>
          <w:szCs w:val="14"/>
          <w:color w:val="auto"/>
        </w:rPr>
      </w:pPr>
    </w:p>
    <w:p>
      <w:pPr>
        <w:ind w:firstLine="523"/>
        <w:spacing w:after="0" w:line="288" w:lineRule="auto"/>
        <w:tabs>
          <w:tab w:leader="none" w:pos="839" w:val="left"/>
        </w:tabs>
        <w:numPr>
          <w:ilvl w:val="0"/>
          <w:numId w:val="6"/>
        </w:numPr>
        <w:rPr>
          <w:rFonts w:ascii="Arial" w:cs="Arial" w:eastAsia="Arial" w:hAnsi="Arial"/>
          <w:sz w:val="14"/>
          <w:szCs w:val="14"/>
          <w:color w:val="auto"/>
        </w:rPr>
      </w:pPr>
      <w:r>
        <w:rPr>
          <w:rFonts w:ascii="Arial" w:cs="Arial" w:eastAsia="Arial" w:hAnsi="Arial"/>
          <w:sz w:val="14"/>
          <w:szCs w:val="14"/>
          <w:color w:val="auto"/>
        </w:rPr>
        <w:t>“Participant” means an Executive Officer who has been selected by the Committee to participate in the Plan for a particular Performance Period and be eligible to receive an Award for that Performance Period.</w:t>
      </w:r>
    </w:p>
    <w:p>
      <w:pPr>
        <w:spacing w:after="0" w:line="152" w:lineRule="exact"/>
        <w:rPr>
          <w:rFonts w:ascii="Arial" w:cs="Arial" w:eastAsia="Arial" w:hAnsi="Arial"/>
          <w:sz w:val="14"/>
          <w:szCs w:val="14"/>
          <w:color w:val="auto"/>
        </w:rPr>
      </w:pPr>
    </w:p>
    <w:p>
      <w:pPr>
        <w:ind w:left="1180" w:hanging="657"/>
        <w:spacing w:after="0"/>
        <w:tabs>
          <w:tab w:leader="none" w:pos="1180" w:val="left"/>
        </w:tabs>
        <w:numPr>
          <w:ilvl w:val="0"/>
          <w:numId w:val="6"/>
        </w:numPr>
        <w:rPr>
          <w:rFonts w:ascii="Arial" w:cs="Arial" w:eastAsia="Arial" w:hAnsi="Arial"/>
          <w:sz w:val="14"/>
          <w:szCs w:val="14"/>
          <w:color w:val="auto"/>
        </w:rPr>
      </w:pPr>
      <w:r>
        <w:rPr>
          <w:rFonts w:ascii="Arial" w:cs="Arial" w:eastAsia="Arial" w:hAnsi="Arial"/>
          <w:sz w:val="14"/>
          <w:szCs w:val="14"/>
          <w:color w:val="auto"/>
        </w:rPr>
        <w:t>“Performance-Based Award” means an Award as described under Section 4 of the Plan.</w:t>
      </w:r>
    </w:p>
    <w:p>
      <w:pPr>
        <w:spacing w:after="0" w:line="194" w:lineRule="exact"/>
        <w:rPr>
          <w:rFonts w:ascii="Arial" w:cs="Arial" w:eastAsia="Arial" w:hAnsi="Arial"/>
          <w:sz w:val="14"/>
          <w:szCs w:val="14"/>
          <w:color w:val="auto"/>
        </w:rPr>
      </w:pPr>
    </w:p>
    <w:p>
      <w:pPr>
        <w:ind w:left="800" w:hanging="277"/>
        <w:spacing w:after="0"/>
        <w:tabs>
          <w:tab w:leader="none" w:pos="800" w:val="left"/>
        </w:tabs>
        <w:numPr>
          <w:ilvl w:val="0"/>
          <w:numId w:val="6"/>
        </w:numPr>
        <w:rPr>
          <w:rFonts w:ascii="Arial" w:cs="Arial" w:eastAsia="Arial" w:hAnsi="Arial"/>
          <w:sz w:val="14"/>
          <w:szCs w:val="14"/>
          <w:color w:val="auto"/>
        </w:rPr>
      </w:pPr>
      <w:r>
        <w:rPr>
          <w:rFonts w:ascii="Arial" w:cs="Arial" w:eastAsia="Arial" w:hAnsi="Arial"/>
          <w:sz w:val="14"/>
          <w:szCs w:val="14"/>
          <w:color w:val="auto"/>
        </w:rPr>
        <w:t>“Performance Period” means a calendar year or such other period established by the Committee in its sole discretion.</w:t>
      </w:r>
    </w:p>
    <w:p>
      <w:pPr>
        <w:spacing w:after="0" w:line="183" w:lineRule="exact"/>
        <w:rPr>
          <w:rFonts w:ascii="Arial" w:cs="Arial" w:eastAsia="Arial" w:hAnsi="Arial"/>
          <w:sz w:val="14"/>
          <w:szCs w:val="14"/>
          <w:color w:val="auto"/>
        </w:rPr>
      </w:pPr>
    </w:p>
    <w:p>
      <w:pPr>
        <w:ind w:left="840" w:hanging="317"/>
        <w:spacing w:after="0"/>
        <w:tabs>
          <w:tab w:leader="none" w:pos="840" w:val="left"/>
        </w:tabs>
        <w:numPr>
          <w:ilvl w:val="0"/>
          <w:numId w:val="6"/>
        </w:numPr>
        <w:rPr>
          <w:rFonts w:ascii="Arial" w:cs="Arial" w:eastAsia="Arial" w:hAnsi="Arial"/>
          <w:sz w:val="14"/>
          <w:szCs w:val="14"/>
          <w:color w:val="auto"/>
        </w:rPr>
      </w:pPr>
      <w:r>
        <w:rPr>
          <w:rFonts w:ascii="Arial" w:cs="Arial" w:eastAsia="Arial" w:hAnsi="Arial"/>
          <w:sz w:val="14"/>
          <w:szCs w:val="14"/>
          <w:color w:val="auto"/>
        </w:rPr>
        <w:t>“Plan” means this Nelnet, Inc. Executive Officers Incentive Compensation Plan.</w:t>
      </w:r>
    </w:p>
    <w:p>
      <w:pPr>
        <w:spacing w:after="0" w:line="184" w:lineRule="exact"/>
        <w:rPr>
          <w:sz w:val="20"/>
          <w:szCs w:val="20"/>
          <w:color w:val="auto"/>
        </w:rPr>
      </w:pPr>
    </w:p>
    <w:p>
      <w:pPr>
        <w:jc w:val="both"/>
        <w:ind w:firstLine="523"/>
        <w:spacing w:after="0" w:line="263" w:lineRule="auto"/>
        <w:tabs>
          <w:tab w:leader="none" w:pos="821" w:val="left"/>
        </w:tabs>
        <w:numPr>
          <w:ilvl w:val="0"/>
          <w:numId w:val="7"/>
        </w:numPr>
        <w:rPr>
          <w:rFonts w:ascii="Arial" w:cs="Arial" w:eastAsia="Arial" w:hAnsi="Arial"/>
          <w:sz w:val="14"/>
          <w:szCs w:val="14"/>
          <w:color w:val="auto"/>
        </w:rPr>
      </w:pPr>
      <w:r>
        <w:rPr>
          <w:rFonts w:ascii="Arial" w:cs="Arial" w:eastAsia="Arial" w:hAnsi="Arial"/>
          <w:sz w:val="14"/>
          <w:szCs w:val="14"/>
          <w:color w:val="auto"/>
        </w:rPr>
        <w:t>Administration. The Plan shall be administered by the Compensation Committee of the Board, provided that such Committee may from time to time delegate all or any part of its authority under this Plan to a subcommittee thereof and, to the extent of any such delegation, references in this Plan to the Committee shall be deemed to be references to such subcommittee. For each Performance Period, the Committee shall select those Executive Officers who will participate in the Plan and be eligible for an Award under the Plan for that Performance Period. The Committee shall have the authority to adopt, alter, and repeal such administrative rules, guidelines, and practices governing the Plan as it shall deem advisable, and to interpret the terms and provisions of the Plan. All determinations made by the Committee with respect to the Plan and Awards thereunder shall be final and binding on all persons, including the Company and all Executive Officers selected by the Committee to participate in the Plan.</w:t>
      </w:r>
    </w:p>
    <w:p>
      <w:pPr>
        <w:spacing w:after="0" w:line="170" w:lineRule="exact"/>
        <w:rPr>
          <w:sz w:val="20"/>
          <w:szCs w:val="20"/>
          <w:color w:val="auto"/>
        </w:rPr>
      </w:pPr>
    </w:p>
    <w:p>
      <w:pPr>
        <w:ind w:left="4660"/>
        <w:spacing w:after="0"/>
        <w:rPr>
          <w:sz w:val="20"/>
          <w:szCs w:val="20"/>
          <w:color w:val="auto"/>
        </w:rPr>
      </w:pPr>
      <w:r>
        <w:rPr>
          <w:rFonts w:ascii="Arial" w:cs="Arial" w:eastAsia="Arial" w:hAnsi="Arial"/>
          <w:sz w:val="14"/>
          <w:szCs w:val="14"/>
          <w:color w:val="auto"/>
        </w:rPr>
        <w:t>1</w:t>
      </w:r>
    </w:p>
    <w:p>
      <w:pPr>
        <w:sectPr>
          <w:pgSz w:w="11900" w:h="16838" w:orient="portrait"/>
          <w:cols w:equalWidth="0" w:num="1">
            <w:col w:w="11460"/>
          </w:cols>
          <w:pgMar w:left="220" w:top="491" w:right="219" w:bottom="1440" w:gutter="0" w:footer="0" w:header="0"/>
        </w:sectPr>
      </w:pPr>
    </w:p>
    <w:bookmarkStart w:id="8" w:name="page9"/>
    <w:bookmarkEnd w:id="8"/>
    <w:p>
      <w:pPr>
        <w:ind w:left="520"/>
        <w:spacing w:after="0"/>
        <w:tabs>
          <w:tab w:leader="none" w:pos="760" w:val="left"/>
        </w:tabs>
        <w:rPr>
          <w:sz w:val="20"/>
          <w:szCs w:val="20"/>
          <w:color w:val="auto"/>
        </w:rPr>
      </w:pPr>
      <w:r>
        <w:rPr>
          <w:rFonts w:ascii="Arial" w:cs="Arial" w:eastAsia="Arial" w:hAnsi="Arial"/>
          <w:sz w:val="14"/>
          <w:szCs w:val="14"/>
          <w:color w:val="auto"/>
        </w:rPr>
        <w:t>4.</w:t>
      </w:r>
      <w:r>
        <w:rPr>
          <w:sz w:val="20"/>
          <w:szCs w:val="20"/>
          <w:color w:val="auto"/>
        </w:rPr>
        <w:tab/>
      </w:r>
      <w:r>
        <w:rPr>
          <w:rFonts w:ascii="Arial" w:cs="Arial" w:eastAsia="Arial" w:hAnsi="Arial"/>
          <w:sz w:val="12"/>
          <w:szCs w:val="12"/>
          <w:color w:val="auto"/>
        </w:rPr>
        <w:t>Performance-Based Awards.</w:t>
      </w:r>
    </w:p>
    <w:p>
      <w:pPr>
        <w:spacing w:after="0" w:line="184" w:lineRule="exact"/>
        <w:rPr>
          <w:sz w:val="20"/>
          <w:szCs w:val="20"/>
          <w:color w:val="auto"/>
        </w:rPr>
      </w:pPr>
    </w:p>
    <w:p>
      <w:pPr>
        <w:ind w:firstLine="523"/>
        <w:spacing w:after="0" w:line="288" w:lineRule="auto"/>
        <w:tabs>
          <w:tab w:leader="none" w:pos="843" w:val="left"/>
        </w:tabs>
        <w:numPr>
          <w:ilvl w:val="0"/>
          <w:numId w:val="8"/>
        </w:numPr>
        <w:rPr>
          <w:rFonts w:ascii="Arial" w:cs="Arial" w:eastAsia="Arial" w:hAnsi="Arial"/>
          <w:sz w:val="14"/>
          <w:szCs w:val="14"/>
          <w:color w:val="auto"/>
        </w:rPr>
      </w:pPr>
      <w:r>
        <w:rPr>
          <w:rFonts w:ascii="Arial" w:cs="Arial" w:eastAsia="Arial" w:hAnsi="Arial"/>
          <w:sz w:val="14"/>
          <w:szCs w:val="14"/>
          <w:color w:val="auto"/>
        </w:rPr>
        <w:t>The Committee may, from time to time, establish performance criteria with respect to Awards which Participants may be eligible to receive with respect to a Performance Period, and performance goals may be based on one or more of the following criteria:</w:t>
      </w:r>
    </w:p>
    <w:p>
      <w:pPr>
        <w:spacing w:after="0" w:line="130" w:lineRule="exact"/>
        <w:rPr>
          <w:rFonts w:ascii="Arial" w:cs="Arial" w:eastAsia="Arial" w:hAnsi="Arial"/>
          <w:sz w:val="14"/>
          <w:szCs w:val="14"/>
          <w:color w:val="auto"/>
        </w:rPr>
      </w:pPr>
    </w:p>
    <w:p>
      <w:pPr>
        <w:jc w:val="both"/>
        <w:ind w:left="520" w:firstLine="521"/>
        <w:spacing w:after="0" w:line="267" w:lineRule="auto"/>
        <w:tabs>
          <w:tab w:leader="none" w:pos="1376" w:val="left"/>
        </w:tabs>
        <w:numPr>
          <w:ilvl w:val="1"/>
          <w:numId w:val="8"/>
        </w:numPr>
        <w:rPr>
          <w:rFonts w:ascii="Arial" w:cs="Arial" w:eastAsia="Arial" w:hAnsi="Arial"/>
          <w:sz w:val="14"/>
          <w:szCs w:val="14"/>
          <w:color w:val="auto"/>
        </w:rPr>
      </w:pPr>
      <w:r>
        <w:rPr>
          <w:rFonts w:ascii="Arial" w:cs="Arial" w:eastAsia="Arial" w:hAnsi="Arial"/>
          <w:sz w:val="14"/>
          <w:szCs w:val="14"/>
          <w:color w:val="auto"/>
        </w:rPr>
        <w:t>Levels of earnings per share; net income; income before income taxes; net interest income; earnings per share or net income excluding derivative market value and other adjustments as the Committee deems appropriate in the Committee’s sole discretion; revenues from fee-based businesses (including measures related to the diversification of revenues from fee-based businesses and increases in revenues through both organic growth and acquisitions); federally insured student loan assets; private education loan assets; consumer loan assets; and total assets;</w:t>
      </w:r>
    </w:p>
    <w:p>
      <w:pPr>
        <w:spacing w:after="0" w:line="145" w:lineRule="exact"/>
        <w:rPr>
          <w:rFonts w:ascii="Arial" w:cs="Arial" w:eastAsia="Arial" w:hAnsi="Arial"/>
          <w:sz w:val="14"/>
          <w:szCs w:val="14"/>
          <w:color w:val="auto"/>
        </w:rPr>
      </w:pPr>
    </w:p>
    <w:p>
      <w:pPr>
        <w:ind w:left="520" w:firstLine="521"/>
        <w:spacing w:after="0" w:line="288" w:lineRule="auto"/>
        <w:tabs>
          <w:tab w:leader="none" w:pos="1369" w:val="left"/>
        </w:tabs>
        <w:numPr>
          <w:ilvl w:val="1"/>
          <w:numId w:val="8"/>
        </w:numPr>
        <w:rPr>
          <w:rFonts w:ascii="Arial" w:cs="Arial" w:eastAsia="Arial" w:hAnsi="Arial"/>
          <w:sz w:val="14"/>
          <w:szCs w:val="14"/>
          <w:color w:val="auto"/>
        </w:rPr>
      </w:pPr>
      <w:r>
        <w:rPr>
          <w:rFonts w:ascii="Arial" w:cs="Arial" w:eastAsia="Arial" w:hAnsi="Arial"/>
          <w:sz w:val="14"/>
          <w:szCs w:val="14"/>
          <w:color w:val="auto"/>
        </w:rPr>
        <w:t>Return on equity (including return on tangible equity); return on assets or net assets; return on capital (including return on total capital or return on invested capital); return on investments; and ratio of equity to total assets;</w:t>
      </w:r>
    </w:p>
    <w:p>
      <w:pPr>
        <w:spacing w:after="0" w:line="130" w:lineRule="exact"/>
        <w:rPr>
          <w:rFonts w:ascii="Arial" w:cs="Arial" w:eastAsia="Arial" w:hAnsi="Arial"/>
          <w:sz w:val="14"/>
          <w:szCs w:val="14"/>
          <w:color w:val="auto"/>
        </w:rPr>
      </w:pPr>
    </w:p>
    <w:p>
      <w:pPr>
        <w:ind w:left="520" w:firstLine="521"/>
        <w:spacing w:after="0" w:line="264" w:lineRule="auto"/>
        <w:tabs>
          <w:tab w:leader="none" w:pos="1446" w:val="left"/>
        </w:tabs>
        <w:numPr>
          <w:ilvl w:val="1"/>
          <w:numId w:val="8"/>
        </w:numPr>
        <w:rPr>
          <w:rFonts w:ascii="Arial" w:cs="Arial" w:eastAsia="Arial" w:hAnsi="Arial"/>
          <w:sz w:val="14"/>
          <w:szCs w:val="14"/>
          <w:color w:val="auto"/>
        </w:rPr>
      </w:pPr>
      <w:r>
        <w:rPr>
          <w:rFonts w:ascii="Arial" w:cs="Arial" w:eastAsia="Arial" w:hAnsi="Arial"/>
          <w:sz w:val="14"/>
          <w:szCs w:val="14"/>
          <w:color w:val="auto"/>
        </w:rPr>
        <w:t>Student loan servicing and other education finance or service customer measures (including loan servicing volume and service rating levels under contracts with the U.S. Department of Education);</w:t>
      </w:r>
    </w:p>
    <w:p>
      <w:pPr>
        <w:ind w:left="1400" w:hanging="359"/>
        <w:spacing w:after="0"/>
        <w:tabs>
          <w:tab w:leader="none" w:pos="1400" w:val="left"/>
        </w:tabs>
        <w:numPr>
          <w:ilvl w:val="1"/>
          <w:numId w:val="8"/>
        </w:numPr>
        <w:rPr>
          <w:rFonts w:ascii="Arial" w:cs="Arial" w:eastAsia="Arial" w:hAnsi="Arial"/>
          <w:sz w:val="14"/>
          <w:szCs w:val="14"/>
          <w:color w:val="auto"/>
        </w:rPr>
      </w:pPr>
      <w:r>
        <w:rPr>
          <w:rFonts w:ascii="Arial" w:cs="Arial" w:eastAsia="Arial" w:hAnsi="Arial"/>
          <w:sz w:val="14"/>
          <w:szCs w:val="14"/>
          <w:color w:val="auto"/>
        </w:rPr>
        <w:t>Success or progress made in efforts to obtain new contracts with the U.S. Department of Education, as well as other loan servicing business;</w:t>
      </w:r>
    </w:p>
    <w:p>
      <w:pPr>
        <w:spacing w:after="0" w:line="174" w:lineRule="exact"/>
        <w:rPr>
          <w:rFonts w:ascii="Arial" w:cs="Arial" w:eastAsia="Arial" w:hAnsi="Arial"/>
          <w:sz w:val="14"/>
          <w:szCs w:val="14"/>
          <w:color w:val="auto"/>
        </w:rPr>
      </w:pPr>
    </w:p>
    <w:p>
      <w:pPr>
        <w:ind w:left="520" w:firstLine="521"/>
        <w:spacing w:after="0" w:line="288" w:lineRule="auto"/>
        <w:tabs>
          <w:tab w:leader="none" w:pos="1439" w:val="left"/>
        </w:tabs>
        <w:numPr>
          <w:ilvl w:val="1"/>
          <w:numId w:val="8"/>
        </w:numPr>
        <w:rPr>
          <w:rFonts w:ascii="Arial" w:cs="Arial" w:eastAsia="Arial" w:hAnsi="Arial"/>
          <w:sz w:val="14"/>
          <w:szCs w:val="14"/>
          <w:color w:val="auto"/>
        </w:rPr>
      </w:pPr>
      <w:r>
        <w:rPr>
          <w:rFonts w:ascii="Arial" w:cs="Arial" w:eastAsia="Arial" w:hAnsi="Arial"/>
          <w:sz w:val="14"/>
          <w:szCs w:val="14"/>
          <w:color w:val="auto"/>
        </w:rPr>
        <w:t>Cash flow measures (including cash flows from operating activities, cash flow return on investment, assets, equity, or capital, and generation of long-term cash flows (including net cash flows from the Company’s securitized loan portfolios));</w:t>
      </w:r>
    </w:p>
    <w:p>
      <w:pPr>
        <w:spacing w:after="0" w:line="130" w:lineRule="exact"/>
        <w:rPr>
          <w:rFonts w:ascii="Arial" w:cs="Arial" w:eastAsia="Arial" w:hAnsi="Arial"/>
          <w:sz w:val="14"/>
          <w:szCs w:val="14"/>
          <w:color w:val="auto"/>
        </w:rPr>
      </w:pPr>
    </w:p>
    <w:p>
      <w:pPr>
        <w:ind w:left="1400" w:hanging="359"/>
        <w:spacing w:after="0"/>
        <w:tabs>
          <w:tab w:leader="none" w:pos="1400" w:val="left"/>
        </w:tabs>
        <w:numPr>
          <w:ilvl w:val="1"/>
          <w:numId w:val="8"/>
        </w:numPr>
        <w:rPr>
          <w:rFonts w:ascii="Arial" w:cs="Arial" w:eastAsia="Arial" w:hAnsi="Arial"/>
          <w:sz w:val="14"/>
          <w:szCs w:val="14"/>
          <w:color w:val="auto"/>
        </w:rPr>
      </w:pPr>
      <w:r>
        <w:rPr>
          <w:rFonts w:ascii="Arial" w:cs="Arial" w:eastAsia="Arial" w:hAnsi="Arial"/>
          <w:sz w:val="14"/>
          <w:szCs w:val="14"/>
          <w:color w:val="auto"/>
        </w:rPr>
        <w:t>Market share;</w:t>
      </w:r>
    </w:p>
    <w:p>
      <w:pPr>
        <w:spacing w:after="0" w:line="183" w:lineRule="exact"/>
        <w:rPr>
          <w:rFonts w:ascii="Arial" w:cs="Arial" w:eastAsia="Arial" w:hAnsi="Arial"/>
          <w:sz w:val="14"/>
          <w:szCs w:val="14"/>
          <w:color w:val="auto"/>
        </w:rPr>
      </w:pPr>
    </w:p>
    <w:p>
      <w:pPr>
        <w:ind w:left="1440" w:hanging="399"/>
        <w:spacing w:after="0"/>
        <w:tabs>
          <w:tab w:leader="none" w:pos="1440" w:val="left"/>
        </w:tabs>
        <w:numPr>
          <w:ilvl w:val="1"/>
          <w:numId w:val="8"/>
        </w:numPr>
        <w:rPr>
          <w:rFonts w:ascii="Arial" w:cs="Arial" w:eastAsia="Arial" w:hAnsi="Arial"/>
          <w:sz w:val="14"/>
          <w:szCs w:val="14"/>
          <w:color w:val="auto"/>
        </w:rPr>
      </w:pPr>
      <w:r>
        <w:rPr>
          <w:rFonts w:ascii="Arial" w:cs="Arial" w:eastAsia="Arial" w:hAnsi="Arial"/>
          <w:sz w:val="14"/>
          <w:szCs w:val="14"/>
          <w:color w:val="auto"/>
        </w:rPr>
        <w:t>Customer satisfaction levels, and employee engagement, productivity, retention, and satisfaction measures;</w:t>
      </w:r>
    </w:p>
    <w:p>
      <w:pPr>
        <w:spacing w:after="0" w:line="183" w:lineRule="exact"/>
        <w:rPr>
          <w:rFonts w:ascii="Arial" w:cs="Arial" w:eastAsia="Arial" w:hAnsi="Arial"/>
          <w:sz w:val="14"/>
          <w:szCs w:val="14"/>
          <w:color w:val="auto"/>
        </w:rPr>
      </w:pPr>
    </w:p>
    <w:p>
      <w:pPr>
        <w:ind w:left="1480" w:hanging="439"/>
        <w:spacing w:after="0"/>
        <w:tabs>
          <w:tab w:leader="none" w:pos="1480" w:val="left"/>
        </w:tabs>
        <w:numPr>
          <w:ilvl w:val="1"/>
          <w:numId w:val="8"/>
        </w:numPr>
        <w:rPr>
          <w:rFonts w:ascii="Arial" w:cs="Arial" w:eastAsia="Arial" w:hAnsi="Arial"/>
          <w:sz w:val="14"/>
          <w:szCs w:val="14"/>
          <w:color w:val="auto"/>
        </w:rPr>
      </w:pPr>
      <w:r>
        <w:rPr>
          <w:rFonts w:ascii="Arial" w:cs="Arial" w:eastAsia="Arial" w:hAnsi="Arial"/>
          <w:sz w:val="14"/>
          <w:szCs w:val="14"/>
          <w:color w:val="auto"/>
        </w:rPr>
        <w:t>Operating performance and efficiency targets and ratios, as well as productivity targets and ratios;</w:t>
      </w:r>
    </w:p>
    <w:p>
      <w:pPr>
        <w:spacing w:after="0" w:line="183" w:lineRule="exact"/>
        <w:rPr>
          <w:rFonts w:ascii="Arial" w:cs="Arial" w:eastAsia="Arial" w:hAnsi="Arial"/>
          <w:sz w:val="14"/>
          <w:szCs w:val="14"/>
          <w:color w:val="auto"/>
        </w:rPr>
      </w:pPr>
    </w:p>
    <w:p>
      <w:pPr>
        <w:ind w:left="1400" w:hanging="359"/>
        <w:spacing w:after="0"/>
        <w:tabs>
          <w:tab w:leader="none" w:pos="1400" w:val="left"/>
        </w:tabs>
        <w:numPr>
          <w:ilvl w:val="1"/>
          <w:numId w:val="8"/>
        </w:numPr>
        <w:rPr>
          <w:rFonts w:ascii="Arial" w:cs="Arial" w:eastAsia="Arial" w:hAnsi="Arial"/>
          <w:sz w:val="14"/>
          <w:szCs w:val="14"/>
          <w:color w:val="auto"/>
        </w:rPr>
      </w:pPr>
      <w:r>
        <w:rPr>
          <w:rFonts w:ascii="Arial" w:cs="Arial" w:eastAsia="Arial" w:hAnsi="Arial"/>
          <w:sz w:val="14"/>
          <w:szCs w:val="14"/>
          <w:color w:val="auto"/>
        </w:rPr>
        <w:t>Levels of, or increases or decreases in, operating margins, operating expenses, and/or nonoperating expenses;</w:t>
      </w:r>
    </w:p>
    <w:p>
      <w:pPr>
        <w:spacing w:after="0" w:line="183" w:lineRule="exact"/>
        <w:rPr>
          <w:rFonts w:ascii="Arial" w:cs="Arial" w:eastAsia="Arial" w:hAnsi="Arial"/>
          <w:sz w:val="14"/>
          <w:szCs w:val="14"/>
          <w:color w:val="auto"/>
        </w:rPr>
      </w:pPr>
    </w:p>
    <w:p>
      <w:pPr>
        <w:ind w:left="520" w:firstLine="521"/>
        <w:spacing w:after="0" w:line="288" w:lineRule="auto"/>
        <w:tabs>
          <w:tab w:leader="none" w:pos="1354" w:val="left"/>
        </w:tabs>
        <w:numPr>
          <w:ilvl w:val="1"/>
          <w:numId w:val="8"/>
        </w:numPr>
        <w:rPr>
          <w:rFonts w:ascii="Arial" w:cs="Arial" w:eastAsia="Arial" w:hAnsi="Arial"/>
          <w:sz w:val="14"/>
          <w:szCs w:val="14"/>
          <w:color w:val="auto"/>
        </w:rPr>
      </w:pPr>
      <w:r>
        <w:rPr>
          <w:rFonts w:ascii="Arial" w:cs="Arial" w:eastAsia="Arial" w:hAnsi="Arial"/>
          <w:sz w:val="14"/>
          <w:szCs w:val="14"/>
          <w:color w:val="auto"/>
        </w:rPr>
        <w:t>Business segment, division or unit profitability and other performance measures (including growth in customer base, revenues, earnings before interest, taxes, depreciation and amortization, and segment profitability, as well as management of operating expense levels);</w:t>
      </w:r>
    </w:p>
    <w:p>
      <w:pPr>
        <w:spacing w:after="0" w:line="130" w:lineRule="exact"/>
        <w:rPr>
          <w:rFonts w:ascii="Arial" w:cs="Arial" w:eastAsia="Arial" w:hAnsi="Arial"/>
          <w:sz w:val="14"/>
          <w:szCs w:val="14"/>
          <w:color w:val="auto"/>
        </w:rPr>
      </w:pPr>
    </w:p>
    <w:p>
      <w:pPr>
        <w:ind w:left="1380" w:hanging="339"/>
        <w:spacing w:after="0"/>
        <w:tabs>
          <w:tab w:leader="none" w:pos="1380" w:val="left"/>
        </w:tabs>
        <w:numPr>
          <w:ilvl w:val="1"/>
          <w:numId w:val="8"/>
        </w:numPr>
        <w:rPr>
          <w:rFonts w:ascii="Arial" w:cs="Arial" w:eastAsia="Arial" w:hAnsi="Arial"/>
          <w:sz w:val="13"/>
          <w:szCs w:val="13"/>
          <w:color w:val="auto"/>
        </w:rPr>
      </w:pPr>
      <w:r>
        <w:rPr>
          <w:rFonts w:ascii="Arial" w:cs="Arial" w:eastAsia="Arial" w:hAnsi="Arial"/>
          <w:sz w:val="13"/>
          <w:szCs w:val="13"/>
          <w:color w:val="auto"/>
        </w:rPr>
        <w:t>Acquisitions, dispositions, projects, or other specific events or transactions (including specific events or transactions intended to enhance the long-term strategic positioning of</w:t>
      </w:r>
    </w:p>
    <w:p>
      <w:pPr>
        <w:spacing w:after="0" w:line="32" w:lineRule="exact"/>
        <w:rPr>
          <w:rFonts w:ascii="Arial" w:cs="Arial" w:eastAsia="Arial" w:hAnsi="Arial"/>
          <w:sz w:val="13"/>
          <w:szCs w:val="13"/>
          <w:color w:val="auto"/>
        </w:rPr>
      </w:pPr>
    </w:p>
    <w:p>
      <w:pPr>
        <w:ind w:left="520"/>
        <w:spacing w:after="0"/>
        <w:rPr>
          <w:rFonts w:ascii="Arial" w:cs="Arial" w:eastAsia="Arial" w:hAnsi="Arial"/>
          <w:sz w:val="13"/>
          <w:szCs w:val="13"/>
          <w:color w:val="auto"/>
        </w:rPr>
      </w:pPr>
      <w:r>
        <w:rPr>
          <w:rFonts w:ascii="Arial" w:cs="Arial" w:eastAsia="Arial" w:hAnsi="Arial"/>
          <w:sz w:val="14"/>
          <w:szCs w:val="14"/>
          <w:color w:val="auto"/>
        </w:rPr>
        <w:t>the Company);</w:t>
      </w:r>
    </w:p>
    <w:p>
      <w:pPr>
        <w:spacing w:after="0" w:line="174" w:lineRule="exact"/>
        <w:rPr>
          <w:rFonts w:ascii="Arial" w:cs="Arial" w:eastAsia="Arial" w:hAnsi="Arial"/>
          <w:sz w:val="13"/>
          <w:szCs w:val="13"/>
          <w:color w:val="auto"/>
        </w:rPr>
      </w:pPr>
    </w:p>
    <w:p>
      <w:pPr>
        <w:ind w:left="1440" w:hanging="399"/>
        <w:spacing w:after="0"/>
        <w:tabs>
          <w:tab w:leader="none" w:pos="1440" w:val="left"/>
        </w:tabs>
        <w:numPr>
          <w:ilvl w:val="1"/>
          <w:numId w:val="8"/>
        </w:numPr>
        <w:rPr>
          <w:rFonts w:ascii="Arial" w:cs="Arial" w:eastAsia="Arial" w:hAnsi="Arial"/>
          <w:sz w:val="14"/>
          <w:szCs w:val="14"/>
          <w:color w:val="auto"/>
        </w:rPr>
      </w:pPr>
      <w:r>
        <w:rPr>
          <w:rFonts w:ascii="Arial" w:cs="Arial" w:eastAsia="Arial" w:hAnsi="Arial"/>
          <w:sz w:val="14"/>
          <w:szCs w:val="14"/>
          <w:color w:val="auto"/>
        </w:rPr>
        <w:t>Performance of investments;</w:t>
      </w:r>
    </w:p>
    <w:p>
      <w:pPr>
        <w:spacing w:after="0" w:line="183" w:lineRule="exact"/>
        <w:rPr>
          <w:rFonts w:ascii="Arial" w:cs="Arial" w:eastAsia="Arial" w:hAnsi="Arial"/>
          <w:sz w:val="14"/>
          <w:szCs w:val="14"/>
          <w:color w:val="auto"/>
        </w:rPr>
      </w:pPr>
    </w:p>
    <w:p>
      <w:pPr>
        <w:ind w:left="1480" w:hanging="439"/>
        <w:spacing w:after="0"/>
        <w:tabs>
          <w:tab w:leader="none" w:pos="1480" w:val="left"/>
        </w:tabs>
        <w:numPr>
          <w:ilvl w:val="1"/>
          <w:numId w:val="8"/>
        </w:numPr>
        <w:rPr>
          <w:rFonts w:ascii="Arial" w:cs="Arial" w:eastAsia="Arial" w:hAnsi="Arial"/>
          <w:sz w:val="14"/>
          <w:szCs w:val="14"/>
          <w:color w:val="auto"/>
        </w:rPr>
      </w:pPr>
      <w:r>
        <w:rPr>
          <w:rFonts w:ascii="Arial" w:cs="Arial" w:eastAsia="Arial" w:hAnsi="Arial"/>
          <w:sz w:val="14"/>
          <w:szCs w:val="14"/>
          <w:color w:val="auto"/>
        </w:rPr>
        <w:t>Regulatory compliance measures; or</w:t>
      </w:r>
    </w:p>
    <w:p>
      <w:pPr>
        <w:spacing w:after="0" w:line="183" w:lineRule="exact"/>
        <w:rPr>
          <w:rFonts w:ascii="Arial" w:cs="Arial" w:eastAsia="Arial" w:hAnsi="Arial"/>
          <w:sz w:val="14"/>
          <w:szCs w:val="14"/>
          <w:color w:val="auto"/>
        </w:rPr>
      </w:pPr>
    </w:p>
    <w:p>
      <w:pPr>
        <w:ind w:left="1460" w:hanging="419"/>
        <w:spacing w:after="0"/>
        <w:tabs>
          <w:tab w:leader="none" w:pos="1460" w:val="left"/>
        </w:tabs>
        <w:numPr>
          <w:ilvl w:val="1"/>
          <w:numId w:val="8"/>
        </w:numPr>
        <w:rPr>
          <w:rFonts w:ascii="Arial" w:cs="Arial" w:eastAsia="Arial" w:hAnsi="Arial"/>
          <w:sz w:val="14"/>
          <w:szCs w:val="14"/>
          <w:color w:val="auto"/>
        </w:rPr>
      </w:pPr>
      <w:r>
        <w:rPr>
          <w:rFonts w:ascii="Arial" w:cs="Arial" w:eastAsia="Arial" w:hAnsi="Arial"/>
          <w:sz w:val="14"/>
          <w:szCs w:val="14"/>
          <w:color w:val="auto"/>
        </w:rPr>
        <w:t>Any other criteria as determined by the Committee in its sole discretion.</w:t>
      </w:r>
    </w:p>
    <w:p>
      <w:pPr>
        <w:spacing w:after="0" w:line="184" w:lineRule="exact"/>
        <w:rPr>
          <w:sz w:val="20"/>
          <w:szCs w:val="20"/>
          <w:color w:val="auto"/>
        </w:rPr>
      </w:pPr>
    </w:p>
    <w:p>
      <w:pPr>
        <w:spacing w:after="0" w:line="288" w:lineRule="auto"/>
        <w:rPr>
          <w:sz w:val="20"/>
          <w:szCs w:val="20"/>
          <w:color w:val="auto"/>
        </w:rPr>
      </w:pPr>
      <w:r>
        <w:rPr>
          <w:rFonts w:ascii="Arial" w:cs="Arial" w:eastAsia="Arial" w:hAnsi="Arial"/>
          <w:sz w:val="14"/>
          <w:szCs w:val="14"/>
          <w:color w:val="auto"/>
        </w:rPr>
        <w:t>Any criteria may be used to measure the performance of the Company as a whole and/or any one or more operating segments, divisions, business units, and/or subsidiaries of the Company or any combination thereof, as the Committee may deem appropriate.</w:t>
      </w:r>
    </w:p>
    <w:p>
      <w:pPr>
        <w:spacing w:after="0" w:line="131" w:lineRule="exact"/>
        <w:rPr>
          <w:sz w:val="20"/>
          <w:szCs w:val="20"/>
          <w:color w:val="auto"/>
        </w:rPr>
      </w:pPr>
    </w:p>
    <w:p>
      <w:pPr>
        <w:jc w:val="both"/>
        <w:ind w:firstLine="523"/>
        <w:spacing w:after="0" w:line="272" w:lineRule="auto"/>
        <w:tabs>
          <w:tab w:leader="none" w:pos="829" w:val="left"/>
        </w:tabs>
        <w:numPr>
          <w:ilvl w:val="0"/>
          <w:numId w:val="9"/>
        </w:numPr>
        <w:rPr>
          <w:rFonts w:ascii="Arial" w:cs="Arial" w:eastAsia="Arial" w:hAnsi="Arial"/>
          <w:sz w:val="14"/>
          <w:szCs w:val="14"/>
          <w:color w:val="auto"/>
        </w:rPr>
      </w:pPr>
      <w:r>
        <w:rPr>
          <w:rFonts w:ascii="Arial" w:cs="Arial" w:eastAsia="Arial" w:hAnsi="Arial"/>
          <w:sz w:val="14"/>
          <w:szCs w:val="14"/>
          <w:color w:val="auto"/>
        </w:rPr>
        <w:t>The Committee shall determine whether, with respect to a Performance Period, the applicable performance goals have been met with respect to a particular Participant and, if they have, to ascertain the amount of the applicable Performance-Based Award. The Committee may provide that any evaluation of attainment of a performance goal may include or exclude any extraordinary items.</w:t>
      </w:r>
    </w:p>
    <w:p>
      <w:pPr>
        <w:spacing w:after="0" w:line="142" w:lineRule="exact"/>
        <w:rPr>
          <w:sz w:val="20"/>
          <w:szCs w:val="20"/>
          <w:color w:val="auto"/>
        </w:rPr>
      </w:pPr>
    </w:p>
    <w:p>
      <w:pPr>
        <w:ind w:firstLine="523"/>
        <w:spacing w:after="0" w:line="328" w:lineRule="auto"/>
        <w:tabs>
          <w:tab w:leader="none" w:pos="779" w:val="left"/>
        </w:tabs>
        <w:numPr>
          <w:ilvl w:val="0"/>
          <w:numId w:val="10"/>
        </w:numPr>
        <w:rPr>
          <w:rFonts w:ascii="Arial" w:cs="Arial" w:eastAsia="Arial" w:hAnsi="Arial"/>
          <w:sz w:val="13"/>
          <w:szCs w:val="13"/>
          <w:color w:val="auto"/>
        </w:rPr>
      </w:pPr>
      <w:r>
        <w:rPr>
          <w:rFonts w:ascii="Arial" w:cs="Arial" w:eastAsia="Arial" w:hAnsi="Arial"/>
          <w:sz w:val="13"/>
          <w:szCs w:val="13"/>
          <w:color w:val="auto"/>
        </w:rPr>
        <w:t>Payment of Awards. The Award of each Participant for a Performance Period shall be paid after the determination of the payability of such Award is made by the Committee, and in any event the timing of the payment of an Award shall comply in all respects with the provisions of Section 409A of the Code. If a Participant dies after the end of a calendar year but before</w:t>
      </w:r>
    </w:p>
    <w:p>
      <w:pPr>
        <w:spacing w:after="0" w:line="130" w:lineRule="exact"/>
        <w:rPr>
          <w:sz w:val="20"/>
          <w:szCs w:val="20"/>
          <w:color w:val="auto"/>
        </w:rPr>
      </w:pPr>
    </w:p>
    <w:p>
      <w:pPr>
        <w:ind w:left="4660"/>
        <w:spacing w:after="0"/>
        <w:rPr>
          <w:sz w:val="20"/>
          <w:szCs w:val="20"/>
          <w:color w:val="auto"/>
        </w:rPr>
      </w:pPr>
      <w:r>
        <w:rPr>
          <w:rFonts w:ascii="Arial" w:cs="Arial" w:eastAsia="Arial" w:hAnsi="Arial"/>
          <w:sz w:val="14"/>
          <w:szCs w:val="14"/>
          <w:color w:val="auto"/>
        </w:rPr>
        <w:t>2</w:t>
      </w:r>
    </w:p>
    <w:p>
      <w:pPr>
        <w:sectPr>
          <w:pgSz w:w="11900" w:h="16838" w:orient="portrait"/>
          <w:cols w:equalWidth="0" w:num="1">
            <w:col w:w="11460"/>
          </w:cols>
          <w:pgMar w:left="220" w:top="495" w:right="219" w:bottom="1440" w:gutter="0" w:footer="0" w:header="0"/>
        </w:sectPr>
      </w:pPr>
    </w:p>
    <w:bookmarkStart w:id="9" w:name="page10"/>
    <w:bookmarkEnd w:id="9"/>
    <w:p>
      <w:pPr>
        <w:spacing w:after="0" w:line="328" w:lineRule="auto"/>
        <w:rPr>
          <w:sz w:val="20"/>
          <w:szCs w:val="20"/>
          <w:color w:val="auto"/>
        </w:rPr>
      </w:pPr>
      <w:r>
        <w:rPr>
          <w:rFonts w:ascii="Arial" w:cs="Arial" w:eastAsia="Arial" w:hAnsi="Arial"/>
          <w:sz w:val="13"/>
          <w:szCs w:val="13"/>
          <w:color w:val="auto"/>
        </w:rPr>
        <w:t>receiving payment of any Award earned with respect to such year or any period within such year, the amount of such Award shall be paid to a designated Beneficiary, or, if no Beneficiary has been designated, to the Participant’s estate, as soon as practicable after the payability of such Award has been determined, and in any event in compliance with Section 409A of the Code.</w:t>
      </w:r>
    </w:p>
    <w:p>
      <w:pPr>
        <w:spacing w:after="0" w:line="109" w:lineRule="exact"/>
        <w:rPr>
          <w:sz w:val="20"/>
          <w:szCs w:val="20"/>
          <w:color w:val="auto"/>
        </w:rPr>
      </w:pPr>
    </w:p>
    <w:p>
      <w:pPr>
        <w:ind w:firstLine="523"/>
        <w:spacing w:after="0" w:line="288" w:lineRule="auto"/>
        <w:tabs>
          <w:tab w:leader="none" w:pos="771" w:val="left"/>
        </w:tabs>
        <w:numPr>
          <w:ilvl w:val="0"/>
          <w:numId w:val="11"/>
        </w:numPr>
        <w:rPr>
          <w:rFonts w:ascii="Arial" w:cs="Arial" w:eastAsia="Arial" w:hAnsi="Arial"/>
          <w:sz w:val="14"/>
          <w:szCs w:val="14"/>
          <w:color w:val="auto"/>
        </w:rPr>
      </w:pPr>
      <w:r>
        <w:rPr>
          <w:rFonts w:ascii="Arial" w:cs="Arial" w:eastAsia="Arial" w:hAnsi="Arial"/>
          <w:sz w:val="14"/>
          <w:szCs w:val="14"/>
          <w:color w:val="auto"/>
        </w:rPr>
        <w:t>Maximum Annual Per-Participant Award Limit. In no event shall the amount paid under the Plan to a Participant with respect to any calendar year exceed 150% of that Participant’s base salary for that year.</w:t>
      </w:r>
    </w:p>
    <w:p>
      <w:pPr>
        <w:spacing w:after="0" w:line="130" w:lineRule="exact"/>
        <w:rPr>
          <w:rFonts w:ascii="Arial" w:cs="Arial" w:eastAsia="Arial" w:hAnsi="Arial"/>
          <w:sz w:val="14"/>
          <w:szCs w:val="14"/>
          <w:color w:val="auto"/>
        </w:rPr>
      </w:pPr>
    </w:p>
    <w:p>
      <w:pPr>
        <w:ind w:firstLine="523"/>
        <w:spacing w:after="0" w:line="288" w:lineRule="auto"/>
        <w:tabs>
          <w:tab w:leader="none" w:pos="781" w:val="left"/>
        </w:tabs>
        <w:numPr>
          <w:ilvl w:val="0"/>
          <w:numId w:val="11"/>
        </w:numPr>
        <w:rPr>
          <w:rFonts w:ascii="Arial" w:cs="Arial" w:eastAsia="Arial" w:hAnsi="Arial"/>
          <w:sz w:val="14"/>
          <w:szCs w:val="14"/>
          <w:color w:val="auto"/>
        </w:rPr>
      </w:pPr>
      <w:r>
        <w:rPr>
          <w:rFonts w:ascii="Arial" w:cs="Arial" w:eastAsia="Arial" w:hAnsi="Arial"/>
          <w:sz w:val="14"/>
          <w:szCs w:val="14"/>
          <w:color w:val="auto"/>
        </w:rPr>
        <w:t>Form of Award. The Committee, at their discretion, can determine if the Award is to be paid in cash, stock, or a combination thereof, or provide the option for the Participant to elect to receive their Award in cash, stock, or a combination thereof.</w:t>
      </w:r>
    </w:p>
    <w:p>
      <w:pPr>
        <w:spacing w:after="0" w:line="130" w:lineRule="exact"/>
        <w:rPr>
          <w:rFonts w:ascii="Arial" w:cs="Arial" w:eastAsia="Arial" w:hAnsi="Arial"/>
          <w:sz w:val="14"/>
          <w:szCs w:val="14"/>
          <w:color w:val="auto"/>
        </w:rPr>
      </w:pPr>
    </w:p>
    <w:p>
      <w:pPr>
        <w:ind w:left="780" w:hanging="257"/>
        <w:spacing w:after="0"/>
        <w:tabs>
          <w:tab w:leader="none" w:pos="78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Nontransferability. No Award or rights under this Plan may be transferred or assigned other than by will or by the laws of descent and distribution.</w:t>
      </w:r>
    </w:p>
    <w:p>
      <w:pPr>
        <w:spacing w:after="0" w:line="183" w:lineRule="exact"/>
        <w:rPr>
          <w:rFonts w:ascii="Arial" w:cs="Arial" w:eastAsia="Arial" w:hAnsi="Arial"/>
          <w:sz w:val="14"/>
          <w:szCs w:val="14"/>
          <w:color w:val="auto"/>
        </w:rPr>
      </w:pPr>
    </w:p>
    <w:p>
      <w:pPr>
        <w:ind w:firstLine="523"/>
        <w:spacing w:after="0" w:line="288" w:lineRule="auto"/>
        <w:tabs>
          <w:tab w:leader="none" w:pos="796" w:val="left"/>
        </w:tabs>
        <w:numPr>
          <w:ilvl w:val="0"/>
          <w:numId w:val="11"/>
        </w:numPr>
        <w:rPr>
          <w:rFonts w:ascii="Arial" w:cs="Arial" w:eastAsia="Arial" w:hAnsi="Arial"/>
          <w:sz w:val="14"/>
          <w:szCs w:val="14"/>
          <w:color w:val="auto"/>
        </w:rPr>
      </w:pPr>
      <w:r>
        <w:rPr>
          <w:rFonts w:ascii="Arial" w:cs="Arial" w:eastAsia="Arial" w:hAnsi="Arial"/>
          <w:sz w:val="14"/>
          <w:szCs w:val="14"/>
          <w:color w:val="auto"/>
        </w:rPr>
        <w:t>Amendments and Termination. The Board may terminate the Plan at any time and may amend it from time to time; provided, however, that no termination or amendment of the Plan shall adversely affect the rights of a Participant or a Beneficiary to a previously earned Award.</w:t>
      </w:r>
    </w:p>
    <w:p>
      <w:pPr>
        <w:spacing w:after="0" w:line="130" w:lineRule="exact"/>
        <w:rPr>
          <w:rFonts w:ascii="Arial" w:cs="Arial" w:eastAsia="Arial" w:hAnsi="Arial"/>
          <w:sz w:val="14"/>
          <w:szCs w:val="14"/>
          <w:color w:val="auto"/>
        </w:rPr>
      </w:pPr>
    </w:p>
    <w:p>
      <w:pPr>
        <w:ind w:left="840" w:hanging="317"/>
        <w:spacing w:after="0"/>
        <w:tabs>
          <w:tab w:leader="none" w:pos="8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General Provisions.</w:t>
      </w:r>
    </w:p>
    <w:p>
      <w:pPr>
        <w:spacing w:after="0" w:line="205" w:lineRule="exact"/>
        <w:rPr>
          <w:sz w:val="20"/>
          <w:szCs w:val="20"/>
          <w:color w:val="auto"/>
        </w:rPr>
      </w:pPr>
    </w:p>
    <w:p>
      <w:pPr>
        <w:ind w:firstLine="523"/>
        <w:spacing w:after="0" w:line="336" w:lineRule="auto"/>
        <w:tabs>
          <w:tab w:leader="none" w:pos="1194" w:val="left"/>
        </w:tabs>
        <w:numPr>
          <w:ilvl w:val="0"/>
          <w:numId w:val="12"/>
        </w:numPr>
        <w:rPr>
          <w:rFonts w:ascii="Arial" w:cs="Arial" w:eastAsia="Arial" w:hAnsi="Arial"/>
          <w:sz w:val="14"/>
          <w:szCs w:val="14"/>
          <w:color w:val="auto"/>
        </w:rPr>
      </w:pPr>
      <w:r>
        <w:rPr>
          <w:rFonts w:ascii="Arial" w:cs="Arial" w:eastAsia="Arial" w:hAnsi="Arial"/>
          <w:sz w:val="14"/>
          <w:szCs w:val="14"/>
          <w:color w:val="auto"/>
        </w:rPr>
        <w:t>Nothing set forth in this Plan shall prevent the Board from adopting other or additional compensation arrangements. Neither the adoption of this Plan or any Award hereunder shall confer upon an Executive Officer any right to continued employment.</w:t>
      </w:r>
    </w:p>
    <w:p>
      <w:pPr>
        <w:spacing w:after="0" w:line="109" w:lineRule="exact"/>
        <w:rPr>
          <w:rFonts w:ascii="Arial" w:cs="Arial" w:eastAsia="Arial" w:hAnsi="Arial"/>
          <w:sz w:val="14"/>
          <w:szCs w:val="14"/>
          <w:color w:val="auto"/>
        </w:rPr>
      </w:pPr>
    </w:p>
    <w:p>
      <w:pPr>
        <w:jc w:val="both"/>
        <w:ind w:firstLine="523"/>
        <w:spacing w:after="0" w:line="272" w:lineRule="auto"/>
        <w:tabs>
          <w:tab w:leader="none" w:pos="872" w:val="left"/>
        </w:tabs>
        <w:numPr>
          <w:ilvl w:val="0"/>
          <w:numId w:val="12"/>
        </w:numPr>
        <w:rPr>
          <w:rFonts w:ascii="Arial" w:cs="Arial" w:eastAsia="Arial" w:hAnsi="Arial"/>
          <w:sz w:val="14"/>
          <w:szCs w:val="14"/>
          <w:color w:val="auto"/>
        </w:rPr>
      </w:pPr>
      <w:r>
        <w:rPr>
          <w:rFonts w:ascii="Arial" w:cs="Arial" w:eastAsia="Arial" w:hAnsi="Arial"/>
          <w:sz w:val="14"/>
          <w:szCs w:val="14"/>
          <w:color w:val="auto"/>
        </w:rPr>
        <w:t>No member of the Board or the Committee, nor any officer or employee of the Company acting on behalf of the Board or the Committee, shall be personally liable for any action, determination, or interpretation taken or made with respect to the Plan, and all members of the Board or the Committee and all officers or employees of the Company acting on their behalf shall, to the extent permitted by law, be fully indemnified and protected by the Company in respect of any such action, determination, or interpretation.</w:t>
      </w:r>
    </w:p>
    <w:p>
      <w:pPr>
        <w:spacing w:after="0" w:line="142" w:lineRule="exact"/>
        <w:rPr>
          <w:rFonts w:ascii="Arial" w:cs="Arial" w:eastAsia="Arial" w:hAnsi="Arial"/>
          <w:sz w:val="14"/>
          <w:szCs w:val="14"/>
          <w:color w:val="auto"/>
        </w:rPr>
      </w:pPr>
    </w:p>
    <w:p>
      <w:pPr>
        <w:ind w:firstLine="523"/>
        <w:spacing w:after="0" w:line="288" w:lineRule="auto"/>
        <w:tabs>
          <w:tab w:leader="none" w:pos="853" w:val="left"/>
        </w:tabs>
        <w:numPr>
          <w:ilvl w:val="0"/>
          <w:numId w:val="12"/>
        </w:numPr>
        <w:rPr>
          <w:rFonts w:ascii="Arial" w:cs="Arial" w:eastAsia="Arial" w:hAnsi="Arial"/>
          <w:sz w:val="14"/>
          <w:szCs w:val="14"/>
          <w:color w:val="auto"/>
        </w:rPr>
      </w:pPr>
      <w:r>
        <w:rPr>
          <w:rFonts w:ascii="Arial" w:cs="Arial" w:eastAsia="Arial" w:hAnsi="Arial"/>
          <w:sz w:val="14"/>
          <w:szCs w:val="14"/>
          <w:color w:val="auto"/>
        </w:rPr>
        <w:t>Governing Law. The validity, construction, and effect of this Plan, and any rules and regulations relating to this Plan, shall be determined in accordance with the laws of the State of Nebraska, without giving effect to principles of conflict of laws thereof.</w:t>
      </w:r>
    </w:p>
    <w:p>
      <w:pPr>
        <w:spacing w:after="0" w:line="130" w:lineRule="exact"/>
        <w:rPr>
          <w:rFonts w:ascii="Arial" w:cs="Arial" w:eastAsia="Arial" w:hAnsi="Arial"/>
          <w:sz w:val="14"/>
          <w:szCs w:val="14"/>
          <w:color w:val="auto"/>
        </w:rPr>
      </w:pPr>
    </w:p>
    <w:p>
      <w:pPr>
        <w:ind w:firstLine="523"/>
        <w:spacing w:after="0" w:line="328" w:lineRule="auto"/>
        <w:tabs>
          <w:tab w:leader="none" w:pos="828" w:val="left"/>
        </w:tabs>
        <w:numPr>
          <w:ilvl w:val="0"/>
          <w:numId w:val="12"/>
        </w:numPr>
        <w:rPr>
          <w:rFonts w:ascii="Arial" w:cs="Arial" w:eastAsia="Arial" w:hAnsi="Arial"/>
          <w:sz w:val="13"/>
          <w:szCs w:val="13"/>
          <w:color w:val="auto"/>
        </w:rPr>
      </w:pPr>
      <w:r>
        <w:rPr>
          <w:rFonts w:ascii="Arial" w:cs="Arial" w:eastAsia="Arial" w:hAnsi="Arial"/>
          <w:sz w:val="13"/>
          <w:szCs w:val="13"/>
          <w:color w:val="auto"/>
        </w:rPr>
        <w:t>Effective Date; Term of Plan. The Plan shall be effective as of January 1, 2019, subject to approval of the Plan by the Company’s shareholders at the Company’s 2019 annual meeting of shareholders. If such shareholder approval is obtained and the Plan becomes effective, the Plan shall expire on January 1, 2024, which is five years after the effective date of the Plan.</w:t>
      </w:r>
    </w:p>
    <w:p>
      <w:pPr>
        <w:spacing w:after="0" w:line="108" w:lineRule="exact"/>
        <w:rPr>
          <w:rFonts w:ascii="Arial" w:cs="Arial" w:eastAsia="Arial" w:hAnsi="Arial"/>
          <w:sz w:val="13"/>
          <w:szCs w:val="13"/>
          <w:color w:val="auto"/>
        </w:rPr>
      </w:pPr>
    </w:p>
    <w:p>
      <w:pPr>
        <w:ind w:firstLine="523"/>
        <w:spacing w:after="0" w:line="288" w:lineRule="auto"/>
        <w:tabs>
          <w:tab w:leader="none" w:pos="831" w:val="left"/>
        </w:tabs>
        <w:numPr>
          <w:ilvl w:val="0"/>
          <w:numId w:val="12"/>
        </w:numPr>
        <w:rPr>
          <w:rFonts w:ascii="Arial" w:cs="Arial" w:eastAsia="Arial" w:hAnsi="Arial"/>
          <w:sz w:val="14"/>
          <w:szCs w:val="14"/>
          <w:color w:val="auto"/>
        </w:rPr>
      </w:pPr>
      <w:r>
        <w:rPr>
          <w:rFonts w:ascii="Arial" w:cs="Arial" w:eastAsia="Arial" w:hAnsi="Arial"/>
          <w:sz w:val="14"/>
          <w:szCs w:val="14"/>
          <w:color w:val="auto"/>
        </w:rPr>
        <w:t>Titles and Headings. The titles and headings of the Sections in the Plan are for convenience of reference only. In the event of any conflict, the text of the Plan, rather than such titles or headings, shall control.</w:t>
      </w:r>
    </w:p>
    <w:p>
      <w:pPr>
        <w:spacing w:after="0" w:line="325" w:lineRule="exact"/>
        <w:rPr>
          <w:sz w:val="20"/>
          <w:szCs w:val="20"/>
          <w:color w:val="auto"/>
        </w:rPr>
      </w:pPr>
    </w:p>
    <w:p>
      <w:pPr>
        <w:ind w:left="4660"/>
        <w:spacing w:after="0"/>
        <w:rPr>
          <w:sz w:val="20"/>
          <w:szCs w:val="20"/>
          <w:color w:val="auto"/>
        </w:rPr>
      </w:pPr>
      <w:r>
        <w:rPr>
          <w:rFonts w:ascii="Arial" w:cs="Arial" w:eastAsia="Arial" w:hAnsi="Arial"/>
          <w:sz w:val="14"/>
          <w:szCs w:val="14"/>
          <w:color w:val="auto"/>
        </w:rPr>
        <w:t>3</w:t>
      </w:r>
    </w:p>
    <w:sectPr>
      <w:pgSz w:w="11900" w:h="16838" w:orient="portrait"/>
      <w:cols w:equalWidth="0" w:num="1">
        <w:col w:w="11460"/>
      </w:cols>
      <w:pgMar w:left="220" w:top="323" w:right="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1."/>
      <w:numFmt w:val="decimal"/>
      <w:start w:val="2"/>
    </w:lvl>
  </w:abstractNum>
  <w:abstractNum w:abstractNumId="5">
    <w:nsid w:val="5BD062C2"/>
    <w:multiLevelType w:val="hybridMultilevel"/>
    <w:lvl w:ilvl="0">
      <w:lvlJc w:val="left"/>
      <w:lvlText w:val="(%1)"/>
      <w:numFmt w:val="lowerLetter"/>
      <w:start w:val="1"/>
    </w:lvl>
  </w:abstractNum>
  <w:abstractNum w:abstractNumId="6">
    <w:nsid w:val="12200854"/>
    <w:multiLevelType w:val="hybridMultilevel"/>
    <w:lvl w:ilvl="0">
      <w:lvlJc w:val="left"/>
      <w:lvlText w:val="%1."/>
      <w:numFmt w:val="decimal"/>
      <w:start w:val="3"/>
    </w:lvl>
  </w:abstractNum>
  <w:abstractNum w:abstractNumId="7">
    <w:nsid w:val="4DB127F8"/>
    <w:multiLevelType w:val="hybridMultilevel"/>
    <w:lvl w:ilvl="0">
      <w:lvlJc w:val="left"/>
      <w:lvlText w:val="(%1)"/>
      <w:numFmt w:val="lowerLetter"/>
      <w:start w:val="1"/>
    </w:lvl>
    <w:lvl w:ilvl="1">
      <w:lvlJc w:val="left"/>
      <w:lvlText w:val="(%2)"/>
      <w:numFmt w:val="lowerRoman"/>
      <w:start w:val="1"/>
    </w:lvl>
  </w:abstractNum>
  <w:abstractNum w:abstractNumId="8">
    <w:nsid w:val="216231B"/>
    <w:multiLevelType w:val="hybridMultilevel"/>
    <w:lvl w:ilvl="0">
      <w:lvlJc w:val="left"/>
      <w:lvlText w:val="(%1)"/>
      <w:numFmt w:val="lowerLetter"/>
      <w:start w:val="2"/>
    </w:lvl>
  </w:abstractNum>
  <w:abstractNum w:abstractNumId="9">
    <w:nsid w:val="1F16E9E8"/>
    <w:multiLevelType w:val="hybridMultilevel"/>
    <w:lvl w:ilvl="0">
      <w:lvlJc w:val="left"/>
      <w:lvlText w:val="%1."/>
      <w:numFmt w:val="decimal"/>
      <w:start w:val="5"/>
    </w:lvl>
  </w:abstractNum>
  <w:abstractNum w:abstractNumId="10">
    <w:nsid w:val="1190CDE7"/>
    <w:multiLevelType w:val="hybridMultilevel"/>
    <w:lvl w:ilvl="0">
      <w:lvlJc w:val="left"/>
      <w:lvlText w:val="%1."/>
      <w:numFmt w:val="decimal"/>
      <w:start w:val="6"/>
    </w:lvl>
  </w:abstractNum>
  <w:abstractNum w:abstractNumId="11">
    <w:nsid w:val="66EF438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2019-12-02T17:08:16Z</dcterms:created>
  <dcterms:modified xsi:type="dcterms:W3CDTF">2019-12-02T17:08:16Z</dcterms:modified>
</cp:coreProperties>
</file>